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 Id="rId5"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2D" w:rsidRDefault="0084757A">
      <w:pPr>
        <w:rPr>
          <w:rFonts w:ascii="Times New Roman" w:hAnsi="Times New Roman" w:cs="Times New Roman"/>
          <w:sz w:val="28"/>
          <w:szCs w:val="28"/>
        </w:rPr>
      </w:pPr>
      <w:r w:rsidRPr="0084757A">
        <w:rPr>
          <w:rFonts w:ascii="Times New Roman" w:hAnsi="Times New Roman" w:cs="Times New Roman"/>
          <w:sz w:val="28"/>
          <w:szCs w:val="28"/>
        </w:rPr>
        <w:t xml:space="preserve">Ethics Rules and other laws for ethics presentation at 2013 National Conference of Regulatory attorneys Conference </w:t>
      </w:r>
    </w:p>
    <w:p w:rsidR="0084757A" w:rsidRDefault="0084757A">
      <w:pPr>
        <w:rPr>
          <w:rFonts w:ascii="Times New Roman" w:hAnsi="Times New Roman" w:cs="Times New Roman"/>
          <w:sz w:val="28"/>
          <w:szCs w:val="28"/>
        </w:rPr>
      </w:pPr>
      <w:r>
        <w:rPr>
          <w:rFonts w:ascii="Times New Roman" w:hAnsi="Times New Roman" w:cs="Times New Roman"/>
          <w:sz w:val="28"/>
          <w:szCs w:val="28"/>
        </w:rPr>
        <w:t xml:space="preserve">Materials prepared and complied by Eve Moran for an Illinois State Bar Association presentation on ethics. Materials </w:t>
      </w:r>
      <w:r w:rsidR="00BF7C17">
        <w:rPr>
          <w:rFonts w:ascii="Times New Roman" w:hAnsi="Times New Roman" w:cs="Times New Roman"/>
          <w:sz w:val="28"/>
          <w:szCs w:val="28"/>
        </w:rPr>
        <w:t>used</w:t>
      </w:r>
      <w:bookmarkStart w:id="0" w:name="_GoBack"/>
      <w:bookmarkEnd w:id="0"/>
      <w:r>
        <w:rPr>
          <w:rFonts w:ascii="Times New Roman" w:hAnsi="Times New Roman" w:cs="Times New Roman"/>
          <w:sz w:val="28"/>
          <w:szCs w:val="28"/>
        </w:rPr>
        <w:t xml:space="preserve"> with permission</w:t>
      </w:r>
    </w:p>
    <w:p w:rsidR="0084757A" w:rsidRDefault="0084757A" w:rsidP="0084757A">
      <w:pPr>
        <w:pStyle w:val="Body"/>
        <w:rPr>
          <w:rFonts w:ascii="Times New Roman Bold" w:hAnsi="Times New Roman Bold"/>
          <w:sz w:val="22"/>
        </w:rPr>
      </w:pPr>
      <w:r>
        <w:rPr>
          <w:rFonts w:ascii="Times New Roman Bold" w:hAnsi="Times New Roman Bold"/>
          <w:sz w:val="22"/>
        </w:rPr>
        <w:t>Other Authority:</w:t>
      </w:r>
    </w:p>
    <w:p w:rsidR="0084757A" w:rsidRDefault="0084757A" w:rsidP="0084757A">
      <w:pPr>
        <w:pStyle w:val="Body"/>
        <w:rPr>
          <w:b/>
          <w:sz w:val="22"/>
        </w:rPr>
      </w:pPr>
    </w:p>
    <w:p w:rsidR="0084757A" w:rsidRDefault="0084757A" w:rsidP="0084757A">
      <w:pPr>
        <w:pStyle w:val="Body"/>
        <w:rPr>
          <w:b/>
          <w:sz w:val="22"/>
        </w:rPr>
      </w:pPr>
    </w:p>
    <w:p w:rsidR="0084757A" w:rsidRDefault="0084757A" w:rsidP="0084757A">
      <w:pPr>
        <w:pStyle w:val="Body"/>
        <w:numPr>
          <w:ilvl w:val="0"/>
          <w:numId w:val="2"/>
        </w:numPr>
        <w:tabs>
          <w:tab w:val="num" w:pos="720"/>
        </w:tabs>
        <w:ind w:left="720" w:hanging="360"/>
        <w:rPr>
          <w:rFonts w:ascii="Lucida Grande" w:hAnsi="Symbol"/>
          <w:b/>
          <w:i/>
          <w:sz w:val="22"/>
        </w:rPr>
      </w:pPr>
      <w:r>
        <w:rPr>
          <w:b/>
          <w:i/>
          <w:sz w:val="22"/>
        </w:rPr>
        <w:t>83 Illinois Administrative Code Part 100, Standards of Behavior for Commissioners and Commission Employees</w:t>
      </w:r>
    </w:p>
    <w:p w:rsidR="0084757A" w:rsidRDefault="0084757A" w:rsidP="0084757A">
      <w:pPr>
        <w:pStyle w:val="Body"/>
        <w:rPr>
          <w:sz w:val="22"/>
        </w:rPr>
      </w:pPr>
    </w:p>
    <w:p w:rsidR="0084757A" w:rsidRDefault="0084757A" w:rsidP="0084757A">
      <w:pPr>
        <w:pStyle w:val="Body"/>
        <w:rPr>
          <w:sz w:val="22"/>
        </w:rPr>
      </w:pPr>
    </w:p>
    <w:p w:rsidR="0084757A" w:rsidRDefault="0084757A" w:rsidP="0084757A">
      <w:pPr>
        <w:pStyle w:val="FreeForm"/>
        <w:jc w:val="both"/>
        <w:rPr>
          <w:rFonts w:ascii="Times New Roman" w:hAnsi="Times New Roman"/>
          <w:sz w:val="22"/>
        </w:rPr>
      </w:pPr>
      <w:r>
        <w:rPr>
          <w:rFonts w:ascii="Times New Roman Bold" w:hAnsi="Times New Roman Bold"/>
          <w:sz w:val="22"/>
        </w:rPr>
        <w:t>Section 100.20</w:t>
      </w:r>
      <w:proofErr w:type="gramStart"/>
      <w:r>
        <w:rPr>
          <w:rFonts w:ascii="Times New Roman Bold" w:hAnsi="Times New Roman Bold"/>
          <w:sz w:val="22"/>
        </w:rPr>
        <w:t>  Maintenance</w:t>
      </w:r>
      <w:proofErr w:type="gramEnd"/>
      <w:r>
        <w:rPr>
          <w:rFonts w:ascii="Times New Roman Bold" w:hAnsi="Times New Roman Bold"/>
          <w:sz w:val="22"/>
        </w:rPr>
        <w:t xml:space="preserve"> of High Standards</w:t>
      </w:r>
    </w:p>
    <w:p w:rsidR="0084757A" w:rsidRDefault="0084757A" w:rsidP="0084757A">
      <w:pPr>
        <w:pStyle w:val="FreeForm"/>
        <w:jc w:val="both"/>
        <w:rPr>
          <w:rFonts w:ascii="Times New Roman" w:hAnsi="Times New Roman"/>
          <w:sz w:val="22"/>
        </w:rPr>
      </w:pPr>
      <w:r>
        <w:rPr>
          <w:rFonts w:ascii="Times New Roman" w:hAnsi="Times New Roman"/>
          <w:sz w:val="22"/>
        </w:rPr>
        <w:t> </w:t>
      </w:r>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a)         The maintenance of unusually high standards of honesty, integrity, impartiality, and conduct by Illinois Commerce Commission members and employees is essential to assure the proper performance of the Government business and the maintenance of confidence by citizens in their Government.  In a regulatory agency such as the Illinois Commerce Commission, whose actions affect the interest of every citizen of the state, it is particularly important that every employee be completely impartial, honest, and above suspicion while adhering strictly to the highest standard of ethical conduct in all their social, business, political and other off-the-job activities, relationships and interests as well as in their official actions.  All Commission employees shall exercise their informed judgment to avoid situations that might result in actual or apparent misconduct or conflicts of interest.</w:t>
      </w:r>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b)         A Commissioner or an employee should avoid any action that might result in, or create the appearance of:</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1)         Using public office for private gain;</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2)         Giving preferential treatment to any interested party;</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3)         Impeding Government efficiency or economy;</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4)         Losing complete independence or impartiality;</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5)         Discussing impending Commission decisions outside office channels;</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6)   Affecting adversely the confidence of the public in the integrity of the Commission.</w:t>
      </w:r>
    </w:p>
    <w:p w:rsidR="0084757A" w:rsidRDefault="0084757A" w:rsidP="0084757A">
      <w:pPr>
        <w:pStyle w:val="FreeForm"/>
        <w:ind w:left="2880" w:hanging="960"/>
        <w:jc w:val="both"/>
        <w:rPr>
          <w:rFonts w:ascii="Times New Roman" w:hAnsi="Times New Roman"/>
          <w:sz w:val="22"/>
        </w:rPr>
      </w:pPr>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 xml:space="preserve">c)         Commissioners or employees of the Commission will not solicit nor accept any gift, gratuity, favor, entertainment, loan or any other thing of monetary value, either directly or indirectly from or on behalf of an interested party.  A gift, gratuity, favor, entertainment, etc., includes any tangible item, intangible benefits, discounts, tickets, passes, transportation, and accommodations given or extended to or on </w:t>
      </w:r>
      <w:r>
        <w:rPr>
          <w:rFonts w:ascii="Times New Roman" w:hAnsi="Times New Roman"/>
          <w:sz w:val="22"/>
        </w:rPr>
        <w:lastRenderedPageBreak/>
        <w:t>behalf of the recipient.  An "interested party" is any person, firm, corporation, or other entity that:</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1)       Is engaged in or is endeavoring to engage in any activity or transaction of any sort with the Commission;</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2)         Conducts operations or activities that are regulated by the Commission;</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3)   Has interests that may be substantially affected by the performance or nonperformance of the official duties of the Commissioners or employees of the Commission;</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xml:space="preserve">4)         Is a party to any proceeding before the </w:t>
      </w:r>
      <w:proofErr w:type="gramStart"/>
      <w:r>
        <w:rPr>
          <w:rFonts w:ascii="Times New Roman" w:hAnsi="Times New Roman"/>
          <w:sz w:val="22"/>
        </w:rPr>
        <w:t>Commission;</w:t>
      </w:r>
      <w:proofErr w:type="gramEnd"/>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2880" w:hanging="960"/>
        <w:jc w:val="both"/>
        <w:rPr>
          <w:rFonts w:ascii="Times New Roman" w:hAnsi="Times New Roman"/>
          <w:sz w:val="22"/>
        </w:rPr>
      </w:pPr>
      <w:r>
        <w:rPr>
          <w:rFonts w:ascii="Times New Roman" w:hAnsi="Times New Roman"/>
          <w:sz w:val="22"/>
        </w:rPr>
        <w:t xml:space="preserve">5)         Are Attorneys for and representatives of any of the </w:t>
      </w:r>
      <w:proofErr w:type="gramStart"/>
      <w:r>
        <w:rPr>
          <w:rFonts w:ascii="Times New Roman" w:hAnsi="Times New Roman"/>
          <w:sz w:val="22"/>
        </w:rPr>
        <w:t>foregoing.</w:t>
      </w:r>
      <w:proofErr w:type="gramEnd"/>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d)         Gifts, gratuities, favors, entertainment, etc., bestowed upon members of the immediate families of Commissioners or Commission personnel are viewed in the same light as those bestowed on Commissioners or Commission employees.</w:t>
      </w:r>
    </w:p>
    <w:p w:rsidR="0084757A" w:rsidRDefault="0084757A" w:rsidP="0084757A">
      <w:pPr>
        <w:pStyle w:val="FreeForm"/>
        <w:ind w:left="1920" w:hanging="960"/>
        <w:jc w:val="both"/>
        <w:rPr>
          <w:rFonts w:ascii="Times New Roman" w:hAnsi="Times New Roman"/>
          <w:sz w:val="22"/>
        </w:rPr>
      </w:pPr>
      <w:r>
        <w:rPr>
          <w:rFonts w:ascii="Times New Roman" w:hAnsi="Times New Roman"/>
          <w:sz w:val="22"/>
        </w:rPr>
        <w:t> </w:t>
      </w:r>
    </w:p>
    <w:p w:rsidR="0084757A" w:rsidRDefault="0084757A" w:rsidP="0084757A">
      <w:pPr>
        <w:pStyle w:val="FreeForm"/>
        <w:ind w:left="960"/>
        <w:jc w:val="both"/>
        <w:rPr>
          <w:rFonts w:ascii="Times New Roman" w:hAnsi="Times New Roman"/>
          <w:sz w:val="22"/>
        </w:rPr>
      </w:pPr>
      <w:r>
        <w:rPr>
          <w:rFonts w:ascii="Times New Roman" w:hAnsi="Times New Roman"/>
          <w:sz w:val="22"/>
        </w:rPr>
        <w:t>(Source:  Amended at 29 Ill. Reg. 14535, effective October 1, 2005)</w:t>
      </w:r>
    </w:p>
    <w:p w:rsidR="0084757A" w:rsidRDefault="0084757A" w:rsidP="0084757A">
      <w:pPr>
        <w:pStyle w:val="FreeForm"/>
        <w:ind w:left="960"/>
        <w:jc w:val="both"/>
        <w:rPr>
          <w:rFonts w:ascii="Times New Roman" w:hAnsi="Times New Roman"/>
          <w:sz w:val="22"/>
        </w:rPr>
      </w:pPr>
    </w:p>
    <w:p w:rsidR="0084757A" w:rsidRDefault="0084757A" w:rsidP="0084757A">
      <w:pPr>
        <w:rPr>
          <w:rFonts w:ascii="Times New Roman Bold" w:hAnsi="Times New Roman Bold"/>
          <w:sz w:val="24"/>
        </w:rPr>
      </w:pPr>
    </w:p>
    <w:p w:rsidR="0084757A" w:rsidRDefault="0084757A" w:rsidP="0084757A">
      <w:pPr>
        <w:numPr>
          <w:ilvl w:val="0"/>
          <w:numId w:val="3"/>
        </w:numPr>
        <w:spacing w:after="120"/>
        <w:ind w:left="1440" w:hanging="360"/>
        <w:rPr>
          <w:rFonts w:ascii="Times New Roman Bold" w:hAnsi="Times New Roman Bold"/>
          <w:sz w:val="24"/>
        </w:rPr>
      </w:pPr>
      <w:r>
        <w:rPr>
          <w:rFonts w:ascii="Times New Roman Bold" w:hAnsi="Times New Roman Bold"/>
          <w:sz w:val="24"/>
        </w:rPr>
        <w:t xml:space="preserve">Gift ban laws: </w:t>
      </w:r>
      <w:r>
        <w:rPr>
          <w:rFonts w:ascii="Times New Roman" w:hAnsi="Times New Roman"/>
          <w:sz w:val="24"/>
        </w:rPr>
        <w:t xml:space="preserve"> </w:t>
      </w:r>
      <w:r>
        <w:rPr>
          <w:rFonts w:ascii="Times New Roman Italic" w:hAnsi="Times New Roman Italic"/>
          <w:sz w:val="24"/>
        </w:rPr>
        <w:t>Illinois Public Utilities Act</w:t>
      </w:r>
      <w:r>
        <w:rPr>
          <w:rFonts w:ascii="Times New Roman" w:hAnsi="Times New Roman"/>
          <w:sz w:val="24"/>
        </w:rPr>
        <w:t xml:space="preserve">,  220 ILCS 5/2-102 (b) ; </w:t>
      </w:r>
      <w:r>
        <w:rPr>
          <w:rFonts w:ascii="Times New Roman Italic" w:hAnsi="Times New Roman Italic"/>
          <w:sz w:val="24"/>
        </w:rPr>
        <w:t>Illinois State Officials and Employee Ethics Act</w:t>
      </w:r>
      <w:r>
        <w:rPr>
          <w:rFonts w:ascii="Times New Roman" w:hAnsi="Times New Roman"/>
          <w:sz w:val="24"/>
        </w:rPr>
        <w:t>, 5 ILCS 430/10-10</w:t>
      </w:r>
    </w:p>
    <w:p w:rsidR="0084757A" w:rsidRDefault="0084757A" w:rsidP="0084757A">
      <w:pPr>
        <w:numPr>
          <w:ilvl w:val="0"/>
          <w:numId w:val="3"/>
        </w:numPr>
        <w:spacing w:after="120"/>
        <w:ind w:left="1440" w:hanging="360"/>
        <w:rPr>
          <w:rFonts w:ascii="Times New Roman Italic" w:hAnsi="Times New Roman Italic"/>
          <w:sz w:val="24"/>
        </w:rPr>
      </w:pPr>
      <w:r>
        <w:rPr>
          <w:rFonts w:ascii="Times New Roman Bold" w:hAnsi="Times New Roman Bold"/>
          <w:sz w:val="24"/>
        </w:rPr>
        <w:t xml:space="preserve">Impermissible communications: </w:t>
      </w:r>
      <w:r>
        <w:rPr>
          <w:rFonts w:ascii="Times New Roman Italic" w:hAnsi="Times New Roman Italic"/>
          <w:sz w:val="24"/>
        </w:rPr>
        <w:t>Illinois Public Utilities Act, 220 ILCS 5/10-103; Illinois Administrative Procedure Act, 5 ILCS 10-60 IAPA; Illinois State Officials and Employee Ethics Act 5 ILCS 430/5-50)</w:t>
      </w:r>
    </w:p>
    <w:p w:rsidR="0084757A" w:rsidRDefault="0084757A" w:rsidP="0084757A">
      <w:pPr>
        <w:pStyle w:val="FreeForm"/>
        <w:ind w:left="960"/>
        <w:jc w:val="both"/>
        <w:rPr>
          <w:rFonts w:ascii="Times New Roman" w:hAnsi="Times New Roman"/>
          <w:sz w:val="22"/>
        </w:rPr>
      </w:pPr>
    </w:p>
    <w:p w:rsidR="0084757A" w:rsidRDefault="0084757A" w:rsidP="0084757A">
      <w:pPr>
        <w:pStyle w:val="FreeForm"/>
        <w:ind w:left="960"/>
        <w:jc w:val="both"/>
        <w:rPr>
          <w:rFonts w:ascii="Times New Roman" w:hAnsi="Times New Roman"/>
          <w:sz w:val="22"/>
        </w:rPr>
      </w:pPr>
      <w:r>
        <w:rPr>
          <w:rFonts w:ascii="Times New Roman" w:hAnsi="Times New Roman"/>
          <w:sz w:val="22"/>
        </w:rPr>
        <w:t>..............................................................................................................................</w:t>
      </w:r>
    </w:p>
    <w:p w:rsidR="0084757A" w:rsidRDefault="0084757A" w:rsidP="0084757A">
      <w:pPr>
        <w:pStyle w:val="FreeForm"/>
        <w:ind w:left="960"/>
        <w:jc w:val="both"/>
        <w:rPr>
          <w:rFonts w:ascii="Times New Roman" w:hAnsi="Times New Roman"/>
          <w:sz w:val="32"/>
        </w:rPr>
      </w:pPr>
    </w:p>
    <w:p w:rsidR="0084757A" w:rsidRDefault="0084757A" w:rsidP="0084757A">
      <w:pPr>
        <w:pStyle w:val="Body"/>
        <w:rPr>
          <w:b/>
        </w:rPr>
      </w:pPr>
      <w:r>
        <w:rPr>
          <w:b/>
        </w:rPr>
        <w:t>ILLINOIS RULES OF PROFESSIONAL CONDUCT (Selections)</w:t>
      </w:r>
    </w:p>
    <w:p w:rsidR="0084757A" w:rsidRDefault="0084757A" w:rsidP="0084757A">
      <w:pPr>
        <w:pStyle w:val="Body"/>
        <w:rPr>
          <w:b/>
        </w:rPr>
      </w:pPr>
    </w:p>
    <w:p w:rsidR="0084757A" w:rsidRDefault="0084757A" w:rsidP="0084757A">
      <w:pPr>
        <w:pStyle w:val="Body"/>
        <w:rPr>
          <w:b/>
        </w:rPr>
      </w:pPr>
      <w:r>
        <w:rPr>
          <w:b/>
        </w:rPr>
        <w:t>Preamble:</w:t>
      </w:r>
    </w:p>
    <w:p w:rsidR="0084757A" w:rsidRDefault="0084757A" w:rsidP="0084757A">
      <w:pPr>
        <w:pStyle w:val="Body"/>
        <w:rPr>
          <w:b/>
        </w:rPr>
      </w:pPr>
    </w:p>
    <w:p w:rsidR="0084757A" w:rsidRDefault="0084757A" w:rsidP="0084757A">
      <w:pPr>
        <w:pStyle w:val="FreeForm"/>
        <w:spacing w:after="200"/>
        <w:ind w:left="900" w:right="540"/>
        <w:jc w:val="both"/>
        <w:rPr>
          <w:rFonts w:ascii="Verdana" w:hAnsi="Verdana"/>
          <w:color w:val="262626"/>
          <w:sz w:val="20"/>
        </w:rPr>
      </w:pPr>
      <w:r>
        <w:rPr>
          <w:rFonts w:ascii="Verdana Italic" w:hAnsi="Verdana Italic"/>
          <w:color w:val="262626"/>
          <w:sz w:val="20"/>
        </w:rPr>
        <w:t>A lawyer, as a member of the legal profession, is a representative of clients, an officer of the legal system and a public citizen having special responsibility for the quality of justice... In all professional functions a lawyer should be competent, prompt and diligent...Lawyers play a vital role in the preservation of society. The fulfillment of this role requires an understanding by lawyers of their relationship to our legal system. The Rules of Professional Conduct, when properly applied, serve to define that relationship.</w:t>
      </w:r>
    </w:p>
    <w:p w:rsidR="0084757A" w:rsidRDefault="0084757A" w:rsidP="0084757A">
      <w:pPr>
        <w:pStyle w:val="Body"/>
        <w:rPr>
          <w:b/>
        </w:rPr>
      </w:pPr>
    </w:p>
    <w:p w:rsidR="0084757A" w:rsidRDefault="0084757A" w:rsidP="0084757A">
      <w:pPr>
        <w:pStyle w:val="Body"/>
        <w:rPr>
          <w:b/>
        </w:rPr>
      </w:pPr>
      <w:r>
        <w:rPr>
          <w:b/>
        </w:rPr>
        <w:t>Rule 1.1: Competence </w:t>
      </w:r>
    </w:p>
    <w:p w:rsidR="0084757A" w:rsidRDefault="0084757A" w:rsidP="0084757A">
      <w:pPr>
        <w:pStyle w:val="FreeForm"/>
        <w:spacing w:after="80"/>
        <w:ind w:firstLine="480"/>
        <w:jc w:val="both"/>
        <w:rPr>
          <w:rFonts w:ascii="Arial" w:hAnsi="Arial"/>
          <w:sz w:val="20"/>
        </w:rPr>
      </w:pPr>
      <w:r>
        <w:rPr>
          <w:rFonts w:ascii="Arial" w:hAnsi="Arial"/>
          <w:sz w:val="20"/>
        </w:rPr>
        <w:t>A lawyer shall provide competent representation to a client. Competent representation requires the legal knowledge, skill, thoroughness and preparation reasonably necessary for the representation.</w:t>
      </w:r>
    </w:p>
    <w:p w:rsidR="0084757A" w:rsidRDefault="0084757A" w:rsidP="0084757A">
      <w:pPr>
        <w:pStyle w:val="FreeForm"/>
        <w:spacing w:after="80"/>
        <w:ind w:firstLine="480"/>
        <w:jc w:val="both"/>
        <w:rPr>
          <w:rFonts w:ascii="Arial" w:hAnsi="Arial"/>
          <w:sz w:val="20"/>
        </w:rPr>
      </w:pPr>
    </w:p>
    <w:p w:rsidR="0084757A" w:rsidRDefault="0084757A" w:rsidP="0084757A">
      <w:pPr>
        <w:pStyle w:val="FreeForm"/>
        <w:spacing w:after="80"/>
        <w:jc w:val="both"/>
        <w:rPr>
          <w:rFonts w:ascii="Arial Bold" w:hAnsi="Arial Bold"/>
        </w:rPr>
      </w:pPr>
      <w:r>
        <w:rPr>
          <w:rFonts w:ascii="Arial Bold" w:hAnsi="Arial Bold"/>
        </w:rPr>
        <w:t>Rule 1.6: Confidentiality of Information </w:t>
      </w:r>
    </w:p>
    <w:p w:rsidR="0084757A" w:rsidRDefault="0084757A" w:rsidP="0084757A">
      <w:pPr>
        <w:pStyle w:val="FreeForm"/>
        <w:spacing w:after="80"/>
        <w:ind w:firstLine="480"/>
        <w:jc w:val="both"/>
        <w:rPr>
          <w:rFonts w:ascii="Arial" w:hAnsi="Arial"/>
          <w:sz w:val="20"/>
        </w:rPr>
      </w:pPr>
      <w:r>
        <w:rPr>
          <w:rFonts w:ascii="Arial" w:hAnsi="Arial"/>
          <w:sz w:val="20"/>
        </w:rPr>
        <w:t>(a) A lawyer shall not reveal information relating to the representation of a client unless the client gives informed consent, the disclosure is impliedly authorized in order to carry out the representation, or the disclosure is permitted by paragraph (b) or required by paragraph (c).</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(b) A lawyer may reveal information relating to the representation of a client to the extent the lawyer reasonably believes necessary:</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(1) </w:t>
      </w:r>
      <w:proofErr w:type="gramStart"/>
      <w:r>
        <w:rPr>
          <w:rFonts w:ascii="Arial" w:hAnsi="Arial"/>
          <w:sz w:val="20"/>
        </w:rPr>
        <w:t>to</w:t>
      </w:r>
      <w:proofErr w:type="gramEnd"/>
      <w:r>
        <w:rPr>
          <w:rFonts w:ascii="Arial" w:hAnsi="Arial"/>
          <w:sz w:val="20"/>
        </w:rPr>
        <w:t xml:space="preserve"> prevent the client from committing a crime in circumstances other than those specified in paragraph (c);</w:t>
      </w:r>
    </w:p>
    <w:p w:rsidR="0084757A" w:rsidRDefault="0084757A" w:rsidP="0084757A">
      <w:pPr>
        <w:pStyle w:val="FreeForm"/>
        <w:rPr>
          <w:rFonts w:ascii="Times" w:hAnsi="Times"/>
          <w:sz w:val="20"/>
        </w:rPr>
      </w:pPr>
      <w:r>
        <w:rPr>
          <w:rFonts w:ascii="Times" w:hAnsi="Times"/>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(2) </w:t>
      </w:r>
      <w:proofErr w:type="gramStart"/>
      <w:r>
        <w:rPr>
          <w:rFonts w:ascii="Arial" w:hAnsi="Arial"/>
          <w:sz w:val="20"/>
        </w:rPr>
        <w:t>to</w:t>
      </w:r>
      <w:proofErr w:type="gramEnd"/>
      <w:r>
        <w:rPr>
          <w:rFonts w:ascii="Arial" w:hAnsi="Arial"/>
          <w:sz w:val="20"/>
        </w:rPr>
        <w:t xml:space="preserve"> prevent the client from committing fraud that is reasonably certain to result in substantial injury to the financial interests or property of another and in furtherance of which the client has used or is using the lawyer’s services;</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(3) to prevent, mitigate or rectify substantial injury to the financial interests or property of another that is reasonably certain to result or has resulted from the client’s commission of a crime or fraud in furtherance of which the client has used the lawyer’s services;</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(4) </w:t>
      </w:r>
      <w:proofErr w:type="gramStart"/>
      <w:r>
        <w:rPr>
          <w:rFonts w:ascii="Arial" w:hAnsi="Arial"/>
          <w:sz w:val="20"/>
        </w:rPr>
        <w:t>to</w:t>
      </w:r>
      <w:proofErr w:type="gramEnd"/>
      <w:r>
        <w:rPr>
          <w:rFonts w:ascii="Arial" w:hAnsi="Arial"/>
          <w:sz w:val="20"/>
        </w:rPr>
        <w:t xml:space="preserve"> secure legal advice about the lawyer’s compliance with these Rules;</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(5) to establish a claim or defense on behalf of the lawyer in a controversy between the lawyer and the client, to establish a defense to a criminal charge or civil claim against the lawyer based upon conduct in which the client was involved, or to respond to allegations in any proceeding concerning the lawyer’s representation of the client; or</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(6) </w:t>
      </w:r>
      <w:proofErr w:type="gramStart"/>
      <w:r>
        <w:rPr>
          <w:rFonts w:ascii="Arial" w:hAnsi="Arial"/>
          <w:sz w:val="20"/>
        </w:rPr>
        <w:t>to</w:t>
      </w:r>
      <w:proofErr w:type="gramEnd"/>
      <w:r>
        <w:rPr>
          <w:rFonts w:ascii="Arial" w:hAnsi="Arial"/>
          <w:sz w:val="20"/>
        </w:rPr>
        <w:t xml:space="preserve"> comply with other law or a court order.</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(c) A lawyer shall reveal information relating to the representation of a client to the extent the lawyer reasonably believes necessary to prevent reasonably certain death or substantial bodily harm.</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(d) Information received by a lawyer participating in a meeting or proceeding with a trained intervener or panel of trained interveners of an approved lawyers’ assistance program, or in an intermediary program approved by a circuit court in which </w:t>
      </w:r>
      <w:proofErr w:type="spellStart"/>
      <w:r>
        <w:rPr>
          <w:rFonts w:ascii="Arial" w:hAnsi="Arial"/>
          <w:sz w:val="20"/>
        </w:rPr>
        <w:t>nondisciplinary</w:t>
      </w:r>
      <w:proofErr w:type="spellEnd"/>
      <w:r>
        <w:rPr>
          <w:rFonts w:ascii="Arial" w:hAnsi="Arial"/>
          <w:sz w:val="20"/>
        </w:rPr>
        <w:t xml:space="preserve"> complaints against judges or lawyers can be referred, shall be considered information relating to the representation of a client for purposes of these Rules.</w:t>
      </w:r>
    </w:p>
    <w:p w:rsidR="0084757A" w:rsidRDefault="0084757A" w:rsidP="0084757A">
      <w:pPr>
        <w:pStyle w:val="FreeForm"/>
        <w:spacing w:after="6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30"/>
        </w:rPr>
      </w:pPr>
    </w:p>
    <w:p w:rsidR="0084757A" w:rsidRDefault="0084757A" w:rsidP="0084757A">
      <w:pPr>
        <w:pStyle w:val="FreeForm"/>
        <w:spacing w:after="80"/>
        <w:jc w:val="both"/>
        <w:rPr>
          <w:rFonts w:ascii="Arial Bold" w:hAnsi="Arial Bold"/>
        </w:rPr>
      </w:pPr>
      <w:r>
        <w:rPr>
          <w:rFonts w:ascii="Arial Bold" w:hAnsi="Arial Bold"/>
        </w:rPr>
        <w:t>Rule 3.1: Meritorious Claims and Contentions </w:t>
      </w:r>
    </w:p>
    <w:p w:rsidR="0084757A" w:rsidRDefault="0084757A" w:rsidP="0084757A">
      <w:pPr>
        <w:pStyle w:val="FreeForm"/>
        <w:spacing w:after="80"/>
        <w:ind w:firstLine="480"/>
        <w:jc w:val="both"/>
        <w:rPr>
          <w:rFonts w:ascii="Arial" w:hAnsi="Arial"/>
          <w:sz w:val="20"/>
        </w:rPr>
      </w:pPr>
      <w:r>
        <w:rPr>
          <w:rFonts w:ascii="Arial" w:hAnsi="Arial"/>
          <w:sz w:val="20"/>
        </w:rPr>
        <w:t>A lawyer shall not bring or defend a proceeding, or assert or controvert an issue therein, unless there is a basis in law and fact for doing so that is not frivolous, which includes a good-faith argument for an extension, modification or reversal of existing law. A lawyer for the defendant in a criminal proceeding, or the respondent in a proceeding that could result in incarceration, may nevertheless so defend the proceeding as to require that every element of the case be established.</w:t>
      </w:r>
    </w:p>
    <w:p w:rsidR="0084757A" w:rsidRDefault="0084757A" w:rsidP="0084757A">
      <w:pPr>
        <w:pStyle w:val="Body"/>
        <w:rPr>
          <w:b/>
        </w:rPr>
      </w:pPr>
    </w:p>
    <w:p w:rsidR="0084757A" w:rsidRDefault="0084757A" w:rsidP="0084757A">
      <w:pPr>
        <w:pStyle w:val="Body"/>
        <w:rPr>
          <w:b/>
        </w:rPr>
      </w:pPr>
    </w:p>
    <w:p w:rsidR="0084757A" w:rsidRDefault="0084757A" w:rsidP="0084757A">
      <w:pPr>
        <w:pStyle w:val="Body"/>
      </w:pPr>
      <w:r>
        <w:rPr>
          <w:b/>
        </w:rPr>
        <w:t xml:space="preserve">Rule 3.3: Candor </w:t>
      </w:r>
      <w:proofErr w:type="gramStart"/>
      <w:r>
        <w:rPr>
          <w:b/>
        </w:rPr>
        <w:t>Toward</w:t>
      </w:r>
      <w:proofErr w:type="gramEnd"/>
      <w:r>
        <w:rPr>
          <w:b/>
        </w:rPr>
        <w:t xml:space="preserve"> the Tribunal</w:t>
      </w:r>
    </w:p>
    <w:p w:rsidR="0084757A" w:rsidRDefault="0084757A" w:rsidP="0084757A">
      <w:pPr>
        <w:pStyle w:val="FreeForm"/>
        <w:spacing w:after="80"/>
        <w:ind w:firstLine="480"/>
        <w:jc w:val="both"/>
        <w:rPr>
          <w:rFonts w:ascii="Arial" w:hAnsi="Arial"/>
          <w:sz w:val="20"/>
        </w:rPr>
      </w:pPr>
      <w:r>
        <w:rPr>
          <w:rFonts w:ascii="Arial" w:hAnsi="Arial"/>
          <w:sz w:val="20"/>
        </w:rPr>
        <w:t>(a) A lawyer shall not knowingly:</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(1) </w:t>
      </w:r>
      <w:proofErr w:type="gramStart"/>
      <w:r>
        <w:rPr>
          <w:rFonts w:ascii="Arial" w:hAnsi="Arial"/>
          <w:sz w:val="20"/>
        </w:rPr>
        <w:t>make</w:t>
      </w:r>
      <w:proofErr w:type="gramEnd"/>
      <w:r>
        <w:rPr>
          <w:rFonts w:ascii="Arial" w:hAnsi="Arial"/>
          <w:sz w:val="20"/>
        </w:rPr>
        <w:t xml:space="preserve"> a false statement of fact or law to a tribunal or fail to correct a false statement of material fact or law previously made to the tribunal by the lawyer;</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(2) fail to disclose to the tribunal legal authority in the controlling jurisdiction known to the lawyer to be directly adverse to the position of the client and not disclosed by opposing counsel; or</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(3) </w:t>
      </w:r>
      <w:proofErr w:type="gramStart"/>
      <w:r>
        <w:rPr>
          <w:rFonts w:ascii="Arial" w:hAnsi="Arial"/>
          <w:sz w:val="20"/>
        </w:rPr>
        <w:t>offer</w:t>
      </w:r>
      <w:proofErr w:type="gramEnd"/>
      <w:r>
        <w:rPr>
          <w:rFonts w:ascii="Arial" w:hAnsi="Arial"/>
          <w:sz w:val="20"/>
        </w:rPr>
        <w:t xml:space="preserve">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defendant in a criminal </w:t>
      </w:r>
      <w:proofErr w:type="gramStart"/>
      <w:r>
        <w:rPr>
          <w:rFonts w:ascii="Arial" w:hAnsi="Arial"/>
          <w:sz w:val="20"/>
        </w:rPr>
        <w:t>matter, that</w:t>
      </w:r>
      <w:proofErr w:type="gramEnd"/>
      <w:r>
        <w:rPr>
          <w:rFonts w:ascii="Arial" w:hAnsi="Arial"/>
          <w:sz w:val="20"/>
        </w:rPr>
        <w:t xml:space="preserve"> the lawyer reasonably believes is false.</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(b) A lawyer who represents a client in an adjudicative proceeding and who knows that a person intends to </w:t>
      </w:r>
      <w:proofErr w:type="gramStart"/>
      <w:r>
        <w:rPr>
          <w:rFonts w:ascii="Arial" w:hAnsi="Arial"/>
          <w:sz w:val="20"/>
        </w:rPr>
        <w:t>engage,</w:t>
      </w:r>
      <w:proofErr w:type="gramEnd"/>
      <w:r>
        <w:rPr>
          <w:rFonts w:ascii="Arial" w:hAnsi="Arial"/>
          <w:sz w:val="20"/>
        </w:rPr>
        <w:t xml:space="preserve"> is engaging or has engaged in criminal or fraudulent conduct related to the proceeding shall take reasonable remedial measures, including, if necessary, disclosure to the tribunal.</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(c) The duties stated in paragraphs (a) and (b) continue to the conclusion of the proceeding, and apply even if compliance requires disclosure of information otherwise protected by Rule 1.6.</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(d) In an </w:t>
      </w:r>
      <w:r>
        <w:rPr>
          <w:rFonts w:ascii="Arial Italic" w:hAnsi="Arial Italic"/>
          <w:sz w:val="20"/>
        </w:rPr>
        <w:t>ex parte</w:t>
      </w:r>
      <w:r>
        <w:rPr>
          <w:rFonts w:ascii="Arial" w:hAnsi="Arial"/>
          <w:sz w:val="20"/>
        </w:rPr>
        <w:t xml:space="preserve"> proceeding, a lawyer shall inform the tribunal of all material facts known to the lawyer that will enable the tribunal to make an informed decision, whether or not the facts are adverse.</w:t>
      </w:r>
    </w:p>
    <w:p w:rsidR="0084757A" w:rsidRDefault="0084757A" w:rsidP="0084757A">
      <w:pPr>
        <w:pStyle w:val="Body"/>
        <w:rPr>
          <w:b/>
        </w:rPr>
      </w:pPr>
    </w:p>
    <w:p w:rsidR="0084757A" w:rsidRDefault="0084757A" w:rsidP="0084757A">
      <w:pPr>
        <w:pStyle w:val="Body"/>
        <w:rPr>
          <w:b/>
        </w:rPr>
      </w:pPr>
      <w:r>
        <w:rPr>
          <w:b/>
        </w:rPr>
        <w:t>Rule 3.5: Impartiality and Decorum of the Tribunal</w:t>
      </w:r>
    </w:p>
    <w:p w:rsidR="0084757A" w:rsidRDefault="0084757A" w:rsidP="0084757A">
      <w:pPr>
        <w:pStyle w:val="FreeForm"/>
        <w:spacing w:after="80"/>
        <w:ind w:firstLine="480"/>
        <w:jc w:val="both"/>
        <w:rPr>
          <w:rFonts w:ascii="Arial" w:hAnsi="Arial"/>
          <w:sz w:val="20"/>
        </w:rPr>
      </w:pPr>
      <w:r>
        <w:rPr>
          <w:rFonts w:ascii="Arial" w:hAnsi="Arial"/>
          <w:sz w:val="20"/>
        </w:rPr>
        <w:t>A lawyer shall not:</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(a) </w:t>
      </w:r>
      <w:proofErr w:type="gramStart"/>
      <w:r>
        <w:rPr>
          <w:rFonts w:ascii="Arial" w:hAnsi="Arial"/>
          <w:sz w:val="20"/>
        </w:rPr>
        <w:t>seek</w:t>
      </w:r>
      <w:proofErr w:type="gramEnd"/>
      <w:r>
        <w:rPr>
          <w:rFonts w:ascii="Arial" w:hAnsi="Arial"/>
          <w:sz w:val="20"/>
        </w:rPr>
        <w:t xml:space="preserve"> to influence a judge, juror, prospective juror or other official by means prohibited by law;</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(b) </w:t>
      </w:r>
      <w:proofErr w:type="gramStart"/>
      <w:r>
        <w:rPr>
          <w:rFonts w:ascii="Arial" w:hAnsi="Arial"/>
          <w:sz w:val="20"/>
        </w:rPr>
        <w:t>communicate</w:t>
      </w:r>
      <w:proofErr w:type="gramEnd"/>
      <w:r>
        <w:rPr>
          <w:rFonts w:ascii="Arial" w:hAnsi="Arial"/>
          <w:sz w:val="20"/>
        </w:rPr>
        <w:t xml:space="preserve"> </w:t>
      </w:r>
      <w:r>
        <w:rPr>
          <w:rFonts w:ascii="Arial Italic" w:hAnsi="Arial Italic"/>
          <w:sz w:val="20"/>
        </w:rPr>
        <w:t>ex parte</w:t>
      </w:r>
      <w:r>
        <w:rPr>
          <w:rFonts w:ascii="Arial" w:hAnsi="Arial"/>
          <w:sz w:val="20"/>
        </w:rPr>
        <w:t xml:space="preserve"> with such a person during the </w:t>
      </w:r>
      <w:proofErr w:type="spellStart"/>
      <w:r>
        <w:rPr>
          <w:rFonts w:ascii="Arial" w:hAnsi="Arial"/>
          <w:sz w:val="20"/>
        </w:rPr>
        <w:t>proceeding</w:t>
      </w:r>
      <w:proofErr w:type="spellEnd"/>
      <w:r>
        <w:rPr>
          <w:rFonts w:ascii="Arial" w:hAnsi="Arial"/>
          <w:sz w:val="20"/>
        </w:rPr>
        <w:t xml:space="preserve"> unless authorized to do so by law or court order;</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(c) </w:t>
      </w:r>
      <w:proofErr w:type="gramStart"/>
      <w:r>
        <w:rPr>
          <w:rFonts w:ascii="Arial" w:hAnsi="Arial"/>
          <w:sz w:val="20"/>
        </w:rPr>
        <w:t>communicate</w:t>
      </w:r>
      <w:proofErr w:type="gramEnd"/>
      <w:r>
        <w:rPr>
          <w:rFonts w:ascii="Arial" w:hAnsi="Arial"/>
          <w:sz w:val="20"/>
        </w:rPr>
        <w:t xml:space="preserve"> with a juror or prospective juror after discharge of the jury if:</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(1) </w:t>
      </w:r>
      <w:proofErr w:type="gramStart"/>
      <w:r>
        <w:rPr>
          <w:rFonts w:ascii="Arial" w:hAnsi="Arial"/>
          <w:sz w:val="20"/>
        </w:rPr>
        <w:t>the</w:t>
      </w:r>
      <w:proofErr w:type="gramEnd"/>
      <w:r>
        <w:rPr>
          <w:rFonts w:ascii="Arial" w:hAnsi="Arial"/>
          <w:sz w:val="20"/>
        </w:rPr>
        <w:t xml:space="preserve"> communication is prohibited by law or court order;</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(2) </w:t>
      </w:r>
      <w:proofErr w:type="gramStart"/>
      <w:r>
        <w:rPr>
          <w:rFonts w:ascii="Arial" w:hAnsi="Arial"/>
          <w:sz w:val="20"/>
        </w:rPr>
        <w:t>the</w:t>
      </w:r>
      <w:proofErr w:type="gramEnd"/>
      <w:r>
        <w:rPr>
          <w:rFonts w:ascii="Arial" w:hAnsi="Arial"/>
          <w:sz w:val="20"/>
        </w:rPr>
        <w:t xml:space="preserve"> juror has made known to the lawyer a desire not to communicate; or</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(3) </w:t>
      </w:r>
      <w:proofErr w:type="gramStart"/>
      <w:r>
        <w:rPr>
          <w:rFonts w:ascii="Arial" w:hAnsi="Arial"/>
          <w:sz w:val="20"/>
        </w:rPr>
        <w:t>the</w:t>
      </w:r>
      <w:proofErr w:type="gramEnd"/>
      <w:r>
        <w:rPr>
          <w:rFonts w:ascii="Arial" w:hAnsi="Arial"/>
          <w:sz w:val="20"/>
        </w:rPr>
        <w:t xml:space="preserve"> communication involves misrepresentation, coercion, duress or harassment; or</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(d) </w:t>
      </w:r>
      <w:proofErr w:type="gramStart"/>
      <w:r>
        <w:rPr>
          <w:rFonts w:ascii="Arial" w:hAnsi="Arial"/>
          <w:sz w:val="20"/>
        </w:rPr>
        <w:t>engage</w:t>
      </w:r>
      <w:proofErr w:type="gramEnd"/>
      <w:r>
        <w:rPr>
          <w:rFonts w:ascii="Arial" w:hAnsi="Arial"/>
          <w:sz w:val="20"/>
        </w:rPr>
        <w:t xml:space="preserve"> in conduct intended to disrupt a tribunal.</w:t>
      </w:r>
    </w:p>
    <w:p w:rsidR="0084757A" w:rsidRDefault="0084757A" w:rsidP="0084757A">
      <w:pPr>
        <w:pStyle w:val="FreeForm"/>
        <w:spacing w:after="80"/>
        <w:jc w:val="both"/>
        <w:rPr>
          <w:rFonts w:ascii="Arial Bold" w:hAnsi="Arial Bold"/>
          <w:sz w:val="20"/>
        </w:rPr>
      </w:pPr>
      <w:r>
        <w:rPr>
          <w:rFonts w:ascii="Arial Bold" w:hAnsi="Arial Bold"/>
          <w:sz w:val="20"/>
        </w:rPr>
        <w:t> </w:t>
      </w:r>
    </w:p>
    <w:p w:rsidR="0084757A" w:rsidRDefault="0084757A" w:rsidP="0084757A">
      <w:pPr>
        <w:pStyle w:val="FreeForm"/>
        <w:spacing w:after="80"/>
        <w:jc w:val="both"/>
        <w:rPr>
          <w:rFonts w:ascii="Arial Bold" w:hAnsi="Arial Bold"/>
        </w:rPr>
      </w:pPr>
      <w:r>
        <w:rPr>
          <w:rFonts w:ascii="Arial Bold" w:hAnsi="Arial Bold"/>
        </w:rPr>
        <w:t>Rule 4.1: Truthfulness in Statements to Others</w:t>
      </w:r>
    </w:p>
    <w:p w:rsidR="0084757A" w:rsidRDefault="0084757A" w:rsidP="0084757A">
      <w:pPr>
        <w:pStyle w:val="FreeForm"/>
        <w:spacing w:after="80"/>
        <w:ind w:firstLine="480"/>
        <w:jc w:val="both"/>
        <w:rPr>
          <w:rFonts w:ascii="Arial" w:hAnsi="Arial"/>
          <w:sz w:val="20"/>
        </w:rPr>
      </w:pPr>
      <w:r>
        <w:rPr>
          <w:rFonts w:ascii="Arial" w:hAnsi="Arial"/>
          <w:sz w:val="20"/>
        </w:rPr>
        <w:t>In the course of representing a client a lawyer shall not knowingly:</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(a) </w:t>
      </w:r>
      <w:proofErr w:type="gramStart"/>
      <w:r>
        <w:rPr>
          <w:rFonts w:ascii="Arial" w:hAnsi="Arial"/>
          <w:sz w:val="20"/>
        </w:rPr>
        <w:t>make</w:t>
      </w:r>
      <w:proofErr w:type="gramEnd"/>
      <w:r>
        <w:rPr>
          <w:rFonts w:ascii="Arial" w:hAnsi="Arial"/>
          <w:sz w:val="20"/>
        </w:rPr>
        <w:t xml:space="preserve"> a false statement of material fact or law to a third person; or</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numPr>
          <w:ilvl w:val="0"/>
          <w:numId w:val="4"/>
        </w:numPr>
        <w:tabs>
          <w:tab w:val="num" w:pos="930"/>
        </w:tabs>
        <w:spacing w:after="80"/>
        <w:ind w:firstLine="30"/>
        <w:jc w:val="both"/>
        <w:rPr>
          <w:rFonts w:ascii="Arial" w:hAnsi="Arial"/>
          <w:sz w:val="20"/>
        </w:rPr>
      </w:pPr>
      <w:proofErr w:type="gramStart"/>
      <w:r>
        <w:rPr>
          <w:rFonts w:ascii="Arial" w:hAnsi="Arial"/>
          <w:sz w:val="20"/>
        </w:rPr>
        <w:t>fail</w:t>
      </w:r>
      <w:proofErr w:type="gramEnd"/>
      <w:r>
        <w:rPr>
          <w:rFonts w:ascii="Arial" w:hAnsi="Arial"/>
          <w:sz w:val="20"/>
        </w:rPr>
        <w:t xml:space="preserve"> to disclose a material fact when disclosure is necessary to avoid assisting a criminal or fraudulent act by a client, unless disclosure is prohibited by Rule 1.6.</w:t>
      </w:r>
    </w:p>
    <w:p w:rsidR="0084757A" w:rsidRDefault="0084757A" w:rsidP="0084757A">
      <w:pPr>
        <w:pStyle w:val="FreeForm"/>
        <w:spacing w:after="80"/>
        <w:ind w:firstLine="480"/>
        <w:jc w:val="both"/>
        <w:rPr>
          <w:rFonts w:ascii="Arial" w:hAnsi="Arial"/>
          <w:sz w:val="20"/>
        </w:rPr>
      </w:pPr>
    </w:p>
    <w:p w:rsidR="0084757A" w:rsidRDefault="0084757A" w:rsidP="0084757A">
      <w:pPr>
        <w:pStyle w:val="FreeForm"/>
        <w:spacing w:after="80"/>
        <w:jc w:val="both"/>
        <w:rPr>
          <w:rFonts w:ascii="Arial Bold" w:hAnsi="Arial Bold"/>
        </w:rPr>
      </w:pPr>
      <w:r>
        <w:rPr>
          <w:rFonts w:ascii="Arial Bold" w:hAnsi="Arial Bold"/>
        </w:rPr>
        <w:t xml:space="preserve">Rule 4.4:  Respect </w:t>
      </w:r>
      <w:proofErr w:type="gramStart"/>
      <w:r>
        <w:rPr>
          <w:rFonts w:ascii="Arial Bold" w:hAnsi="Arial Bold"/>
        </w:rPr>
        <w:t>For</w:t>
      </w:r>
      <w:proofErr w:type="gramEnd"/>
      <w:r>
        <w:rPr>
          <w:rFonts w:ascii="Arial Bold" w:hAnsi="Arial Bold"/>
        </w:rPr>
        <w:t xml:space="preserve"> Rights Of Third Persons</w:t>
      </w:r>
    </w:p>
    <w:p w:rsidR="0084757A" w:rsidRDefault="0084757A" w:rsidP="0084757A">
      <w:pPr>
        <w:pStyle w:val="FreeForm"/>
        <w:spacing w:after="80"/>
        <w:ind w:firstLine="480"/>
        <w:jc w:val="both"/>
        <w:rPr>
          <w:rFonts w:ascii="Arial" w:hAnsi="Arial"/>
          <w:sz w:val="20"/>
        </w:rPr>
      </w:pPr>
      <w:r>
        <w:rPr>
          <w:rFonts w:ascii="Arial" w:hAnsi="Arial"/>
          <w:sz w:val="20"/>
        </w:rPr>
        <w:t>(a) In representing a client, a lawyer shall not use means that have no substantial purpose other than to embarrass, delay, or burden a third person, or use methods of obtaining evidence that violate the legal rights of such a person.</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(b) A lawyer who receives a document relating to the representation of the lawyer’s client and knows that the document was inadvertently sent shall promptly notify the sender.</w:t>
      </w:r>
    </w:p>
    <w:p w:rsidR="0084757A" w:rsidRDefault="0084757A" w:rsidP="0084757A">
      <w:pPr>
        <w:pStyle w:val="FreeForm"/>
        <w:spacing w:after="80"/>
        <w:ind w:firstLine="480"/>
        <w:jc w:val="both"/>
        <w:rPr>
          <w:rFonts w:ascii="Arial" w:hAnsi="Arial"/>
          <w:sz w:val="20"/>
        </w:rPr>
      </w:pPr>
    </w:p>
    <w:p w:rsidR="0084757A" w:rsidRDefault="0084757A" w:rsidP="0084757A">
      <w:pPr>
        <w:pStyle w:val="FreeForm"/>
        <w:spacing w:after="80"/>
        <w:jc w:val="both"/>
        <w:rPr>
          <w:rFonts w:ascii="Arial Bold" w:hAnsi="Arial Bold"/>
        </w:rPr>
      </w:pPr>
      <w:r>
        <w:rPr>
          <w:rFonts w:ascii="Arial Bold" w:hAnsi="Arial Bold"/>
        </w:rPr>
        <w:t>Rule 8.4: Misconduct </w:t>
      </w:r>
    </w:p>
    <w:p w:rsidR="0084757A" w:rsidRDefault="0084757A" w:rsidP="0084757A">
      <w:pPr>
        <w:pStyle w:val="FreeForm"/>
        <w:spacing w:after="80"/>
        <w:ind w:left="480"/>
        <w:jc w:val="both"/>
        <w:rPr>
          <w:rFonts w:ascii="Arial" w:hAnsi="Arial"/>
          <w:sz w:val="20"/>
        </w:rPr>
      </w:pPr>
      <w:r>
        <w:rPr>
          <w:rFonts w:ascii="Arial" w:hAnsi="Arial"/>
          <w:sz w:val="20"/>
        </w:rPr>
        <w:t>It is professional misconduct for a lawyer to:</w:t>
      </w:r>
    </w:p>
    <w:p w:rsidR="0084757A" w:rsidRDefault="0084757A" w:rsidP="0084757A">
      <w:pPr>
        <w:pStyle w:val="FreeForm"/>
        <w:spacing w:after="80"/>
        <w:ind w:left="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(a) </w:t>
      </w:r>
      <w:proofErr w:type="gramStart"/>
      <w:r>
        <w:rPr>
          <w:rFonts w:ascii="Arial" w:hAnsi="Arial"/>
          <w:sz w:val="20"/>
        </w:rPr>
        <w:t>violate</w:t>
      </w:r>
      <w:proofErr w:type="gramEnd"/>
      <w:r>
        <w:rPr>
          <w:rFonts w:ascii="Arial" w:hAnsi="Arial"/>
          <w:sz w:val="20"/>
        </w:rPr>
        <w:t xml:space="preserve"> or attempt to violate the Rules of Professional Conduct, knowingly assist or induce another to do so, or do so through the acts of another.</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(b) </w:t>
      </w:r>
      <w:proofErr w:type="gramStart"/>
      <w:r>
        <w:rPr>
          <w:rFonts w:ascii="Arial" w:hAnsi="Arial"/>
          <w:sz w:val="20"/>
        </w:rPr>
        <w:t>commit</w:t>
      </w:r>
      <w:proofErr w:type="gramEnd"/>
      <w:r>
        <w:rPr>
          <w:rFonts w:ascii="Arial" w:hAnsi="Arial"/>
          <w:sz w:val="20"/>
        </w:rPr>
        <w:t xml:space="preserve"> a criminal act that reflects adversely on the lawyer’s honesty, trustworthiness, or fitness as a lawyer in other respects.</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(c) </w:t>
      </w:r>
      <w:proofErr w:type="gramStart"/>
      <w:r>
        <w:rPr>
          <w:rFonts w:ascii="Arial" w:hAnsi="Arial"/>
          <w:sz w:val="20"/>
        </w:rPr>
        <w:t>engage</w:t>
      </w:r>
      <w:proofErr w:type="gramEnd"/>
      <w:r>
        <w:rPr>
          <w:rFonts w:ascii="Arial" w:hAnsi="Arial"/>
          <w:sz w:val="20"/>
        </w:rPr>
        <w:t xml:space="preserve"> in conduct involving dishonesty, fraud, deceit, or misrepresentation.</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(d) </w:t>
      </w:r>
      <w:proofErr w:type="gramStart"/>
      <w:r>
        <w:rPr>
          <w:rFonts w:ascii="Arial" w:hAnsi="Arial"/>
          <w:sz w:val="20"/>
        </w:rPr>
        <w:t>engage</w:t>
      </w:r>
      <w:proofErr w:type="gramEnd"/>
      <w:r>
        <w:rPr>
          <w:rFonts w:ascii="Arial" w:hAnsi="Arial"/>
          <w:sz w:val="20"/>
        </w:rPr>
        <w:t xml:space="preserve"> in conduct that is prejudicial to the administration of justice.</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(e) </w:t>
      </w:r>
      <w:proofErr w:type="gramStart"/>
      <w:r>
        <w:rPr>
          <w:rFonts w:ascii="Arial" w:hAnsi="Arial"/>
          <w:sz w:val="20"/>
        </w:rPr>
        <w:t>state</w:t>
      </w:r>
      <w:proofErr w:type="gramEnd"/>
      <w:r>
        <w:rPr>
          <w:rFonts w:ascii="Arial" w:hAnsi="Arial"/>
          <w:sz w:val="20"/>
        </w:rPr>
        <w:t xml:space="preserve"> or imply an ability to influence improperly a government agency or official or to achieve results by means that violate the Rules of Professional Conduct or other law.</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(f) </w:t>
      </w:r>
      <w:proofErr w:type="gramStart"/>
      <w:r>
        <w:rPr>
          <w:rFonts w:ascii="Arial" w:hAnsi="Arial"/>
          <w:sz w:val="20"/>
        </w:rPr>
        <w:t>knowingly</w:t>
      </w:r>
      <w:proofErr w:type="gramEnd"/>
      <w:r>
        <w:rPr>
          <w:rFonts w:ascii="Arial" w:hAnsi="Arial"/>
          <w:sz w:val="20"/>
        </w:rPr>
        <w:t xml:space="preserve"> assist a judge or judicial officer in conduct that is a violation of applicable rules of judicial conduct or other law. Nor shall a lawyer give or lend anything of value to a judge, official, or employee of a tribunal, except those gifts or loans that a judge or a member of the judge’s family may receive under Rule 65(C)(4) of the Illinois Code of Judicial Conduct. Permissible campaign contributions to a judge or candidate for judicial office may be made only by check, draft, or other instrument payable to or to the order of an entity that the lawyer reasonably believes to be a political committee supporting such judge or candidate. Provision of volunteer services by a lawyer to a political committee shall not be deemed to violate this paragraph.</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(g) </w:t>
      </w:r>
      <w:proofErr w:type="gramStart"/>
      <w:r>
        <w:rPr>
          <w:rFonts w:ascii="Arial" w:hAnsi="Arial"/>
          <w:sz w:val="20"/>
        </w:rPr>
        <w:t>present</w:t>
      </w:r>
      <w:proofErr w:type="gramEnd"/>
      <w:r>
        <w:rPr>
          <w:rFonts w:ascii="Arial" w:hAnsi="Arial"/>
          <w:sz w:val="20"/>
        </w:rPr>
        <w:t>, participate in presenting, or threaten to present criminal or professional disciplinary charges to obtain an advantage in a civil matter.</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(h) </w:t>
      </w:r>
      <w:proofErr w:type="gramStart"/>
      <w:r>
        <w:rPr>
          <w:rFonts w:ascii="Arial" w:hAnsi="Arial"/>
          <w:sz w:val="20"/>
        </w:rPr>
        <w:t>enter</w:t>
      </w:r>
      <w:proofErr w:type="gramEnd"/>
      <w:r>
        <w:rPr>
          <w:rFonts w:ascii="Arial" w:hAnsi="Arial"/>
          <w:sz w:val="20"/>
        </w:rPr>
        <w:t xml:space="preserve"> into an agreement with a client or former client limiting or purporting to limit the right of the client or former client to file or pursue any complaint before the Illinois Attorney Registration and Disciplinary Commission.</w:t>
      </w:r>
    </w:p>
    <w:p w:rsidR="0084757A" w:rsidRDefault="0084757A" w:rsidP="0084757A">
      <w:pPr>
        <w:pStyle w:val="FreeForm"/>
        <w:rPr>
          <w:rFonts w:ascii="Times" w:hAnsi="Times"/>
          <w:sz w:val="20"/>
        </w:rPr>
      </w:pPr>
      <w:r>
        <w:rPr>
          <w:rFonts w:ascii="Times" w:hAnsi="Times"/>
          <w:sz w:val="20"/>
        </w:rPr>
        <w:t> </w:t>
      </w:r>
    </w:p>
    <w:p w:rsidR="0084757A" w:rsidRDefault="0084757A" w:rsidP="0084757A">
      <w:pPr>
        <w:pStyle w:val="FreeForm"/>
        <w:spacing w:after="80"/>
        <w:ind w:firstLine="480"/>
        <w:jc w:val="both"/>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 xml:space="preserve">) </w:t>
      </w:r>
      <w:proofErr w:type="gramStart"/>
      <w:r>
        <w:rPr>
          <w:rFonts w:ascii="Arial" w:hAnsi="Arial"/>
          <w:sz w:val="20"/>
        </w:rPr>
        <w:t>avoid</w:t>
      </w:r>
      <w:proofErr w:type="gramEnd"/>
      <w:r>
        <w:rPr>
          <w:rFonts w:ascii="Arial" w:hAnsi="Arial"/>
          <w:sz w:val="20"/>
        </w:rPr>
        <w:t xml:space="preserve"> in bad faith the repayment of an education loan guaranteed by the Illinois Student Assistance Commission or other governmental entity. The lawful discharge of an education loan in a bankruptcy proceeding shall not constitute bad faith under this paragraph, but the discharge shall not preclude a review of the lawyer’s conduct to determine if it constitutes bad faith.</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(j) </w:t>
      </w:r>
      <w:proofErr w:type="gramStart"/>
      <w:r>
        <w:rPr>
          <w:rFonts w:ascii="Arial" w:hAnsi="Arial"/>
          <w:sz w:val="20"/>
        </w:rPr>
        <w:t>violate</w:t>
      </w:r>
      <w:proofErr w:type="gramEnd"/>
      <w:r>
        <w:rPr>
          <w:rFonts w:ascii="Arial" w:hAnsi="Arial"/>
          <w:sz w:val="20"/>
        </w:rPr>
        <w:t xml:space="preserve"> a federal, state or local statute or ordinance that prohibits discrimination based on race, sex, religion, national origin, disability, age, sexual orientation or socioeconomic status by conduct that reflects adversely on the lawyer’s fitness as a lawyer. Whether a discriminatory act reflects adversely on a lawyer’s fitness as a lawyer shall be determined after consideration of all the circumstances, including: the seriousness of the act; whether the lawyer knew that the act was prohibited by statute or ordinance; whether the act was part of a pattern of prohibited conduct; and whether the act was committed in connection with the lawyer’s professional activities. No charge of professional misconduct may be brought pursuant to this paragraph until a court or administrative agency of competent jurisdiction has found that the lawyer has engaged in an unlawful discriminatory act, and the finding of the court or administrative agency has become final and enforceable and any right of judicial review has been exhausted.</w:t>
      </w:r>
    </w:p>
    <w:p w:rsidR="0084757A" w:rsidRDefault="0084757A" w:rsidP="0084757A">
      <w:pPr>
        <w:pStyle w:val="FreeForm"/>
        <w:spacing w:after="80"/>
        <w:ind w:firstLine="480"/>
        <w:jc w:val="both"/>
        <w:rPr>
          <w:rFonts w:ascii="Arial" w:hAnsi="Arial"/>
          <w:sz w:val="20"/>
        </w:rPr>
      </w:pPr>
      <w:r>
        <w:rPr>
          <w:rFonts w:ascii="Arial" w:hAnsi="Arial"/>
          <w:sz w:val="20"/>
        </w:rPr>
        <w:t> </w:t>
      </w:r>
    </w:p>
    <w:p w:rsidR="0084757A" w:rsidRDefault="0084757A" w:rsidP="0084757A">
      <w:pPr>
        <w:pStyle w:val="FreeForm"/>
        <w:spacing w:after="80"/>
        <w:ind w:firstLine="480"/>
        <w:jc w:val="both"/>
        <w:rPr>
          <w:rFonts w:ascii="Arial" w:hAnsi="Arial"/>
          <w:sz w:val="20"/>
        </w:rPr>
      </w:pPr>
      <w:r>
        <w:rPr>
          <w:rFonts w:ascii="Arial" w:hAnsi="Arial"/>
          <w:sz w:val="20"/>
        </w:rPr>
        <w:t xml:space="preserve">(k) </w:t>
      </w:r>
      <w:proofErr w:type="gramStart"/>
      <w:r>
        <w:rPr>
          <w:rFonts w:ascii="Arial" w:hAnsi="Arial"/>
          <w:sz w:val="20"/>
        </w:rPr>
        <w:t>if</w:t>
      </w:r>
      <w:proofErr w:type="gramEnd"/>
      <w:r>
        <w:rPr>
          <w:rFonts w:ascii="Arial" w:hAnsi="Arial"/>
          <w:sz w:val="20"/>
        </w:rPr>
        <w:t xml:space="preserve"> the lawyer holds public office:</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(1) use that office to obtain, or attempt to obtain, a special advantage in a legislative matter for a client under circumstances where the lawyer knows or reasonably should know that such action is not in the public interest;</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(2) </w:t>
      </w:r>
      <w:proofErr w:type="gramStart"/>
      <w:r>
        <w:rPr>
          <w:rFonts w:ascii="Arial" w:hAnsi="Arial"/>
          <w:sz w:val="20"/>
        </w:rPr>
        <w:t>use</w:t>
      </w:r>
      <w:proofErr w:type="gramEnd"/>
      <w:r>
        <w:rPr>
          <w:rFonts w:ascii="Arial" w:hAnsi="Arial"/>
          <w:sz w:val="20"/>
        </w:rPr>
        <w:t xml:space="preserve"> that office to influence, or attempt to influence, a tribunal to act in favor of a client; or</w:t>
      </w:r>
    </w:p>
    <w:p w:rsidR="0084757A" w:rsidRDefault="0084757A" w:rsidP="0084757A">
      <w:pPr>
        <w:pStyle w:val="FreeForm"/>
        <w:spacing w:after="80"/>
        <w:ind w:left="480" w:firstLine="480"/>
        <w:jc w:val="both"/>
        <w:rPr>
          <w:rFonts w:ascii="Arial" w:hAnsi="Arial"/>
          <w:sz w:val="20"/>
        </w:rPr>
      </w:pPr>
      <w:r>
        <w:rPr>
          <w:rFonts w:ascii="Arial" w:hAnsi="Arial"/>
          <w:sz w:val="20"/>
        </w:rPr>
        <w:t> </w:t>
      </w:r>
    </w:p>
    <w:p w:rsidR="0084757A" w:rsidRDefault="0084757A" w:rsidP="0084757A">
      <w:pPr>
        <w:pStyle w:val="FreeForm"/>
        <w:spacing w:after="80"/>
        <w:ind w:left="480" w:firstLine="480"/>
        <w:jc w:val="both"/>
        <w:rPr>
          <w:rFonts w:ascii="Arial" w:hAnsi="Arial"/>
          <w:sz w:val="20"/>
        </w:rPr>
      </w:pPr>
      <w:r>
        <w:rPr>
          <w:rFonts w:ascii="Arial" w:hAnsi="Arial"/>
          <w:sz w:val="20"/>
        </w:rPr>
        <w:t xml:space="preserve">(3) </w:t>
      </w:r>
      <w:proofErr w:type="gramStart"/>
      <w:r>
        <w:rPr>
          <w:rFonts w:ascii="Arial" w:hAnsi="Arial"/>
          <w:sz w:val="20"/>
        </w:rPr>
        <w:t>represent</w:t>
      </w:r>
      <w:proofErr w:type="gramEnd"/>
      <w:r>
        <w:rPr>
          <w:rFonts w:ascii="Arial" w:hAnsi="Arial"/>
          <w:sz w:val="20"/>
        </w:rPr>
        <w:t xml:space="preserve"> any client, including a municipal corporation or other public body, in the promotion or defeat of legislative or other proposals pending before the public body of which such lawyer is a member or by which such lawyer is employed.</w:t>
      </w:r>
    </w:p>
    <w:p w:rsidR="0084757A" w:rsidRDefault="0084757A" w:rsidP="0084757A">
      <w:pPr>
        <w:pStyle w:val="FreeForm"/>
        <w:spacing w:after="80"/>
        <w:jc w:val="both"/>
        <w:rPr>
          <w:rFonts w:ascii="Arial" w:hAnsi="Arial"/>
          <w:sz w:val="20"/>
        </w:rPr>
      </w:pPr>
      <w:r>
        <w:rPr>
          <w:rFonts w:ascii="Arial" w:hAnsi="Arial"/>
          <w:sz w:val="20"/>
        </w:rPr>
        <w:t> </w:t>
      </w:r>
    </w:p>
    <w:p w:rsidR="0084757A" w:rsidRDefault="0084757A" w:rsidP="0084757A">
      <w:pPr>
        <w:pStyle w:val="FreeForm"/>
        <w:spacing w:after="80"/>
        <w:jc w:val="both"/>
        <w:rPr>
          <w:rFonts w:ascii="Arial" w:hAnsi="Arial"/>
          <w:sz w:val="30"/>
        </w:rPr>
      </w:pPr>
      <w:r>
        <w:rPr>
          <w:rFonts w:ascii="Arial" w:hAnsi="Arial"/>
          <w:sz w:val="30"/>
        </w:rPr>
        <w:t> </w:t>
      </w:r>
    </w:p>
    <w:p w:rsidR="0084757A" w:rsidRDefault="0084757A" w:rsidP="0084757A">
      <w:pPr>
        <w:pStyle w:val="Body"/>
        <w:rPr>
          <w:rFonts w:ascii="Times New Roman" w:eastAsia="Times New Roman" w:hAnsi="Times New Roman"/>
          <w:color w:val="auto"/>
          <w:sz w:val="20"/>
          <w:lang w:val="en-US" w:eastAsia="en-US" w:bidi="x-none"/>
        </w:rPr>
      </w:pPr>
    </w:p>
    <w:p w:rsidR="0084757A" w:rsidRPr="0084757A" w:rsidRDefault="0084757A">
      <w:pPr>
        <w:rPr>
          <w:rFonts w:ascii="Times New Roman" w:hAnsi="Times New Roman" w:cs="Times New Roman"/>
          <w:sz w:val="28"/>
          <w:szCs w:val="28"/>
        </w:rPr>
      </w:pPr>
    </w:p>
    <w:sectPr w:rsidR="0084757A" w:rsidRPr="0084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Verdana Italic">
    <w:panose1 w:val="020B06040305040B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5"/>
    <w:multiLevelType w:val="multilevel"/>
    <w:tmpl w:val="894EE877"/>
    <w:numStyleLink w:val="List1"/>
  </w:abstractNum>
  <w:abstractNum w:abstractNumId="2">
    <w:nsid w:val="00000006"/>
    <w:multiLevelType w:val="multilevel"/>
    <w:tmpl w:val="894EE878"/>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3">
    <w:nsid w:val="00000007"/>
    <w:multiLevelType w:val="multilevel"/>
    <w:tmpl w:val="894EE879"/>
    <w:lvl w:ilvl="0">
      <w:start w:val="2"/>
      <w:numFmt w:val="lowerLetter"/>
      <w:lvlText w:val="(%1)"/>
      <w:lvlJc w:val="left"/>
      <w:pPr>
        <w:tabs>
          <w:tab w:val="num" w:pos="450"/>
        </w:tabs>
        <w:ind w:left="450" w:firstLine="0"/>
      </w:pPr>
      <w:rPr>
        <w:rFonts w:hint="default"/>
        <w:position w:val="0"/>
      </w:rPr>
    </w:lvl>
    <w:lvl w:ilvl="1">
      <w:start w:val="1"/>
      <w:numFmt w:val="lowerLetter"/>
      <w:lvlText w:val="(%2)"/>
      <w:lvlJc w:val="left"/>
      <w:pPr>
        <w:tabs>
          <w:tab w:val="num" w:pos="450"/>
        </w:tabs>
        <w:ind w:left="450" w:firstLine="720"/>
      </w:pPr>
      <w:rPr>
        <w:rFonts w:hint="default"/>
        <w:position w:val="0"/>
      </w:rPr>
    </w:lvl>
    <w:lvl w:ilvl="2">
      <w:start w:val="1"/>
      <w:numFmt w:val="lowerLetter"/>
      <w:lvlText w:val="(%3)"/>
      <w:lvlJc w:val="left"/>
      <w:pPr>
        <w:tabs>
          <w:tab w:val="num" w:pos="450"/>
        </w:tabs>
        <w:ind w:left="450" w:firstLine="1440"/>
      </w:pPr>
      <w:rPr>
        <w:rFonts w:hint="default"/>
        <w:position w:val="0"/>
      </w:rPr>
    </w:lvl>
    <w:lvl w:ilvl="3">
      <w:start w:val="1"/>
      <w:numFmt w:val="lowerLetter"/>
      <w:lvlText w:val="(%4)"/>
      <w:lvlJc w:val="left"/>
      <w:pPr>
        <w:tabs>
          <w:tab w:val="num" w:pos="450"/>
        </w:tabs>
        <w:ind w:left="450" w:firstLine="2160"/>
      </w:pPr>
      <w:rPr>
        <w:rFonts w:hint="default"/>
        <w:position w:val="0"/>
      </w:rPr>
    </w:lvl>
    <w:lvl w:ilvl="4">
      <w:start w:val="1"/>
      <w:numFmt w:val="lowerLetter"/>
      <w:lvlText w:val="(%5)"/>
      <w:lvlJc w:val="left"/>
      <w:pPr>
        <w:tabs>
          <w:tab w:val="num" w:pos="450"/>
        </w:tabs>
        <w:ind w:left="450" w:firstLine="2880"/>
      </w:pPr>
      <w:rPr>
        <w:rFonts w:hint="default"/>
        <w:position w:val="0"/>
      </w:rPr>
    </w:lvl>
    <w:lvl w:ilvl="5">
      <w:start w:val="1"/>
      <w:numFmt w:val="lowerLetter"/>
      <w:lvlText w:val="(%6)"/>
      <w:lvlJc w:val="left"/>
      <w:pPr>
        <w:tabs>
          <w:tab w:val="num" w:pos="450"/>
        </w:tabs>
        <w:ind w:left="450" w:firstLine="3600"/>
      </w:pPr>
      <w:rPr>
        <w:rFonts w:hint="default"/>
        <w:position w:val="0"/>
      </w:rPr>
    </w:lvl>
    <w:lvl w:ilvl="6">
      <w:start w:val="1"/>
      <w:numFmt w:val="lowerLetter"/>
      <w:lvlText w:val="(%7)"/>
      <w:lvlJc w:val="left"/>
      <w:pPr>
        <w:tabs>
          <w:tab w:val="num" w:pos="450"/>
        </w:tabs>
        <w:ind w:left="450" w:firstLine="4320"/>
      </w:pPr>
      <w:rPr>
        <w:rFonts w:hint="default"/>
        <w:position w:val="0"/>
      </w:rPr>
    </w:lvl>
    <w:lvl w:ilvl="7">
      <w:start w:val="1"/>
      <w:numFmt w:val="lowerLetter"/>
      <w:lvlText w:val="(%8)"/>
      <w:lvlJc w:val="left"/>
      <w:pPr>
        <w:tabs>
          <w:tab w:val="num" w:pos="450"/>
        </w:tabs>
        <w:ind w:left="450" w:firstLine="5040"/>
      </w:pPr>
      <w:rPr>
        <w:rFonts w:hint="default"/>
        <w:position w:val="0"/>
      </w:rPr>
    </w:lvl>
    <w:lvl w:ilvl="8">
      <w:start w:val="1"/>
      <w:numFmt w:val="lowerLetter"/>
      <w:lvlText w:val="(%9)"/>
      <w:lvlJc w:val="left"/>
      <w:pPr>
        <w:tabs>
          <w:tab w:val="num" w:pos="450"/>
        </w:tabs>
        <w:ind w:left="450" w:firstLine="576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7A"/>
    <w:rsid w:val="000C2566"/>
    <w:rsid w:val="00490C17"/>
    <w:rsid w:val="0084757A"/>
    <w:rsid w:val="00B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4757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84757A"/>
    <w:pPr>
      <w:spacing w:after="0" w:line="240" w:lineRule="auto"/>
    </w:pPr>
    <w:rPr>
      <w:rFonts w:ascii="Helvetica" w:eastAsia="ヒラギノ角ゴ Pro W3" w:hAnsi="Helvetica" w:cs="Times New Roman"/>
      <w:color w:val="000000"/>
      <w:sz w:val="24"/>
      <w:szCs w:val="20"/>
    </w:rPr>
  </w:style>
  <w:style w:type="numbering" w:customStyle="1" w:styleId="List1">
    <w:name w:val="List 1"/>
    <w:rsid w:val="0084757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4757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84757A"/>
    <w:pPr>
      <w:spacing w:after="0" w:line="240" w:lineRule="auto"/>
    </w:pPr>
    <w:rPr>
      <w:rFonts w:ascii="Helvetica" w:eastAsia="ヒラギノ角ゴ Pro W3" w:hAnsi="Helvetica" w:cs="Times New Roman"/>
      <w:color w:val="000000"/>
      <w:sz w:val="24"/>
      <w:szCs w:val="20"/>
    </w:rPr>
  </w:style>
  <w:style w:type="numbering" w:customStyle="1" w:styleId="List1">
    <w:name w:val="List 1"/>
    <w:rsid w:val="0084757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Ogden, Gregory</dc:creator>
  <cp:lastModifiedBy>Ogden, Gregory</cp:lastModifiedBy>
  <cp:revision>2</cp:revision>
  <dcterms:created xsi:type="dcterms:W3CDTF">2013-06-06T18:51:00Z</dcterms:created>
  <dcterms:modified xsi:type="dcterms:W3CDTF">2013-06-06T18:58:00Z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gFAA5ajW4yTOEjuEso0DRuthQPyrT/YwHav2cx7qrTvjg6FvEOYpsTfi6lNXNOdkLnCsrEdC4uwE6kgs
sNAceOwaG3MKMuu1UykRrRn1Qoee9mJmFHJdeEcUxs4Ky0Wi4Jhb6XDiuWN5RKQssNAceOwaG3MK
Muu1UykRrRn1Qoee9mJmFHJdeEcUxs4Ky0Wi4JhbITk+TfyiMhZEav7ZLkYARhXhenEsL8Ta7oQ1
HSE3Bp6lk7j0nRuA7</vt:lpwstr>
  </property>
  <property fmtid="{D5CDD505-2E9C-101B-9397-08002B2CF9AE}" pid="4" name="MAIL_MSG_ID2">
    <vt:lpwstr>UWRc9lsS8l8Zpyr/qrHDY8BE4OHf1YmUh3ZWAhgmDSyfcX2OduwD8XyiOSM
aPBsLNiiVYvFL31WoDJZJHUKeaJ2hWmlua6O8w==</vt:lpwstr>
  </property>
  <property fmtid="{D5CDD505-2E9C-101B-9397-08002B2CF9AE}" pid="5" name="RESPONSE_SENDER_NAME">
    <vt:lpwstr>sAAAUYtyAkeNWR7FJ2TaBN+DBZt6OAAJ2BW9QsmPIUeP7Sg=</vt:lpwstr>
  </property>
  <property fmtid="{D5CDD505-2E9C-101B-9397-08002B2CF9AE}" pid="6" name="EMAIL_OWNER_ADDRESS">
    <vt:lpwstr>4AAAv2pPQheLA5WA/wLXcdqVmdtdBHbXVpxcJ9z02QxUhJHWqOSnSqp0JQ==</vt:lpwstr>
  </property>
</Properties>
</file>