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B87C0" w14:textId="7BE6039C" w:rsidR="009F3841" w:rsidRDefault="009F3841" w:rsidP="009B2A1D">
      <w:pPr>
        <w:pStyle w:val="Heading1"/>
        <w:jc w:val="center"/>
      </w:pPr>
      <w:bookmarkStart w:id="0" w:name="_Hlk1992593"/>
    </w:p>
    <w:p w14:paraId="21B3EFE6" w14:textId="77777777" w:rsidR="009F3841" w:rsidRDefault="009F3841" w:rsidP="009F3841">
      <w:pPr>
        <w:pStyle w:val="Title"/>
        <w:jc w:val="center"/>
      </w:pPr>
    </w:p>
    <w:p w14:paraId="0F070753" w14:textId="77777777" w:rsidR="009F3841" w:rsidRDefault="009F3841" w:rsidP="009F3841">
      <w:pPr>
        <w:pStyle w:val="Title"/>
        <w:jc w:val="center"/>
      </w:pPr>
    </w:p>
    <w:p w14:paraId="1BB0BA8B" w14:textId="77777777" w:rsidR="009F3841" w:rsidRPr="003134AF" w:rsidRDefault="009F3841" w:rsidP="009F3841"/>
    <w:p w14:paraId="63AE90F3" w14:textId="38BDBAF1" w:rsidR="00765F16" w:rsidRDefault="00D14C75" w:rsidP="009F3841">
      <w:pPr>
        <w:pStyle w:val="Title"/>
        <w:jc w:val="center"/>
      </w:pPr>
      <w:r>
        <w:t xml:space="preserve">Modeling Assumptions for the </w:t>
      </w:r>
      <w:r w:rsidR="2C56BE19">
        <w:t>2021</w:t>
      </w:r>
      <w:r>
        <w:t>-</w:t>
      </w:r>
      <w:r w:rsidR="6B3F7E8A">
        <w:t>2022</w:t>
      </w:r>
      <w:r>
        <w:t xml:space="preserve"> T</w:t>
      </w:r>
      <w:r w:rsidR="00197847">
        <w:t>ransmission Planning Process</w:t>
      </w:r>
    </w:p>
    <w:p w14:paraId="65F13398" w14:textId="2AF41702" w:rsidR="009F3841" w:rsidRDefault="009F3841" w:rsidP="009F3841">
      <w:pPr>
        <w:pStyle w:val="Title"/>
        <w:jc w:val="center"/>
      </w:pPr>
    </w:p>
    <w:p w14:paraId="4DD66F55" w14:textId="77777777" w:rsidR="009F3841" w:rsidRPr="009F3841" w:rsidRDefault="009F3841" w:rsidP="00C17AD5"/>
    <w:p w14:paraId="71554AE6" w14:textId="77777777" w:rsidR="009F3841" w:rsidRDefault="009F3841" w:rsidP="009F3841">
      <w:pPr>
        <w:jc w:val="center"/>
        <w:rPr>
          <w:sz w:val="32"/>
          <w:szCs w:val="32"/>
        </w:rPr>
      </w:pPr>
    </w:p>
    <w:p w14:paraId="70273CFB" w14:textId="77777777" w:rsidR="009F3841" w:rsidRDefault="009F3841" w:rsidP="009F3841">
      <w:pPr>
        <w:jc w:val="center"/>
        <w:rPr>
          <w:sz w:val="32"/>
          <w:szCs w:val="32"/>
        </w:rPr>
      </w:pPr>
    </w:p>
    <w:p w14:paraId="4A204A20" w14:textId="4678529B" w:rsidR="009F3841" w:rsidRPr="00340928" w:rsidRDefault="756A8183" w:rsidP="009F3841">
      <w:pPr>
        <w:jc w:val="center"/>
        <w:rPr>
          <w:sz w:val="32"/>
          <w:szCs w:val="32"/>
        </w:rPr>
      </w:pPr>
      <w:r w:rsidRPr="4645797E">
        <w:rPr>
          <w:sz w:val="32"/>
          <w:szCs w:val="32"/>
        </w:rPr>
        <w:t>February</w:t>
      </w:r>
      <w:r w:rsidR="60B49E1B" w:rsidRPr="4645797E">
        <w:rPr>
          <w:sz w:val="32"/>
          <w:szCs w:val="32"/>
        </w:rPr>
        <w:t xml:space="preserve"> </w:t>
      </w:r>
      <w:r w:rsidR="6C6CD5AB" w:rsidRPr="4645797E">
        <w:rPr>
          <w:sz w:val="32"/>
          <w:szCs w:val="32"/>
        </w:rPr>
        <w:t>2021</w:t>
      </w:r>
    </w:p>
    <w:p w14:paraId="53C8884A" w14:textId="77777777" w:rsidR="009F3841" w:rsidRDefault="009F3841" w:rsidP="009F3841"/>
    <w:p w14:paraId="4F21507B" w14:textId="77777777" w:rsidR="009F3841" w:rsidRDefault="009F3841" w:rsidP="009F3841"/>
    <w:p w14:paraId="4C19511B" w14:textId="77777777" w:rsidR="009F3841" w:rsidRDefault="009F3841" w:rsidP="009F3841"/>
    <w:p w14:paraId="02494B29" w14:textId="77777777" w:rsidR="009F3841" w:rsidRDefault="009F3841" w:rsidP="009F3841"/>
    <w:p w14:paraId="50D508E9" w14:textId="77777777" w:rsidR="009F3841" w:rsidRDefault="009F3841" w:rsidP="009F3841"/>
    <w:p w14:paraId="17C3A226" w14:textId="77777777" w:rsidR="009F3841" w:rsidRDefault="009F3841" w:rsidP="009F3841"/>
    <w:p w14:paraId="47304B92" w14:textId="77777777" w:rsidR="009F3841" w:rsidRDefault="009F3841" w:rsidP="009F3841"/>
    <w:p w14:paraId="22CFE99F" w14:textId="77777777" w:rsidR="009F3841" w:rsidRDefault="009F3841" w:rsidP="009F3841"/>
    <w:p w14:paraId="1D423A7A" w14:textId="77777777" w:rsidR="009F3841" w:rsidRDefault="009F3841" w:rsidP="009F3841"/>
    <w:p w14:paraId="10CA1943" w14:textId="77777777" w:rsidR="009F3841" w:rsidRDefault="009F3841" w:rsidP="009F3841"/>
    <w:p w14:paraId="071DDC4D" w14:textId="5E4F5687" w:rsidR="009F3841" w:rsidRDefault="7286E1B7" w:rsidP="004120BB">
      <w:pPr>
        <w:jc w:val="center"/>
      </w:pPr>
      <w:r>
        <w:rPr>
          <w:noProof/>
        </w:rPr>
        <w:drawing>
          <wp:inline distT="0" distB="0" distL="0" distR="0" wp14:anchorId="5FF24751" wp14:editId="52BCE37D">
            <wp:extent cx="802257" cy="782742"/>
            <wp:effectExtent l="0" t="0" r="0" b="0"/>
            <wp:docPr id="758788037" name="Picture 6" descr="http://www.desertnewspost.com/wp-content/uploads/2015/03/CPU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02257" cy="782742"/>
                    </a:xfrm>
                    <a:prstGeom prst="rect">
                      <a:avLst/>
                    </a:prstGeom>
                  </pic:spPr>
                </pic:pic>
              </a:graphicData>
            </a:graphic>
          </wp:inline>
        </w:drawing>
      </w:r>
    </w:p>
    <w:p w14:paraId="01AB1745" w14:textId="090B6A17" w:rsidR="009F3841" w:rsidRDefault="009F3841" w:rsidP="009F3841"/>
    <w:p w14:paraId="219AFA71" w14:textId="1EB07208" w:rsidR="009F3841" w:rsidRDefault="009F3841" w:rsidP="009F3841"/>
    <w:p w14:paraId="72137133" w14:textId="7600947B" w:rsidR="009F3841" w:rsidRDefault="009F3841" w:rsidP="009F3841"/>
    <w:p w14:paraId="0F4D203B" w14:textId="77777777" w:rsidR="009F3841" w:rsidRPr="009F3841" w:rsidRDefault="009F3841" w:rsidP="00C17AD5"/>
    <w:p w14:paraId="0D0D78CC" w14:textId="7F996CBF" w:rsidR="0029101D" w:rsidRDefault="00F96B7B" w:rsidP="00F96B7B">
      <w:pPr>
        <w:spacing w:after="160" w:line="259" w:lineRule="auto"/>
        <w:ind w:left="0"/>
      </w:pPr>
      <w:bookmarkStart w:id="1" w:name="_Hlk3798476"/>
      <w:bookmarkStart w:id="2" w:name="_Hlk5347211"/>
      <w:bookmarkStart w:id="3" w:name="_Hlk6227848"/>
      <w:bookmarkStart w:id="4" w:name="_Hlk8888741"/>
      <w:bookmarkStart w:id="5" w:name="_Hlk12885459"/>
      <w:bookmarkStart w:id="6" w:name="_Hlk15899381"/>
      <w:r>
        <w:br w:type="page"/>
      </w:r>
    </w:p>
    <w:bookmarkStart w:id="7" w:name="_Hlk5184977" w:displacedByCustomXml="next"/>
    <w:bookmarkStart w:id="8" w:name="_Hlk4495719" w:displacedByCustomXml="next"/>
    <w:bookmarkStart w:id="9" w:name="_Hlk7161247" w:displacedByCustomXml="next"/>
    <w:bookmarkStart w:id="10" w:name="_Hlk7432770" w:displacedByCustomXml="next"/>
    <w:bookmarkStart w:id="11" w:name="_Hlk14678192" w:displacedByCustomXml="next"/>
    <w:bookmarkStart w:id="12" w:name="_Hlk12272094" w:displacedByCustomXml="next"/>
    <w:bookmarkStart w:id="13" w:name="_Hlk12007632" w:displacedByCustomXml="next"/>
    <w:bookmarkStart w:id="14" w:name="_Hlk12950707" w:displacedByCustomXml="next"/>
    <w:bookmarkStart w:id="15" w:name="_Hlk10820870" w:displacedByCustomXml="next"/>
    <w:bookmarkStart w:id="16" w:name="_Hlk7766364" w:displacedByCustomXml="next"/>
    <w:bookmarkStart w:id="17" w:name="_Hlk5781366" w:displacedByCustomXml="next"/>
    <w:bookmarkStart w:id="18" w:name="_Hlk5345632" w:displacedByCustomXml="next"/>
    <w:bookmarkStart w:id="19" w:name="_Hlk15037212" w:displacedByCustomXml="next"/>
    <w:sdt>
      <w:sdtPr>
        <w:rPr>
          <w:rFonts w:ascii="Garamond" w:eastAsiaTheme="minorHAnsi" w:hAnsi="Garamond" w:cs="Calibri"/>
          <w:color w:val="auto"/>
          <w:sz w:val="24"/>
          <w:szCs w:val="22"/>
          <w:shd w:val="clear" w:color="auto" w:fill="E6E6E6"/>
        </w:rPr>
        <w:id w:val="-1659759344"/>
        <w:docPartObj>
          <w:docPartGallery w:val="Table of Contents"/>
          <w:docPartUnique/>
        </w:docPartObj>
      </w:sdtPr>
      <w:sdtEndPr>
        <w:rPr>
          <w:b/>
        </w:rPr>
      </w:sdtEndPr>
      <w:sdtContent>
        <w:p w14:paraId="05FF0959" w14:textId="0862BA15" w:rsidR="00BF108C" w:rsidRDefault="00BF108C">
          <w:pPr>
            <w:pStyle w:val="TOCHeading"/>
          </w:pPr>
          <w:r>
            <w:t>Contents</w:t>
          </w:r>
        </w:p>
        <w:p w14:paraId="1D4778BC" w14:textId="366087F1" w:rsidR="00DD54CE" w:rsidRDefault="00BF108C">
          <w:pPr>
            <w:pStyle w:val="TOC2"/>
            <w:rPr>
              <w:rFonts w:asciiTheme="minorHAnsi" w:eastAsiaTheme="minorEastAsia" w:hAnsiTheme="minorHAnsi" w:cstheme="minorBidi"/>
              <w:noProof/>
              <w:sz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63669590" w:history="1">
            <w:r w:rsidR="00DD54CE" w:rsidRPr="009E24E5">
              <w:rPr>
                <w:rStyle w:val="Hyperlink"/>
                <w:noProof/>
              </w:rPr>
              <w:t>1.</w:t>
            </w:r>
            <w:r w:rsidR="00DD54CE">
              <w:rPr>
                <w:rFonts w:asciiTheme="minorHAnsi" w:eastAsiaTheme="minorEastAsia" w:hAnsiTheme="minorHAnsi" w:cstheme="minorBidi"/>
                <w:noProof/>
                <w:sz w:val="22"/>
              </w:rPr>
              <w:tab/>
            </w:r>
            <w:r w:rsidR="00DD54CE" w:rsidRPr="009E24E5">
              <w:rPr>
                <w:rStyle w:val="Hyperlink"/>
                <w:noProof/>
              </w:rPr>
              <w:t>Document Purpose</w:t>
            </w:r>
            <w:r w:rsidR="00DD54CE">
              <w:rPr>
                <w:noProof/>
                <w:webHidden/>
              </w:rPr>
              <w:tab/>
            </w:r>
            <w:r w:rsidR="00DD54CE">
              <w:rPr>
                <w:noProof/>
                <w:webHidden/>
              </w:rPr>
              <w:fldChar w:fldCharType="begin"/>
            </w:r>
            <w:r w:rsidR="00DD54CE">
              <w:rPr>
                <w:noProof/>
                <w:webHidden/>
              </w:rPr>
              <w:instrText xml:space="preserve"> PAGEREF _Toc63669590 \h </w:instrText>
            </w:r>
            <w:r w:rsidR="00DD54CE">
              <w:rPr>
                <w:noProof/>
                <w:webHidden/>
              </w:rPr>
            </w:r>
            <w:r w:rsidR="00DD54CE">
              <w:rPr>
                <w:noProof/>
                <w:webHidden/>
              </w:rPr>
              <w:fldChar w:fldCharType="separate"/>
            </w:r>
            <w:r w:rsidR="00DD54CE">
              <w:rPr>
                <w:noProof/>
                <w:webHidden/>
              </w:rPr>
              <w:t>3</w:t>
            </w:r>
            <w:r w:rsidR="00DD54CE">
              <w:rPr>
                <w:noProof/>
                <w:webHidden/>
              </w:rPr>
              <w:fldChar w:fldCharType="end"/>
            </w:r>
          </w:hyperlink>
        </w:p>
        <w:p w14:paraId="59EF96B8" w14:textId="481CFB10" w:rsidR="00DD54CE" w:rsidRDefault="00F02B49">
          <w:pPr>
            <w:pStyle w:val="TOC2"/>
            <w:rPr>
              <w:rFonts w:asciiTheme="minorHAnsi" w:eastAsiaTheme="minorEastAsia" w:hAnsiTheme="minorHAnsi" w:cstheme="minorBidi"/>
              <w:noProof/>
              <w:sz w:val="22"/>
            </w:rPr>
          </w:pPr>
          <w:hyperlink w:anchor="_Toc63669591" w:history="1">
            <w:r w:rsidR="00DD54CE" w:rsidRPr="009E24E5">
              <w:rPr>
                <w:rStyle w:val="Hyperlink"/>
                <w:noProof/>
              </w:rPr>
              <w:t>2.</w:t>
            </w:r>
            <w:r w:rsidR="00DD54CE">
              <w:rPr>
                <w:rFonts w:asciiTheme="minorHAnsi" w:eastAsiaTheme="minorEastAsia" w:hAnsiTheme="minorHAnsi" w:cstheme="minorBidi"/>
                <w:noProof/>
                <w:sz w:val="22"/>
              </w:rPr>
              <w:tab/>
            </w:r>
            <w:r w:rsidR="00DD54CE" w:rsidRPr="009E24E5">
              <w:rPr>
                <w:rStyle w:val="Hyperlink"/>
                <w:noProof/>
              </w:rPr>
              <w:t>Scope</w:t>
            </w:r>
            <w:r w:rsidR="00DD54CE">
              <w:rPr>
                <w:noProof/>
                <w:webHidden/>
              </w:rPr>
              <w:tab/>
            </w:r>
            <w:r w:rsidR="00DD54CE">
              <w:rPr>
                <w:noProof/>
                <w:webHidden/>
              </w:rPr>
              <w:fldChar w:fldCharType="begin"/>
            </w:r>
            <w:r w:rsidR="00DD54CE">
              <w:rPr>
                <w:noProof/>
                <w:webHidden/>
              </w:rPr>
              <w:instrText xml:space="preserve"> PAGEREF _Toc63669591 \h </w:instrText>
            </w:r>
            <w:r w:rsidR="00DD54CE">
              <w:rPr>
                <w:noProof/>
                <w:webHidden/>
              </w:rPr>
            </w:r>
            <w:r w:rsidR="00DD54CE">
              <w:rPr>
                <w:noProof/>
                <w:webHidden/>
              </w:rPr>
              <w:fldChar w:fldCharType="separate"/>
            </w:r>
            <w:r w:rsidR="00DD54CE">
              <w:rPr>
                <w:noProof/>
                <w:webHidden/>
              </w:rPr>
              <w:t>7</w:t>
            </w:r>
            <w:r w:rsidR="00DD54CE">
              <w:rPr>
                <w:noProof/>
                <w:webHidden/>
              </w:rPr>
              <w:fldChar w:fldCharType="end"/>
            </w:r>
          </w:hyperlink>
        </w:p>
        <w:p w14:paraId="5775FA31" w14:textId="28A4AD70" w:rsidR="00DD54CE" w:rsidRDefault="00F02B49">
          <w:pPr>
            <w:pStyle w:val="TOC2"/>
            <w:rPr>
              <w:rFonts w:asciiTheme="minorHAnsi" w:eastAsiaTheme="minorEastAsia" w:hAnsiTheme="minorHAnsi" w:cstheme="minorBidi"/>
              <w:noProof/>
              <w:sz w:val="22"/>
            </w:rPr>
          </w:pPr>
          <w:hyperlink w:anchor="_Toc63669592" w:history="1">
            <w:r w:rsidR="00DD54CE" w:rsidRPr="009E24E5">
              <w:rPr>
                <w:rStyle w:val="Hyperlink"/>
                <w:noProof/>
              </w:rPr>
              <w:t>3.</w:t>
            </w:r>
            <w:r w:rsidR="00DD54CE">
              <w:rPr>
                <w:rFonts w:asciiTheme="minorHAnsi" w:eastAsiaTheme="minorEastAsia" w:hAnsiTheme="minorHAnsi" w:cstheme="minorBidi"/>
                <w:noProof/>
                <w:sz w:val="22"/>
              </w:rPr>
              <w:tab/>
            </w:r>
            <w:r w:rsidR="00DD54CE" w:rsidRPr="009E24E5">
              <w:rPr>
                <w:rStyle w:val="Hyperlink"/>
                <w:noProof/>
              </w:rPr>
              <w:t>Report Summary</w:t>
            </w:r>
            <w:r w:rsidR="00DD54CE">
              <w:rPr>
                <w:noProof/>
                <w:webHidden/>
              </w:rPr>
              <w:tab/>
            </w:r>
            <w:r w:rsidR="00DD54CE">
              <w:rPr>
                <w:noProof/>
                <w:webHidden/>
              </w:rPr>
              <w:fldChar w:fldCharType="begin"/>
            </w:r>
            <w:r w:rsidR="00DD54CE">
              <w:rPr>
                <w:noProof/>
                <w:webHidden/>
              </w:rPr>
              <w:instrText xml:space="preserve"> PAGEREF _Toc63669592 \h </w:instrText>
            </w:r>
            <w:r w:rsidR="00DD54CE">
              <w:rPr>
                <w:noProof/>
                <w:webHidden/>
              </w:rPr>
            </w:r>
            <w:r w:rsidR="00DD54CE">
              <w:rPr>
                <w:noProof/>
                <w:webHidden/>
              </w:rPr>
              <w:fldChar w:fldCharType="separate"/>
            </w:r>
            <w:r w:rsidR="00DD54CE">
              <w:rPr>
                <w:noProof/>
                <w:webHidden/>
              </w:rPr>
              <w:t>8</w:t>
            </w:r>
            <w:r w:rsidR="00DD54CE">
              <w:rPr>
                <w:noProof/>
                <w:webHidden/>
              </w:rPr>
              <w:fldChar w:fldCharType="end"/>
            </w:r>
          </w:hyperlink>
        </w:p>
        <w:p w14:paraId="640C1279" w14:textId="6072FA89" w:rsidR="00DD54CE" w:rsidRDefault="00F02B49">
          <w:pPr>
            <w:pStyle w:val="TOC2"/>
            <w:rPr>
              <w:rFonts w:asciiTheme="minorHAnsi" w:eastAsiaTheme="minorEastAsia" w:hAnsiTheme="minorHAnsi" w:cstheme="minorBidi"/>
              <w:noProof/>
              <w:sz w:val="22"/>
            </w:rPr>
          </w:pPr>
          <w:hyperlink w:anchor="_Toc63669593" w:history="1">
            <w:r w:rsidR="00DD54CE" w:rsidRPr="009E24E5">
              <w:rPr>
                <w:rStyle w:val="Hyperlink"/>
                <w:noProof/>
              </w:rPr>
              <w:t>4.</w:t>
            </w:r>
            <w:r w:rsidR="00DD54CE">
              <w:rPr>
                <w:rFonts w:asciiTheme="minorHAnsi" w:eastAsiaTheme="minorEastAsia" w:hAnsiTheme="minorHAnsi" w:cstheme="minorBidi"/>
                <w:noProof/>
                <w:sz w:val="22"/>
              </w:rPr>
              <w:tab/>
            </w:r>
            <w:r w:rsidR="00DD54CE" w:rsidRPr="009E24E5">
              <w:rPr>
                <w:rStyle w:val="Hyperlink"/>
                <w:noProof/>
              </w:rPr>
              <w:t>Inputs</w:t>
            </w:r>
            <w:r w:rsidR="00DD54CE">
              <w:rPr>
                <w:noProof/>
                <w:webHidden/>
              </w:rPr>
              <w:tab/>
            </w:r>
            <w:r w:rsidR="00DD54CE">
              <w:rPr>
                <w:noProof/>
                <w:webHidden/>
              </w:rPr>
              <w:fldChar w:fldCharType="begin"/>
            </w:r>
            <w:r w:rsidR="00DD54CE">
              <w:rPr>
                <w:noProof/>
                <w:webHidden/>
              </w:rPr>
              <w:instrText xml:space="preserve"> PAGEREF _Toc63669593 \h </w:instrText>
            </w:r>
            <w:r w:rsidR="00DD54CE">
              <w:rPr>
                <w:noProof/>
                <w:webHidden/>
              </w:rPr>
            </w:r>
            <w:r w:rsidR="00DD54CE">
              <w:rPr>
                <w:noProof/>
                <w:webHidden/>
              </w:rPr>
              <w:fldChar w:fldCharType="separate"/>
            </w:r>
            <w:r w:rsidR="00DD54CE">
              <w:rPr>
                <w:noProof/>
                <w:webHidden/>
              </w:rPr>
              <w:t>9</w:t>
            </w:r>
            <w:r w:rsidR="00DD54CE">
              <w:rPr>
                <w:noProof/>
                <w:webHidden/>
              </w:rPr>
              <w:fldChar w:fldCharType="end"/>
            </w:r>
          </w:hyperlink>
        </w:p>
        <w:p w14:paraId="3E2DA2A5" w14:textId="169ABC27" w:rsidR="00DD54CE" w:rsidRDefault="00F02B49">
          <w:pPr>
            <w:pStyle w:val="TOC3"/>
            <w:tabs>
              <w:tab w:val="left" w:pos="1100"/>
            </w:tabs>
            <w:rPr>
              <w:rFonts w:asciiTheme="minorHAnsi" w:eastAsiaTheme="minorEastAsia" w:hAnsiTheme="minorHAnsi" w:cstheme="minorBidi"/>
              <w:noProof/>
              <w:sz w:val="22"/>
            </w:rPr>
          </w:pPr>
          <w:hyperlink w:anchor="_Toc63669594" w:history="1">
            <w:r w:rsidR="00DD54CE" w:rsidRPr="009E24E5">
              <w:rPr>
                <w:rStyle w:val="Hyperlink"/>
                <w:noProof/>
              </w:rPr>
              <w:t>4.1</w:t>
            </w:r>
            <w:r w:rsidR="00DD54CE">
              <w:rPr>
                <w:rFonts w:asciiTheme="minorHAnsi" w:eastAsiaTheme="minorEastAsia" w:hAnsiTheme="minorHAnsi" w:cstheme="minorBidi"/>
                <w:noProof/>
                <w:sz w:val="22"/>
              </w:rPr>
              <w:tab/>
            </w:r>
            <w:r w:rsidR="00DD54CE" w:rsidRPr="009E24E5">
              <w:rPr>
                <w:rStyle w:val="Hyperlink"/>
                <w:noProof/>
              </w:rPr>
              <w:t>46 MMT with 2019 IEPR</w:t>
            </w:r>
            <w:r w:rsidR="00DD54CE">
              <w:rPr>
                <w:noProof/>
                <w:webHidden/>
              </w:rPr>
              <w:tab/>
            </w:r>
            <w:r w:rsidR="00DD54CE">
              <w:rPr>
                <w:noProof/>
                <w:webHidden/>
              </w:rPr>
              <w:fldChar w:fldCharType="begin"/>
            </w:r>
            <w:r w:rsidR="00DD54CE">
              <w:rPr>
                <w:noProof/>
                <w:webHidden/>
              </w:rPr>
              <w:instrText xml:space="preserve"> PAGEREF _Toc63669594 \h </w:instrText>
            </w:r>
            <w:r w:rsidR="00DD54CE">
              <w:rPr>
                <w:noProof/>
                <w:webHidden/>
              </w:rPr>
            </w:r>
            <w:r w:rsidR="00DD54CE">
              <w:rPr>
                <w:noProof/>
                <w:webHidden/>
              </w:rPr>
              <w:fldChar w:fldCharType="separate"/>
            </w:r>
            <w:r w:rsidR="00DD54CE">
              <w:rPr>
                <w:noProof/>
                <w:webHidden/>
              </w:rPr>
              <w:t>11</w:t>
            </w:r>
            <w:r w:rsidR="00DD54CE">
              <w:rPr>
                <w:noProof/>
                <w:webHidden/>
              </w:rPr>
              <w:fldChar w:fldCharType="end"/>
            </w:r>
          </w:hyperlink>
        </w:p>
        <w:p w14:paraId="77C562FD" w14:textId="3C7DB4F3" w:rsidR="00DD54CE" w:rsidRDefault="00F02B49">
          <w:pPr>
            <w:pStyle w:val="TOC3"/>
            <w:tabs>
              <w:tab w:val="left" w:pos="1100"/>
            </w:tabs>
            <w:rPr>
              <w:rFonts w:asciiTheme="minorHAnsi" w:eastAsiaTheme="minorEastAsia" w:hAnsiTheme="minorHAnsi" w:cstheme="minorBidi"/>
              <w:noProof/>
              <w:sz w:val="22"/>
            </w:rPr>
          </w:pPr>
          <w:hyperlink w:anchor="_Toc63669595" w:history="1">
            <w:r w:rsidR="00DD54CE" w:rsidRPr="009E24E5">
              <w:rPr>
                <w:rStyle w:val="Hyperlink"/>
                <w:noProof/>
              </w:rPr>
              <w:t>4.2</w:t>
            </w:r>
            <w:r w:rsidR="00DD54CE">
              <w:rPr>
                <w:rFonts w:asciiTheme="minorHAnsi" w:eastAsiaTheme="minorEastAsia" w:hAnsiTheme="minorHAnsi" w:cstheme="minorBidi"/>
                <w:noProof/>
                <w:sz w:val="22"/>
              </w:rPr>
              <w:tab/>
            </w:r>
            <w:r w:rsidR="00DD54CE" w:rsidRPr="009E24E5">
              <w:rPr>
                <w:rStyle w:val="Hyperlink"/>
                <w:noProof/>
              </w:rPr>
              <w:t>38 MMT with 2019 IEPR</w:t>
            </w:r>
            <w:r w:rsidR="00DD54CE">
              <w:rPr>
                <w:noProof/>
                <w:webHidden/>
              </w:rPr>
              <w:tab/>
            </w:r>
            <w:r w:rsidR="00DD54CE">
              <w:rPr>
                <w:noProof/>
                <w:webHidden/>
              </w:rPr>
              <w:fldChar w:fldCharType="begin"/>
            </w:r>
            <w:r w:rsidR="00DD54CE">
              <w:rPr>
                <w:noProof/>
                <w:webHidden/>
              </w:rPr>
              <w:instrText xml:space="preserve"> PAGEREF _Toc63669595 \h </w:instrText>
            </w:r>
            <w:r w:rsidR="00DD54CE">
              <w:rPr>
                <w:noProof/>
                <w:webHidden/>
              </w:rPr>
            </w:r>
            <w:r w:rsidR="00DD54CE">
              <w:rPr>
                <w:noProof/>
                <w:webHidden/>
              </w:rPr>
              <w:fldChar w:fldCharType="separate"/>
            </w:r>
            <w:r w:rsidR="00DD54CE">
              <w:rPr>
                <w:noProof/>
                <w:webHidden/>
              </w:rPr>
              <w:t>14</w:t>
            </w:r>
            <w:r w:rsidR="00DD54CE">
              <w:rPr>
                <w:noProof/>
                <w:webHidden/>
              </w:rPr>
              <w:fldChar w:fldCharType="end"/>
            </w:r>
          </w:hyperlink>
        </w:p>
        <w:p w14:paraId="6A7375F3" w14:textId="19FFB4E4" w:rsidR="00DD54CE" w:rsidRDefault="00F02B49">
          <w:pPr>
            <w:pStyle w:val="TOC3"/>
            <w:tabs>
              <w:tab w:val="left" w:pos="1100"/>
            </w:tabs>
            <w:rPr>
              <w:rFonts w:asciiTheme="minorHAnsi" w:eastAsiaTheme="minorEastAsia" w:hAnsiTheme="minorHAnsi" w:cstheme="minorBidi"/>
              <w:noProof/>
              <w:sz w:val="22"/>
            </w:rPr>
          </w:pPr>
          <w:hyperlink w:anchor="_Toc63669596" w:history="1">
            <w:r w:rsidR="00DD54CE" w:rsidRPr="009E24E5">
              <w:rPr>
                <w:rStyle w:val="Hyperlink"/>
                <w:noProof/>
              </w:rPr>
              <w:t>4.3</w:t>
            </w:r>
            <w:r w:rsidR="00DD54CE">
              <w:rPr>
                <w:rFonts w:asciiTheme="minorHAnsi" w:eastAsiaTheme="minorEastAsia" w:hAnsiTheme="minorHAnsi" w:cstheme="minorBidi"/>
                <w:noProof/>
                <w:sz w:val="22"/>
              </w:rPr>
              <w:tab/>
            </w:r>
            <w:r w:rsidR="00DD54CE" w:rsidRPr="009E24E5">
              <w:rPr>
                <w:rStyle w:val="Hyperlink"/>
                <w:noProof/>
              </w:rPr>
              <w:t>Offshore Wind Portfolio</w:t>
            </w:r>
            <w:r w:rsidR="00DD54CE">
              <w:rPr>
                <w:noProof/>
                <w:webHidden/>
              </w:rPr>
              <w:tab/>
            </w:r>
            <w:r w:rsidR="00DD54CE">
              <w:rPr>
                <w:noProof/>
                <w:webHidden/>
              </w:rPr>
              <w:fldChar w:fldCharType="begin"/>
            </w:r>
            <w:r w:rsidR="00DD54CE">
              <w:rPr>
                <w:noProof/>
                <w:webHidden/>
              </w:rPr>
              <w:instrText xml:space="preserve"> PAGEREF _Toc63669596 \h </w:instrText>
            </w:r>
            <w:r w:rsidR="00DD54CE">
              <w:rPr>
                <w:noProof/>
                <w:webHidden/>
              </w:rPr>
            </w:r>
            <w:r w:rsidR="00DD54CE">
              <w:rPr>
                <w:noProof/>
                <w:webHidden/>
              </w:rPr>
              <w:fldChar w:fldCharType="separate"/>
            </w:r>
            <w:r w:rsidR="00DD54CE">
              <w:rPr>
                <w:noProof/>
                <w:webHidden/>
              </w:rPr>
              <w:t>16</w:t>
            </w:r>
            <w:r w:rsidR="00DD54CE">
              <w:rPr>
                <w:noProof/>
                <w:webHidden/>
              </w:rPr>
              <w:fldChar w:fldCharType="end"/>
            </w:r>
          </w:hyperlink>
        </w:p>
        <w:p w14:paraId="6A80D6CC" w14:textId="4AA06061" w:rsidR="00DD54CE" w:rsidRDefault="00F02B49">
          <w:pPr>
            <w:pStyle w:val="TOC2"/>
            <w:rPr>
              <w:rFonts w:asciiTheme="minorHAnsi" w:eastAsiaTheme="minorEastAsia" w:hAnsiTheme="minorHAnsi" w:cstheme="minorBidi"/>
              <w:noProof/>
              <w:sz w:val="22"/>
            </w:rPr>
          </w:pPr>
          <w:hyperlink w:anchor="_Toc63669597" w:history="1">
            <w:r w:rsidR="00DD54CE" w:rsidRPr="009E24E5">
              <w:rPr>
                <w:rStyle w:val="Hyperlink"/>
                <w:noProof/>
              </w:rPr>
              <w:t>5.</w:t>
            </w:r>
            <w:r w:rsidR="00DD54CE">
              <w:rPr>
                <w:rFonts w:asciiTheme="minorHAnsi" w:eastAsiaTheme="minorEastAsia" w:hAnsiTheme="minorHAnsi" w:cstheme="minorBidi"/>
                <w:noProof/>
                <w:sz w:val="22"/>
              </w:rPr>
              <w:tab/>
            </w:r>
            <w:r w:rsidR="00DD54CE" w:rsidRPr="009E24E5">
              <w:rPr>
                <w:rStyle w:val="Hyperlink"/>
                <w:noProof/>
              </w:rPr>
              <w:t>Busbar Mapping Methodology Improvements</w:t>
            </w:r>
            <w:r w:rsidR="00DD54CE">
              <w:rPr>
                <w:noProof/>
                <w:webHidden/>
              </w:rPr>
              <w:tab/>
            </w:r>
            <w:r w:rsidR="00DD54CE">
              <w:rPr>
                <w:noProof/>
                <w:webHidden/>
              </w:rPr>
              <w:fldChar w:fldCharType="begin"/>
            </w:r>
            <w:r w:rsidR="00DD54CE">
              <w:rPr>
                <w:noProof/>
                <w:webHidden/>
              </w:rPr>
              <w:instrText xml:space="preserve"> PAGEREF _Toc63669597 \h </w:instrText>
            </w:r>
            <w:r w:rsidR="00DD54CE">
              <w:rPr>
                <w:noProof/>
                <w:webHidden/>
              </w:rPr>
            </w:r>
            <w:r w:rsidR="00DD54CE">
              <w:rPr>
                <w:noProof/>
                <w:webHidden/>
              </w:rPr>
              <w:fldChar w:fldCharType="separate"/>
            </w:r>
            <w:r w:rsidR="00DD54CE">
              <w:rPr>
                <w:noProof/>
                <w:webHidden/>
              </w:rPr>
              <w:t>20</w:t>
            </w:r>
            <w:r w:rsidR="00DD54CE">
              <w:rPr>
                <w:noProof/>
                <w:webHidden/>
              </w:rPr>
              <w:fldChar w:fldCharType="end"/>
            </w:r>
          </w:hyperlink>
        </w:p>
        <w:p w14:paraId="6BBD430C" w14:textId="3A5631F9" w:rsidR="00DD54CE" w:rsidRDefault="00F02B49">
          <w:pPr>
            <w:pStyle w:val="TOC2"/>
            <w:rPr>
              <w:rFonts w:asciiTheme="minorHAnsi" w:eastAsiaTheme="minorEastAsia" w:hAnsiTheme="minorHAnsi" w:cstheme="minorBidi"/>
              <w:noProof/>
              <w:sz w:val="22"/>
            </w:rPr>
          </w:pPr>
          <w:hyperlink w:anchor="_Toc63669598" w:history="1">
            <w:r w:rsidR="00DD54CE" w:rsidRPr="009E24E5">
              <w:rPr>
                <w:rStyle w:val="Hyperlink"/>
                <w:noProof/>
              </w:rPr>
              <w:t>6.</w:t>
            </w:r>
            <w:r w:rsidR="00DD54CE">
              <w:rPr>
                <w:rFonts w:asciiTheme="minorHAnsi" w:eastAsiaTheme="minorEastAsia" w:hAnsiTheme="minorHAnsi" w:cstheme="minorBidi"/>
                <w:noProof/>
                <w:sz w:val="22"/>
              </w:rPr>
              <w:tab/>
            </w:r>
            <w:r w:rsidR="00DD54CE" w:rsidRPr="009E24E5">
              <w:rPr>
                <w:rStyle w:val="Hyperlink"/>
                <w:noProof/>
              </w:rPr>
              <w:t>Analysis</w:t>
            </w:r>
            <w:r w:rsidR="00DD54CE">
              <w:rPr>
                <w:noProof/>
                <w:webHidden/>
              </w:rPr>
              <w:tab/>
            </w:r>
            <w:r w:rsidR="00DD54CE">
              <w:rPr>
                <w:noProof/>
                <w:webHidden/>
              </w:rPr>
              <w:fldChar w:fldCharType="begin"/>
            </w:r>
            <w:r w:rsidR="00DD54CE">
              <w:rPr>
                <w:noProof/>
                <w:webHidden/>
              </w:rPr>
              <w:instrText xml:space="preserve"> PAGEREF _Toc63669598 \h </w:instrText>
            </w:r>
            <w:r w:rsidR="00DD54CE">
              <w:rPr>
                <w:noProof/>
                <w:webHidden/>
              </w:rPr>
            </w:r>
            <w:r w:rsidR="00DD54CE">
              <w:rPr>
                <w:noProof/>
                <w:webHidden/>
              </w:rPr>
              <w:fldChar w:fldCharType="separate"/>
            </w:r>
            <w:r w:rsidR="00DD54CE">
              <w:rPr>
                <w:noProof/>
                <w:webHidden/>
              </w:rPr>
              <w:t>22</w:t>
            </w:r>
            <w:r w:rsidR="00DD54CE">
              <w:rPr>
                <w:noProof/>
                <w:webHidden/>
              </w:rPr>
              <w:fldChar w:fldCharType="end"/>
            </w:r>
          </w:hyperlink>
        </w:p>
        <w:p w14:paraId="56C215A0" w14:textId="3A86F426" w:rsidR="00DD54CE" w:rsidRDefault="00F02B49">
          <w:pPr>
            <w:pStyle w:val="TOC3"/>
            <w:tabs>
              <w:tab w:val="left" w:pos="1100"/>
            </w:tabs>
            <w:rPr>
              <w:rFonts w:asciiTheme="minorHAnsi" w:eastAsiaTheme="minorEastAsia" w:hAnsiTheme="minorHAnsi" w:cstheme="minorBidi"/>
              <w:noProof/>
              <w:sz w:val="22"/>
            </w:rPr>
          </w:pPr>
          <w:hyperlink w:anchor="_Toc63669599" w:history="1">
            <w:r w:rsidR="00DD54CE" w:rsidRPr="009E24E5">
              <w:rPr>
                <w:rStyle w:val="Hyperlink"/>
                <w:noProof/>
              </w:rPr>
              <w:t>6.1</w:t>
            </w:r>
            <w:r w:rsidR="00DD54CE">
              <w:rPr>
                <w:rFonts w:asciiTheme="minorHAnsi" w:eastAsiaTheme="minorEastAsia" w:hAnsiTheme="minorHAnsi" w:cstheme="minorBidi"/>
                <w:noProof/>
                <w:sz w:val="22"/>
              </w:rPr>
              <w:tab/>
            </w:r>
            <w:r w:rsidR="00DD54CE" w:rsidRPr="009E24E5">
              <w:rPr>
                <w:rStyle w:val="Hyperlink"/>
                <w:noProof/>
              </w:rPr>
              <w:t>46 MMT with 2019 IEPR Portfolio</w:t>
            </w:r>
            <w:r w:rsidR="00DD54CE">
              <w:rPr>
                <w:noProof/>
                <w:webHidden/>
              </w:rPr>
              <w:tab/>
            </w:r>
            <w:r w:rsidR="00DD54CE">
              <w:rPr>
                <w:noProof/>
                <w:webHidden/>
              </w:rPr>
              <w:fldChar w:fldCharType="begin"/>
            </w:r>
            <w:r w:rsidR="00DD54CE">
              <w:rPr>
                <w:noProof/>
                <w:webHidden/>
              </w:rPr>
              <w:instrText xml:space="preserve"> PAGEREF _Toc63669599 \h </w:instrText>
            </w:r>
            <w:r w:rsidR="00DD54CE">
              <w:rPr>
                <w:noProof/>
                <w:webHidden/>
              </w:rPr>
            </w:r>
            <w:r w:rsidR="00DD54CE">
              <w:rPr>
                <w:noProof/>
                <w:webHidden/>
              </w:rPr>
              <w:fldChar w:fldCharType="separate"/>
            </w:r>
            <w:r w:rsidR="00DD54CE">
              <w:rPr>
                <w:noProof/>
                <w:webHidden/>
              </w:rPr>
              <w:t>22</w:t>
            </w:r>
            <w:r w:rsidR="00DD54CE">
              <w:rPr>
                <w:noProof/>
                <w:webHidden/>
              </w:rPr>
              <w:fldChar w:fldCharType="end"/>
            </w:r>
          </w:hyperlink>
        </w:p>
        <w:p w14:paraId="6EC4751D" w14:textId="6E42932B" w:rsidR="00DD54CE" w:rsidRDefault="00F02B49">
          <w:pPr>
            <w:pStyle w:val="TOC3"/>
            <w:tabs>
              <w:tab w:val="left" w:pos="1100"/>
            </w:tabs>
            <w:rPr>
              <w:rFonts w:asciiTheme="minorHAnsi" w:eastAsiaTheme="minorEastAsia" w:hAnsiTheme="minorHAnsi" w:cstheme="minorBidi"/>
              <w:noProof/>
              <w:sz w:val="22"/>
            </w:rPr>
          </w:pPr>
          <w:hyperlink w:anchor="_Toc63669600" w:history="1">
            <w:r w:rsidR="00DD54CE" w:rsidRPr="009E24E5">
              <w:rPr>
                <w:rStyle w:val="Hyperlink"/>
                <w:noProof/>
              </w:rPr>
              <w:t>6.2</w:t>
            </w:r>
            <w:r w:rsidR="00DD54CE">
              <w:rPr>
                <w:rFonts w:asciiTheme="minorHAnsi" w:eastAsiaTheme="minorEastAsia" w:hAnsiTheme="minorHAnsi" w:cstheme="minorBidi"/>
                <w:noProof/>
                <w:sz w:val="22"/>
              </w:rPr>
              <w:tab/>
            </w:r>
            <w:r w:rsidR="00DD54CE" w:rsidRPr="009E24E5">
              <w:rPr>
                <w:rStyle w:val="Hyperlink"/>
                <w:noProof/>
              </w:rPr>
              <w:t>38 MMT with 2019 IEPR Sensitivity Portfolio</w:t>
            </w:r>
            <w:r w:rsidR="00DD54CE">
              <w:rPr>
                <w:noProof/>
                <w:webHidden/>
              </w:rPr>
              <w:tab/>
            </w:r>
            <w:r w:rsidR="00DD54CE">
              <w:rPr>
                <w:noProof/>
                <w:webHidden/>
              </w:rPr>
              <w:fldChar w:fldCharType="begin"/>
            </w:r>
            <w:r w:rsidR="00DD54CE">
              <w:rPr>
                <w:noProof/>
                <w:webHidden/>
              </w:rPr>
              <w:instrText xml:space="preserve"> PAGEREF _Toc63669600 \h </w:instrText>
            </w:r>
            <w:r w:rsidR="00DD54CE">
              <w:rPr>
                <w:noProof/>
                <w:webHidden/>
              </w:rPr>
            </w:r>
            <w:r w:rsidR="00DD54CE">
              <w:rPr>
                <w:noProof/>
                <w:webHidden/>
              </w:rPr>
              <w:fldChar w:fldCharType="separate"/>
            </w:r>
            <w:r w:rsidR="00DD54CE">
              <w:rPr>
                <w:noProof/>
                <w:webHidden/>
              </w:rPr>
              <w:t>32</w:t>
            </w:r>
            <w:r w:rsidR="00DD54CE">
              <w:rPr>
                <w:noProof/>
                <w:webHidden/>
              </w:rPr>
              <w:fldChar w:fldCharType="end"/>
            </w:r>
          </w:hyperlink>
        </w:p>
        <w:p w14:paraId="01CDB926" w14:textId="39B50BBB" w:rsidR="00DD54CE" w:rsidRDefault="00F02B49">
          <w:pPr>
            <w:pStyle w:val="TOC3"/>
            <w:tabs>
              <w:tab w:val="left" w:pos="1100"/>
            </w:tabs>
            <w:rPr>
              <w:rFonts w:asciiTheme="minorHAnsi" w:eastAsiaTheme="minorEastAsia" w:hAnsiTheme="minorHAnsi" w:cstheme="minorBidi"/>
              <w:noProof/>
              <w:sz w:val="22"/>
            </w:rPr>
          </w:pPr>
          <w:hyperlink w:anchor="_Toc63669601" w:history="1">
            <w:r w:rsidR="00DD54CE" w:rsidRPr="009E24E5">
              <w:rPr>
                <w:rStyle w:val="Hyperlink"/>
                <w:noProof/>
              </w:rPr>
              <w:t>6.3</w:t>
            </w:r>
            <w:r w:rsidR="00DD54CE">
              <w:rPr>
                <w:rFonts w:asciiTheme="minorHAnsi" w:eastAsiaTheme="minorEastAsia" w:hAnsiTheme="minorHAnsi" w:cstheme="minorBidi"/>
                <w:noProof/>
                <w:sz w:val="22"/>
              </w:rPr>
              <w:tab/>
            </w:r>
            <w:r w:rsidR="00DD54CE" w:rsidRPr="009E24E5">
              <w:rPr>
                <w:rStyle w:val="Hyperlink"/>
                <w:noProof/>
              </w:rPr>
              <w:t>Offshore Wind Sensitivity Portfolio</w:t>
            </w:r>
            <w:r w:rsidR="00DD54CE">
              <w:rPr>
                <w:noProof/>
                <w:webHidden/>
              </w:rPr>
              <w:tab/>
            </w:r>
            <w:r w:rsidR="00DD54CE">
              <w:rPr>
                <w:noProof/>
                <w:webHidden/>
              </w:rPr>
              <w:fldChar w:fldCharType="begin"/>
            </w:r>
            <w:r w:rsidR="00DD54CE">
              <w:rPr>
                <w:noProof/>
                <w:webHidden/>
              </w:rPr>
              <w:instrText xml:space="preserve"> PAGEREF _Toc63669601 \h </w:instrText>
            </w:r>
            <w:r w:rsidR="00DD54CE">
              <w:rPr>
                <w:noProof/>
                <w:webHidden/>
              </w:rPr>
            </w:r>
            <w:r w:rsidR="00DD54CE">
              <w:rPr>
                <w:noProof/>
                <w:webHidden/>
              </w:rPr>
              <w:fldChar w:fldCharType="separate"/>
            </w:r>
            <w:r w:rsidR="00DD54CE">
              <w:rPr>
                <w:noProof/>
                <w:webHidden/>
              </w:rPr>
              <w:t>40</w:t>
            </w:r>
            <w:r w:rsidR="00DD54CE">
              <w:rPr>
                <w:noProof/>
                <w:webHidden/>
              </w:rPr>
              <w:fldChar w:fldCharType="end"/>
            </w:r>
          </w:hyperlink>
        </w:p>
        <w:p w14:paraId="4C449197" w14:textId="30602DE7" w:rsidR="00DD54CE" w:rsidRDefault="00F02B49">
          <w:pPr>
            <w:pStyle w:val="TOC2"/>
            <w:rPr>
              <w:rFonts w:asciiTheme="minorHAnsi" w:eastAsiaTheme="minorEastAsia" w:hAnsiTheme="minorHAnsi" w:cstheme="minorBidi"/>
              <w:noProof/>
              <w:sz w:val="22"/>
            </w:rPr>
          </w:pPr>
          <w:hyperlink w:anchor="_Toc63669602" w:history="1">
            <w:r w:rsidR="00DD54CE" w:rsidRPr="009E24E5">
              <w:rPr>
                <w:rStyle w:val="Hyperlink"/>
                <w:noProof/>
              </w:rPr>
              <w:t>7.</w:t>
            </w:r>
            <w:r w:rsidR="00DD54CE">
              <w:rPr>
                <w:rFonts w:asciiTheme="minorHAnsi" w:eastAsiaTheme="minorEastAsia" w:hAnsiTheme="minorHAnsi" w:cstheme="minorBidi"/>
                <w:noProof/>
                <w:sz w:val="22"/>
              </w:rPr>
              <w:tab/>
            </w:r>
            <w:r w:rsidR="00DD54CE" w:rsidRPr="009E24E5">
              <w:rPr>
                <w:rStyle w:val="Hyperlink"/>
                <w:noProof/>
              </w:rPr>
              <w:t>Results</w:t>
            </w:r>
            <w:r w:rsidR="00DD54CE">
              <w:rPr>
                <w:noProof/>
                <w:webHidden/>
              </w:rPr>
              <w:tab/>
            </w:r>
            <w:r w:rsidR="00DD54CE">
              <w:rPr>
                <w:noProof/>
                <w:webHidden/>
              </w:rPr>
              <w:fldChar w:fldCharType="begin"/>
            </w:r>
            <w:r w:rsidR="00DD54CE">
              <w:rPr>
                <w:noProof/>
                <w:webHidden/>
              </w:rPr>
              <w:instrText xml:space="preserve"> PAGEREF _Toc63669602 \h </w:instrText>
            </w:r>
            <w:r w:rsidR="00DD54CE">
              <w:rPr>
                <w:noProof/>
                <w:webHidden/>
              </w:rPr>
            </w:r>
            <w:r w:rsidR="00DD54CE">
              <w:rPr>
                <w:noProof/>
                <w:webHidden/>
              </w:rPr>
              <w:fldChar w:fldCharType="separate"/>
            </w:r>
            <w:r w:rsidR="00DD54CE">
              <w:rPr>
                <w:noProof/>
                <w:webHidden/>
              </w:rPr>
              <w:t>44</w:t>
            </w:r>
            <w:r w:rsidR="00DD54CE">
              <w:rPr>
                <w:noProof/>
                <w:webHidden/>
              </w:rPr>
              <w:fldChar w:fldCharType="end"/>
            </w:r>
          </w:hyperlink>
        </w:p>
        <w:p w14:paraId="7D921CD4" w14:textId="54CAA7D2" w:rsidR="00DD54CE" w:rsidRDefault="00F02B49">
          <w:pPr>
            <w:pStyle w:val="TOC3"/>
            <w:tabs>
              <w:tab w:val="left" w:pos="1100"/>
            </w:tabs>
            <w:rPr>
              <w:rFonts w:asciiTheme="minorHAnsi" w:eastAsiaTheme="minorEastAsia" w:hAnsiTheme="minorHAnsi" w:cstheme="minorBidi"/>
              <w:noProof/>
              <w:sz w:val="22"/>
            </w:rPr>
          </w:pPr>
          <w:hyperlink w:anchor="_Toc63669603" w:history="1">
            <w:r w:rsidR="00DD54CE" w:rsidRPr="009E24E5">
              <w:rPr>
                <w:rStyle w:val="Hyperlink"/>
                <w:noProof/>
              </w:rPr>
              <w:t>7.1</w:t>
            </w:r>
            <w:r w:rsidR="00DD54CE">
              <w:rPr>
                <w:rFonts w:asciiTheme="minorHAnsi" w:eastAsiaTheme="minorEastAsia" w:hAnsiTheme="minorHAnsi" w:cstheme="minorBidi"/>
                <w:noProof/>
                <w:sz w:val="22"/>
              </w:rPr>
              <w:tab/>
            </w:r>
            <w:r w:rsidR="00DD54CE" w:rsidRPr="009E24E5">
              <w:rPr>
                <w:rStyle w:val="Hyperlink"/>
                <w:noProof/>
              </w:rPr>
              <w:t>46 MMT with 2019 IEPR Portfolio</w:t>
            </w:r>
            <w:r w:rsidR="00DD54CE">
              <w:rPr>
                <w:noProof/>
                <w:webHidden/>
              </w:rPr>
              <w:tab/>
            </w:r>
            <w:r w:rsidR="00DD54CE">
              <w:rPr>
                <w:noProof/>
                <w:webHidden/>
              </w:rPr>
              <w:fldChar w:fldCharType="begin"/>
            </w:r>
            <w:r w:rsidR="00DD54CE">
              <w:rPr>
                <w:noProof/>
                <w:webHidden/>
              </w:rPr>
              <w:instrText xml:space="preserve"> PAGEREF _Toc63669603 \h </w:instrText>
            </w:r>
            <w:r w:rsidR="00DD54CE">
              <w:rPr>
                <w:noProof/>
                <w:webHidden/>
              </w:rPr>
            </w:r>
            <w:r w:rsidR="00DD54CE">
              <w:rPr>
                <w:noProof/>
                <w:webHidden/>
              </w:rPr>
              <w:fldChar w:fldCharType="separate"/>
            </w:r>
            <w:r w:rsidR="00DD54CE">
              <w:rPr>
                <w:noProof/>
                <w:webHidden/>
              </w:rPr>
              <w:t>44</w:t>
            </w:r>
            <w:r w:rsidR="00DD54CE">
              <w:rPr>
                <w:noProof/>
                <w:webHidden/>
              </w:rPr>
              <w:fldChar w:fldCharType="end"/>
            </w:r>
          </w:hyperlink>
        </w:p>
        <w:p w14:paraId="6968F317" w14:textId="40B4B83A" w:rsidR="00DD54CE" w:rsidRDefault="00F02B49">
          <w:pPr>
            <w:pStyle w:val="TOC3"/>
            <w:tabs>
              <w:tab w:val="left" w:pos="1100"/>
            </w:tabs>
            <w:rPr>
              <w:rFonts w:asciiTheme="minorHAnsi" w:eastAsiaTheme="minorEastAsia" w:hAnsiTheme="minorHAnsi" w:cstheme="minorBidi"/>
              <w:noProof/>
              <w:sz w:val="22"/>
            </w:rPr>
          </w:pPr>
          <w:hyperlink w:anchor="_Toc63669604" w:history="1">
            <w:r w:rsidR="00DD54CE" w:rsidRPr="009E24E5">
              <w:rPr>
                <w:rStyle w:val="Hyperlink"/>
                <w:noProof/>
              </w:rPr>
              <w:t>7.2</w:t>
            </w:r>
            <w:r w:rsidR="00DD54CE">
              <w:rPr>
                <w:rFonts w:asciiTheme="minorHAnsi" w:eastAsiaTheme="minorEastAsia" w:hAnsiTheme="minorHAnsi" w:cstheme="minorBidi"/>
                <w:noProof/>
                <w:sz w:val="22"/>
              </w:rPr>
              <w:tab/>
            </w:r>
            <w:r w:rsidR="00DD54CE" w:rsidRPr="009E24E5">
              <w:rPr>
                <w:rStyle w:val="Hyperlink"/>
                <w:noProof/>
              </w:rPr>
              <w:t>38 MMT with 2019 IEPR Portfolio</w:t>
            </w:r>
            <w:r w:rsidR="00DD54CE">
              <w:rPr>
                <w:noProof/>
                <w:webHidden/>
              </w:rPr>
              <w:tab/>
            </w:r>
            <w:r w:rsidR="00DD54CE">
              <w:rPr>
                <w:noProof/>
                <w:webHidden/>
              </w:rPr>
              <w:fldChar w:fldCharType="begin"/>
            </w:r>
            <w:r w:rsidR="00DD54CE">
              <w:rPr>
                <w:noProof/>
                <w:webHidden/>
              </w:rPr>
              <w:instrText xml:space="preserve"> PAGEREF _Toc63669604 \h </w:instrText>
            </w:r>
            <w:r w:rsidR="00DD54CE">
              <w:rPr>
                <w:noProof/>
                <w:webHidden/>
              </w:rPr>
            </w:r>
            <w:r w:rsidR="00DD54CE">
              <w:rPr>
                <w:noProof/>
                <w:webHidden/>
              </w:rPr>
              <w:fldChar w:fldCharType="separate"/>
            </w:r>
            <w:r w:rsidR="00DD54CE">
              <w:rPr>
                <w:noProof/>
                <w:webHidden/>
              </w:rPr>
              <w:t>51</w:t>
            </w:r>
            <w:r w:rsidR="00DD54CE">
              <w:rPr>
                <w:noProof/>
                <w:webHidden/>
              </w:rPr>
              <w:fldChar w:fldCharType="end"/>
            </w:r>
          </w:hyperlink>
        </w:p>
        <w:p w14:paraId="7A429FC7" w14:textId="15AFDE54" w:rsidR="00DD54CE" w:rsidRDefault="00F02B49">
          <w:pPr>
            <w:pStyle w:val="TOC3"/>
            <w:tabs>
              <w:tab w:val="left" w:pos="1100"/>
            </w:tabs>
            <w:rPr>
              <w:rFonts w:asciiTheme="minorHAnsi" w:eastAsiaTheme="minorEastAsia" w:hAnsiTheme="minorHAnsi" w:cstheme="minorBidi"/>
              <w:noProof/>
              <w:sz w:val="22"/>
            </w:rPr>
          </w:pPr>
          <w:hyperlink w:anchor="_Toc63669605" w:history="1">
            <w:r w:rsidR="00DD54CE" w:rsidRPr="009E24E5">
              <w:rPr>
                <w:rStyle w:val="Hyperlink"/>
                <w:noProof/>
              </w:rPr>
              <w:t>7.3</w:t>
            </w:r>
            <w:r w:rsidR="00DD54CE">
              <w:rPr>
                <w:rFonts w:asciiTheme="minorHAnsi" w:eastAsiaTheme="minorEastAsia" w:hAnsiTheme="minorHAnsi" w:cstheme="minorBidi"/>
                <w:noProof/>
                <w:sz w:val="22"/>
              </w:rPr>
              <w:tab/>
            </w:r>
            <w:r w:rsidR="00DD54CE" w:rsidRPr="009E24E5">
              <w:rPr>
                <w:rStyle w:val="Hyperlink"/>
                <w:noProof/>
              </w:rPr>
              <w:t>Offshore Wind Portfolio</w:t>
            </w:r>
            <w:r w:rsidR="00DD54CE">
              <w:rPr>
                <w:noProof/>
                <w:webHidden/>
              </w:rPr>
              <w:tab/>
            </w:r>
            <w:r w:rsidR="00DD54CE">
              <w:rPr>
                <w:noProof/>
                <w:webHidden/>
              </w:rPr>
              <w:fldChar w:fldCharType="begin"/>
            </w:r>
            <w:r w:rsidR="00DD54CE">
              <w:rPr>
                <w:noProof/>
                <w:webHidden/>
              </w:rPr>
              <w:instrText xml:space="preserve"> PAGEREF _Toc63669605 \h </w:instrText>
            </w:r>
            <w:r w:rsidR="00DD54CE">
              <w:rPr>
                <w:noProof/>
                <w:webHidden/>
              </w:rPr>
            </w:r>
            <w:r w:rsidR="00DD54CE">
              <w:rPr>
                <w:noProof/>
                <w:webHidden/>
              </w:rPr>
              <w:fldChar w:fldCharType="separate"/>
            </w:r>
            <w:r w:rsidR="00DD54CE">
              <w:rPr>
                <w:noProof/>
                <w:webHidden/>
              </w:rPr>
              <w:t>57</w:t>
            </w:r>
            <w:r w:rsidR="00DD54CE">
              <w:rPr>
                <w:noProof/>
                <w:webHidden/>
              </w:rPr>
              <w:fldChar w:fldCharType="end"/>
            </w:r>
          </w:hyperlink>
        </w:p>
        <w:p w14:paraId="68F8A11B" w14:textId="20F84670" w:rsidR="00DD54CE" w:rsidRDefault="00F02B49">
          <w:pPr>
            <w:pStyle w:val="TOC2"/>
            <w:rPr>
              <w:rFonts w:asciiTheme="minorHAnsi" w:eastAsiaTheme="minorEastAsia" w:hAnsiTheme="minorHAnsi" w:cstheme="minorBidi"/>
              <w:noProof/>
              <w:sz w:val="22"/>
            </w:rPr>
          </w:pPr>
          <w:hyperlink w:anchor="_Toc63669606" w:history="1">
            <w:r w:rsidR="00DD54CE" w:rsidRPr="009E24E5">
              <w:rPr>
                <w:rStyle w:val="Hyperlink"/>
                <w:noProof/>
              </w:rPr>
              <w:t>8.</w:t>
            </w:r>
            <w:r w:rsidR="00DD54CE">
              <w:rPr>
                <w:rFonts w:asciiTheme="minorHAnsi" w:eastAsiaTheme="minorEastAsia" w:hAnsiTheme="minorHAnsi" w:cstheme="minorBidi"/>
                <w:noProof/>
                <w:sz w:val="22"/>
              </w:rPr>
              <w:tab/>
            </w:r>
            <w:r w:rsidR="00DD54CE" w:rsidRPr="009E24E5">
              <w:rPr>
                <w:rStyle w:val="Hyperlink"/>
                <w:noProof/>
              </w:rPr>
              <w:t>Other Assumptions for TPP</w:t>
            </w:r>
            <w:r w:rsidR="00DD54CE">
              <w:rPr>
                <w:noProof/>
                <w:webHidden/>
              </w:rPr>
              <w:tab/>
            </w:r>
            <w:r w:rsidR="00DD54CE">
              <w:rPr>
                <w:noProof/>
                <w:webHidden/>
              </w:rPr>
              <w:fldChar w:fldCharType="begin"/>
            </w:r>
            <w:r w:rsidR="00DD54CE">
              <w:rPr>
                <w:noProof/>
                <w:webHidden/>
              </w:rPr>
              <w:instrText xml:space="preserve"> PAGEREF _Toc63669606 \h </w:instrText>
            </w:r>
            <w:r w:rsidR="00DD54CE">
              <w:rPr>
                <w:noProof/>
                <w:webHidden/>
              </w:rPr>
            </w:r>
            <w:r w:rsidR="00DD54CE">
              <w:rPr>
                <w:noProof/>
                <w:webHidden/>
              </w:rPr>
              <w:fldChar w:fldCharType="separate"/>
            </w:r>
            <w:r w:rsidR="00DD54CE">
              <w:rPr>
                <w:noProof/>
                <w:webHidden/>
              </w:rPr>
              <w:t>63</w:t>
            </w:r>
            <w:r w:rsidR="00DD54CE">
              <w:rPr>
                <w:noProof/>
                <w:webHidden/>
              </w:rPr>
              <w:fldChar w:fldCharType="end"/>
            </w:r>
          </w:hyperlink>
        </w:p>
        <w:p w14:paraId="254986EA" w14:textId="4D14F3F5" w:rsidR="00DD54CE" w:rsidRDefault="00F02B49">
          <w:pPr>
            <w:pStyle w:val="TOC3"/>
            <w:tabs>
              <w:tab w:val="left" w:pos="1100"/>
            </w:tabs>
            <w:rPr>
              <w:rFonts w:asciiTheme="minorHAnsi" w:eastAsiaTheme="minorEastAsia" w:hAnsiTheme="minorHAnsi" w:cstheme="minorBidi"/>
              <w:noProof/>
              <w:sz w:val="22"/>
            </w:rPr>
          </w:pPr>
          <w:hyperlink w:anchor="_Toc63669607" w:history="1">
            <w:r w:rsidR="00DD54CE" w:rsidRPr="009E24E5">
              <w:rPr>
                <w:rStyle w:val="Hyperlink"/>
                <w:noProof/>
              </w:rPr>
              <w:t>8.1</w:t>
            </w:r>
            <w:r w:rsidR="00DD54CE">
              <w:rPr>
                <w:rFonts w:asciiTheme="minorHAnsi" w:eastAsiaTheme="minorEastAsia" w:hAnsiTheme="minorHAnsi" w:cstheme="minorBidi"/>
                <w:noProof/>
                <w:sz w:val="22"/>
              </w:rPr>
              <w:tab/>
            </w:r>
            <w:r w:rsidR="00DD54CE" w:rsidRPr="009E24E5">
              <w:rPr>
                <w:rStyle w:val="Hyperlink"/>
                <w:noProof/>
              </w:rPr>
              <w:t>Thermal Generator Retirement</w:t>
            </w:r>
            <w:r w:rsidR="00DD54CE">
              <w:rPr>
                <w:noProof/>
                <w:webHidden/>
              </w:rPr>
              <w:tab/>
            </w:r>
            <w:r w:rsidR="00DD54CE">
              <w:rPr>
                <w:noProof/>
                <w:webHidden/>
              </w:rPr>
              <w:fldChar w:fldCharType="begin"/>
            </w:r>
            <w:r w:rsidR="00DD54CE">
              <w:rPr>
                <w:noProof/>
                <w:webHidden/>
              </w:rPr>
              <w:instrText xml:space="preserve"> PAGEREF _Toc63669607 \h </w:instrText>
            </w:r>
            <w:r w:rsidR="00DD54CE">
              <w:rPr>
                <w:noProof/>
                <w:webHidden/>
              </w:rPr>
            </w:r>
            <w:r w:rsidR="00DD54CE">
              <w:rPr>
                <w:noProof/>
                <w:webHidden/>
              </w:rPr>
              <w:fldChar w:fldCharType="separate"/>
            </w:r>
            <w:r w:rsidR="00DD54CE">
              <w:rPr>
                <w:noProof/>
                <w:webHidden/>
              </w:rPr>
              <w:t>63</w:t>
            </w:r>
            <w:r w:rsidR="00DD54CE">
              <w:rPr>
                <w:noProof/>
                <w:webHidden/>
              </w:rPr>
              <w:fldChar w:fldCharType="end"/>
            </w:r>
          </w:hyperlink>
        </w:p>
        <w:p w14:paraId="10C98D63" w14:textId="6237551E" w:rsidR="00DD54CE" w:rsidRDefault="00F02B49">
          <w:pPr>
            <w:pStyle w:val="TOC3"/>
            <w:tabs>
              <w:tab w:val="left" w:pos="1100"/>
            </w:tabs>
            <w:rPr>
              <w:rFonts w:asciiTheme="minorHAnsi" w:eastAsiaTheme="minorEastAsia" w:hAnsiTheme="minorHAnsi" w:cstheme="minorBidi"/>
              <w:noProof/>
              <w:sz w:val="22"/>
            </w:rPr>
          </w:pPr>
          <w:hyperlink w:anchor="_Toc63669608" w:history="1">
            <w:r w:rsidR="00DD54CE" w:rsidRPr="009E24E5">
              <w:rPr>
                <w:rStyle w:val="Hyperlink"/>
                <w:noProof/>
              </w:rPr>
              <w:t>8.2</w:t>
            </w:r>
            <w:r w:rsidR="00DD54CE">
              <w:rPr>
                <w:rFonts w:asciiTheme="minorHAnsi" w:eastAsiaTheme="minorEastAsia" w:hAnsiTheme="minorHAnsi" w:cstheme="minorBidi"/>
                <w:noProof/>
                <w:sz w:val="22"/>
              </w:rPr>
              <w:tab/>
            </w:r>
            <w:r w:rsidR="00DD54CE" w:rsidRPr="009E24E5">
              <w:rPr>
                <w:rStyle w:val="Hyperlink"/>
                <w:noProof/>
              </w:rPr>
              <w:t>Demand Response</w:t>
            </w:r>
            <w:r w:rsidR="00DD54CE">
              <w:rPr>
                <w:noProof/>
                <w:webHidden/>
              </w:rPr>
              <w:tab/>
            </w:r>
            <w:r w:rsidR="00DD54CE">
              <w:rPr>
                <w:noProof/>
                <w:webHidden/>
              </w:rPr>
              <w:fldChar w:fldCharType="begin"/>
            </w:r>
            <w:r w:rsidR="00DD54CE">
              <w:rPr>
                <w:noProof/>
                <w:webHidden/>
              </w:rPr>
              <w:instrText xml:space="preserve"> PAGEREF _Toc63669608 \h </w:instrText>
            </w:r>
            <w:r w:rsidR="00DD54CE">
              <w:rPr>
                <w:noProof/>
                <w:webHidden/>
              </w:rPr>
            </w:r>
            <w:r w:rsidR="00DD54CE">
              <w:rPr>
                <w:noProof/>
                <w:webHidden/>
              </w:rPr>
              <w:fldChar w:fldCharType="separate"/>
            </w:r>
            <w:r w:rsidR="00DD54CE">
              <w:rPr>
                <w:noProof/>
                <w:webHidden/>
              </w:rPr>
              <w:t>64</w:t>
            </w:r>
            <w:r w:rsidR="00DD54CE">
              <w:rPr>
                <w:noProof/>
                <w:webHidden/>
              </w:rPr>
              <w:fldChar w:fldCharType="end"/>
            </w:r>
          </w:hyperlink>
        </w:p>
        <w:p w14:paraId="1F41C24B" w14:textId="38A5296E" w:rsidR="00DD54CE" w:rsidRDefault="00F02B49">
          <w:pPr>
            <w:pStyle w:val="TOC2"/>
            <w:rPr>
              <w:rFonts w:asciiTheme="minorHAnsi" w:eastAsiaTheme="minorEastAsia" w:hAnsiTheme="minorHAnsi" w:cstheme="minorBidi"/>
              <w:noProof/>
              <w:sz w:val="22"/>
            </w:rPr>
          </w:pPr>
          <w:hyperlink w:anchor="_Toc63669609" w:history="1">
            <w:r w:rsidR="00DD54CE" w:rsidRPr="009E24E5">
              <w:rPr>
                <w:rStyle w:val="Hyperlink"/>
                <w:noProof/>
              </w:rPr>
              <w:t>9.</w:t>
            </w:r>
            <w:r w:rsidR="00DD54CE">
              <w:rPr>
                <w:rFonts w:asciiTheme="minorHAnsi" w:eastAsiaTheme="minorEastAsia" w:hAnsiTheme="minorHAnsi" w:cstheme="minorBidi"/>
                <w:noProof/>
                <w:sz w:val="22"/>
              </w:rPr>
              <w:tab/>
            </w:r>
            <w:r w:rsidR="00DD54CE" w:rsidRPr="009E24E5">
              <w:rPr>
                <w:rStyle w:val="Hyperlink"/>
                <w:noProof/>
              </w:rPr>
              <w:t>Conclusion and Next Steps</w:t>
            </w:r>
            <w:r w:rsidR="00DD54CE">
              <w:rPr>
                <w:noProof/>
                <w:webHidden/>
              </w:rPr>
              <w:tab/>
            </w:r>
            <w:r w:rsidR="00DD54CE">
              <w:rPr>
                <w:noProof/>
                <w:webHidden/>
              </w:rPr>
              <w:fldChar w:fldCharType="begin"/>
            </w:r>
            <w:r w:rsidR="00DD54CE">
              <w:rPr>
                <w:noProof/>
                <w:webHidden/>
              </w:rPr>
              <w:instrText xml:space="preserve"> PAGEREF _Toc63669609 \h </w:instrText>
            </w:r>
            <w:r w:rsidR="00DD54CE">
              <w:rPr>
                <w:noProof/>
                <w:webHidden/>
              </w:rPr>
            </w:r>
            <w:r w:rsidR="00DD54CE">
              <w:rPr>
                <w:noProof/>
                <w:webHidden/>
              </w:rPr>
              <w:fldChar w:fldCharType="separate"/>
            </w:r>
            <w:r w:rsidR="00DD54CE">
              <w:rPr>
                <w:noProof/>
                <w:webHidden/>
              </w:rPr>
              <w:t>66</w:t>
            </w:r>
            <w:r w:rsidR="00DD54CE">
              <w:rPr>
                <w:noProof/>
                <w:webHidden/>
              </w:rPr>
              <w:fldChar w:fldCharType="end"/>
            </w:r>
          </w:hyperlink>
        </w:p>
        <w:p w14:paraId="38C77AFB" w14:textId="3A34F730" w:rsidR="00DD54CE" w:rsidRDefault="00F02B49">
          <w:pPr>
            <w:pStyle w:val="TOC3"/>
            <w:tabs>
              <w:tab w:val="left" w:pos="1100"/>
            </w:tabs>
            <w:rPr>
              <w:rFonts w:asciiTheme="minorHAnsi" w:eastAsiaTheme="minorEastAsia" w:hAnsiTheme="minorHAnsi" w:cstheme="minorBidi"/>
              <w:noProof/>
              <w:sz w:val="22"/>
            </w:rPr>
          </w:pPr>
          <w:hyperlink w:anchor="_Toc63669610" w:history="1">
            <w:r w:rsidR="00DD54CE" w:rsidRPr="009E24E5">
              <w:rPr>
                <w:rStyle w:val="Hyperlink"/>
                <w:noProof/>
              </w:rPr>
              <w:t>9.1</w:t>
            </w:r>
            <w:r w:rsidR="00DD54CE">
              <w:rPr>
                <w:rFonts w:asciiTheme="minorHAnsi" w:eastAsiaTheme="minorEastAsia" w:hAnsiTheme="minorHAnsi" w:cstheme="minorBidi"/>
                <w:noProof/>
                <w:sz w:val="22"/>
              </w:rPr>
              <w:tab/>
            </w:r>
            <w:r w:rsidR="00DD54CE" w:rsidRPr="009E24E5">
              <w:rPr>
                <w:rStyle w:val="Hyperlink"/>
                <w:noProof/>
              </w:rPr>
              <w:t>Guidance on the 46 MMT with 2019 IEPR Base Case Resource Portfolio</w:t>
            </w:r>
            <w:r w:rsidR="00DD54CE">
              <w:rPr>
                <w:noProof/>
                <w:webHidden/>
              </w:rPr>
              <w:tab/>
            </w:r>
            <w:r w:rsidR="00DD54CE">
              <w:rPr>
                <w:noProof/>
                <w:webHidden/>
              </w:rPr>
              <w:fldChar w:fldCharType="begin"/>
            </w:r>
            <w:r w:rsidR="00DD54CE">
              <w:rPr>
                <w:noProof/>
                <w:webHidden/>
              </w:rPr>
              <w:instrText xml:space="preserve"> PAGEREF _Toc63669610 \h </w:instrText>
            </w:r>
            <w:r w:rsidR="00DD54CE">
              <w:rPr>
                <w:noProof/>
                <w:webHidden/>
              </w:rPr>
            </w:r>
            <w:r w:rsidR="00DD54CE">
              <w:rPr>
                <w:noProof/>
                <w:webHidden/>
              </w:rPr>
              <w:fldChar w:fldCharType="separate"/>
            </w:r>
            <w:r w:rsidR="00DD54CE">
              <w:rPr>
                <w:noProof/>
                <w:webHidden/>
              </w:rPr>
              <w:t>67</w:t>
            </w:r>
            <w:r w:rsidR="00DD54CE">
              <w:rPr>
                <w:noProof/>
                <w:webHidden/>
              </w:rPr>
              <w:fldChar w:fldCharType="end"/>
            </w:r>
          </w:hyperlink>
        </w:p>
        <w:p w14:paraId="57C5D0D0" w14:textId="6B403C5D" w:rsidR="00DD54CE" w:rsidRDefault="00F02B49">
          <w:pPr>
            <w:pStyle w:val="TOC3"/>
            <w:tabs>
              <w:tab w:val="left" w:pos="1100"/>
            </w:tabs>
            <w:rPr>
              <w:rFonts w:asciiTheme="minorHAnsi" w:eastAsiaTheme="minorEastAsia" w:hAnsiTheme="minorHAnsi" w:cstheme="minorBidi"/>
              <w:noProof/>
              <w:sz w:val="22"/>
            </w:rPr>
          </w:pPr>
          <w:hyperlink w:anchor="_Toc63669611" w:history="1">
            <w:r w:rsidR="00DD54CE" w:rsidRPr="009E24E5">
              <w:rPr>
                <w:rStyle w:val="Hyperlink"/>
                <w:noProof/>
              </w:rPr>
              <w:t>9.2</w:t>
            </w:r>
            <w:r w:rsidR="00DD54CE">
              <w:rPr>
                <w:rFonts w:asciiTheme="minorHAnsi" w:eastAsiaTheme="minorEastAsia" w:hAnsiTheme="minorHAnsi" w:cstheme="minorBidi"/>
                <w:noProof/>
                <w:sz w:val="22"/>
              </w:rPr>
              <w:tab/>
            </w:r>
            <w:r w:rsidR="00DD54CE" w:rsidRPr="009E24E5">
              <w:rPr>
                <w:rStyle w:val="Hyperlink"/>
                <w:noProof/>
              </w:rPr>
              <w:t>Guidance on the 38 MMT Policy-Driven Sensitivity Resource Portfolio</w:t>
            </w:r>
            <w:r w:rsidR="00DD54CE">
              <w:rPr>
                <w:noProof/>
                <w:webHidden/>
              </w:rPr>
              <w:tab/>
            </w:r>
            <w:r w:rsidR="00DD54CE">
              <w:rPr>
                <w:noProof/>
                <w:webHidden/>
              </w:rPr>
              <w:fldChar w:fldCharType="begin"/>
            </w:r>
            <w:r w:rsidR="00DD54CE">
              <w:rPr>
                <w:noProof/>
                <w:webHidden/>
              </w:rPr>
              <w:instrText xml:space="preserve"> PAGEREF _Toc63669611 \h </w:instrText>
            </w:r>
            <w:r w:rsidR="00DD54CE">
              <w:rPr>
                <w:noProof/>
                <w:webHidden/>
              </w:rPr>
            </w:r>
            <w:r w:rsidR="00DD54CE">
              <w:rPr>
                <w:noProof/>
                <w:webHidden/>
              </w:rPr>
              <w:fldChar w:fldCharType="separate"/>
            </w:r>
            <w:r w:rsidR="00DD54CE">
              <w:rPr>
                <w:noProof/>
                <w:webHidden/>
              </w:rPr>
              <w:t>68</w:t>
            </w:r>
            <w:r w:rsidR="00DD54CE">
              <w:rPr>
                <w:noProof/>
                <w:webHidden/>
              </w:rPr>
              <w:fldChar w:fldCharType="end"/>
            </w:r>
          </w:hyperlink>
        </w:p>
        <w:p w14:paraId="5AE8AF66" w14:textId="453653D0" w:rsidR="00DD54CE" w:rsidRDefault="00F02B49">
          <w:pPr>
            <w:pStyle w:val="TOC3"/>
            <w:tabs>
              <w:tab w:val="left" w:pos="1100"/>
            </w:tabs>
            <w:rPr>
              <w:rFonts w:asciiTheme="minorHAnsi" w:eastAsiaTheme="minorEastAsia" w:hAnsiTheme="minorHAnsi" w:cstheme="minorBidi"/>
              <w:noProof/>
              <w:sz w:val="22"/>
            </w:rPr>
          </w:pPr>
          <w:hyperlink w:anchor="_Toc63669612" w:history="1">
            <w:r w:rsidR="00DD54CE" w:rsidRPr="009E24E5">
              <w:rPr>
                <w:rStyle w:val="Hyperlink"/>
                <w:noProof/>
              </w:rPr>
              <w:t>9.3</w:t>
            </w:r>
            <w:r w:rsidR="00DD54CE">
              <w:rPr>
                <w:rFonts w:asciiTheme="minorHAnsi" w:eastAsiaTheme="minorEastAsia" w:hAnsiTheme="minorHAnsi" w:cstheme="minorBidi"/>
                <w:noProof/>
                <w:sz w:val="22"/>
              </w:rPr>
              <w:tab/>
            </w:r>
            <w:r w:rsidR="00DD54CE" w:rsidRPr="009E24E5">
              <w:rPr>
                <w:rStyle w:val="Hyperlink"/>
                <w:noProof/>
              </w:rPr>
              <w:t>Guidance on the Offshore Wind Policy-Driven Sensitivity Resource Portfolio</w:t>
            </w:r>
            <w:r w:rsidR="00DD54CE">
              <w:rPr>
                <w:noProof/>
                <w:webHidden/>
              </w:rPr>
              <w:tab/>
            </w:r>
            <w:r w:rsidR="00DD54CE">
              <w:rPr>
                <w:noProof/>
                <w:webHidden/>
              </w:rPr>
              <w:fldChar w:fldCharType="begin"/>
            </w:r>
            <w:r w:rsidR="00DD54CE">
              <w:rPr>
                <w:noProof/>
                <w:webHidden/>
              </w:rPr>
              <w:instrText xml:space="preserve"> PAGEREF _Toc63669612 \h </w:instrText>
            </w:r>
            <w:r w:rsidR="00DD54CE">
              <w:rPr>
                <w:noProof/>
                <w:webHidden/>
              </w:rPr>
            </w:r>
            <w:r w:rsidR="00DD54CE">
              <w:rPr>
                <w:noProof/>
                <w:webHidden/>
              </w:rPr>
              <w:fldChar w:fldCharType="separate"/>
            </w:r>
            <w:r w:rsidR="00DD54CE">
              <w:rPr>
                <w:noProof/>
                <w:webHidden/>
              </w:rPr>
              <w:t>69</w:t>
            </w:r>
            <w:r w:rsidR="00DD54CE">
              <w:rPr>
                <w:noProof/>
                <w:webHidden/>
              </w:rPr>
              <w:fldChar w:fldCharType="end"/>
            </w:r>
          </w:hyperlink>
        </w:p>
        <w:p w14:paraId="2B9DD537" w14:textId="5AFF0C7E" w:rsidR="00DD54CE" w:rsidRDefault="00F02B49">
          <w:pPr>
            <w:pStyle w:val="TOC3"/>
            <w:tabs>
              <w:tab w:val="left" w:pos="1100"/>
            </w:tabs>
            <w:rPr>
              <w:rFonts w:asciiTheme="minorHAnsi" w:eastAsiaTheme="minorEastAsia" w:hAnsiTheme="minorHAnsi" w:cstheme="minorBidi"/>
              <w:noProof/>
              <w:sz w:val="22"/>
            </w:rPr>
          </w:pPr>
          <w:hyperlink w:anchor="_Toc63669613" w:history="1">
            <w:r w:rsidR="00DD54CE" w:rsidRPr="009E24E5">
              <w:rPr>
                <w:rStyle w:val="Hyperlink"/>
                <w:noProof/>
              </w:rPr>
              <w:t>9.4</w:t>
            </w:r>
            <w:r w:rsidR="00DD54CE">
              <w:rPr>
                <w:rFonts w:asciiTheme="minorHAnsi" w:eastAsiaTheme="minorEastAsia" w:hAnsiTheme="minorHAnsi" w:cstheme="minorBidi"/>
                <w:noProof/>
                <w:sz w:val="22"/>
              </w:rPr>
              <w:tab/>
            </w:r>
            <w:r w:rsidR="00DD54CE" w:rsidRPr="009E24E5">
              <w:rPr>
                <w:rStyle w:val="Hyperlink"/>
                <w:noProof/>
              </w:rPr>
              <w:t>Busbar Mapping for 2022-23 TPP and Future Cycles</w:t>
            </w:r>
            <w:r w:rsidR="00DD54CE">
              <w:rPr>
                <w:noProof/>
                <w:webHidden/>
              </w:rPr>
              <w:tab/>
            </w:r>
            <w:r w:rsidR="00DD54CE">
              <w:rPr>
                <w:noProof/>
                <w:webHidden/>
              </w:rPr>
              <w:fldChar w:fldCharType="begin"/>
            </w:r>
            <w:r w:rsidR="00DD54CE">
              <w:rPr>
                <w:noProof/>
                <w:webHidden/>
              </w:rPr>
              <w:instrText xml:space="preserve"> PAGEREF _Toc63669613 \h </w:instrText>
            </w:r>
            <w:r w:rsidR="00DD54CE">
              <w:rPr>
                <w:noProof/>
                <w:webHidden/>
              </w:rPr>
            </w:r>
            <w:r w:rsidR="00DD54CE">
              <w:rPr>
                <w:noProof/>
                <w:webHidden/>
              </w:rPr>
              <w:fldChar w:fldCharType="separate"/>
            </w:r>
            <w:r w:rsidR="00DD54CE">
              <w:rPr>
                <w:noProof/>
                <w:webHidden/>
              </w:rPr>
              <w:t>70</w:t>
            </w:r>
            <w:r w:rsidR="00DD54CE">
              <w:rPr>
                <w:noProof/>
                <w:webHidden/>
              </w:rPr>
              <w:fldChar w:fldCharType="end"/>
            </w:r>
          </w:hyperlink>
        </w:p>
        <w:p w14:paraId="61096DCE" w14:textId="0D867118" w:rsidR="00DD54CE" w:rsidRDefault="00F02B49">
          <w:pPr>
            <w:pStyle w:val="TOC2"/>
            <w:rPr>
              <w:rFonts w:asciiTheme="minorHAnsi" w:eastAsiaTheme="minorEastAsia" w:hAnsiTheme="minorHAnsi" w:cstheme="minorBidi"/>
              <w:noProof/>
              <w:sz w:val="22"/>
            </w:rPr>
          </w:pPr>
          <w:hyperlink w:anchor="_Toc63669614" w:history="1">
            <w:r w:rsidR="00DD54CE" w:rsidRPr="009E24E5">
              <w:rPr>
                <w:rStyle w:val="Hyperlink"/>
                <w:noProof/>
              </w:rPr>
              <w:t>10.</w:t>
            </w:r>
            <w:r w:rsidR="00DD54CE">
              <w:rPr>
                <w:rFonts w:asciiTheme="minorHAnsi" w:eastAsiaTheme="minorEastAsia" w:hAnsiTheme="minorHAnsi" w:cstheme="minorBidi"/>
                <w:noProof/>
                <w:sz w:val="22"/>
              </w:rPr>
              <w:tab/>
            </w:r>
            <w:r w:rsidR="00DD54CE" w:rsidRPr="009E24E5">
              <w:rPr>
                <w:rStyle w:val="Hyperlink"/>
                <w:noProof/>
              </w:rPr>
              <w:t>Appendices</w:t>
            </w:r>
            <w:r w:rsidR="00DD54CE">
              <w:rPr>
                <w:noProof/>
                <w:webHidden/>
              </w:rPr>
              <w:tab/>
            </w:r>
            <w:r w:rsidR="00DD54CE">
              <w:rPr>
                <w:noProof/>
                <w:webHidden/>
              </w:rPr>
              <w:fldChar w:fldCharType="begin"/>
            </w:r>
            <w:r w:rsidR="00DD54CE">
              <w:rPr>
                <w:noProof/>
                <w:webHidden/>
              </w:rPr>
              <w:instrText xml:space="preserve"> PAGEREF _Toc63669614 \h </w:instrText>
            </w:r>
            <w:r w:rsidR="00DD54CE">
              <w:rPr>
                <w:noProof/>
                <w:webHidden/>
              </w:rPr>
            </w:r>
            <w:r w:rsidR="00DD54CE">
              <w:rPr>
                <w:noProof/>
                <w:webHidden/>
              </w:rPr>
              <w:fldChar w:fldCharType="separate"/>
            </w:r>
            <w:r w:rsidR="00DD54CE">
              <w:rPr>
                <w:noProof/>
                <w:webHidden/>
              </w:rPr>
              <w:t>71</w:t>
            </w:r>
            <w:r w:rsidR="00DD54CE">
              <w:rPr>
                <w:noProof/>
                <w:webHidden/>
              </w:rPr>
              <w:fldChar w:fldCharType="end"/>
            </w:r>
          </w:hyperlink>
        </w:p>
        <w:p w14:paraId="24163FAD" w14:textId="2D8F9EA7" w:rsidR="00BF108C" w:rsidRDefault="00BF108C">
          <w:r>
            <w:rPr>
              <w:b/>
              <w:color w:val="2B579A"/>
              <w:shd w:val="clear" w:color="auto" w:fill="E6E6E6"/>
            </w:rPr>
            <w:fldChar w:fldCharType="end"/>
          </w:r>
        </w:p>
      </w:sdtContent>
    </w:sdt>
    <w:p w14:paraId="2CECB445" w14:textId="6D4D5781" w:rsidR="00BF108C" w:rsidRDefault="00BF108C" w:rsidP="00BF108C">
      <w:pPr>
        <w:pStyle w:val="Heading2"/>
        <w:numPr>
          <w:ilvl w:val="0"/>
          <w:numId w:val="0"/>
        </w:numPr>
        <w:spacing w:before="0" w:after="120"/>
      </w:pPr>
    </w:p>
    <w:p w14:paraId="4B22EA85" w14:textId="6E2BBB6A" w:rsidR="00765F16" w:rsidRDefault="00765F16">
      <w:pPr>
        <w:spacing w:after="160" w:line="259" w:lineRule="auto"/>
        <w:ind w:left="0"/>
      </w:pPr>
      <w:r>
        <w:br w:type="page"/>
      </w:r>
    </w:p>
    <w:p w14:paraId="3C058A37" w14:textId="43303EF9" w:rsidR="00374049" w:rsidRPr="00044484" w:rsidRDefault="009B2A1D" w:rsidP="00DD54CE">
      <w:pPr>
        <w:pStyle w:val="Heading2"/>
      </w:pPr>
      <w:bookmarkStart w:id="20" w:name="_Toc32335339"/>
      <w:bookmarkStart w:id="21" w:name="_Toc32335340"/>
      <w:bookmarkStart w:id="22" w:name="_Toc63669590"/>
      <w:bookmarkEnd w:id="20"/>
      <w:bookmarkEnd w:id="21"/>
      <w:r>
        <w:lastRenderedPageBreak/>
        <w:t>Document Purpose</w:t>
      </w:r>
      <w:bookmarkEnd w:id="22"/>
    </w:p>
    <w:p w14:paraId="7BB7F6D0" w14:textId="5AE31E9F" w:rsidR="002212F0" w:rsidRPr="000B656F" w:rsidRDefault="00B640E6" w:rsidP="000B656F">
      <w:pPr>
        <w:spacing w:after="240"/>
        <w:ind w:left="0"/>
      </w:pPr>
      <w:bookmarkStart w:id="23" w:name="_Hlk5613839"/>
      <w:bookmarkStart w:id="24" w:name="_Hlk4086428"/>
      <w:bookmarkStart w:id="25" w:name="_Hlk4749806"/>
      <w:r w:rsidRPr="000B656F">
        <w:t xml:space="preserve">Resource-to-busbar </w:t>
      </w:r>
      <w:r w:rsidR="002212F0" w:rsidRPr="000B656F">
        <w:t>mapping</w:t>
      </w:r>
      <w:r w:rsidRPr="000B656F">
        <w:t xml:space="preserve"> (“busbar mapping”)</w:t>
      </w:r>
      <w:r w:rsidR="002212F0" w:rsidRPr="000B656F">
        <w:t xml:space="preserve"> is the process of refining the geographically coarse </w:t>
      </w:r>
      <w:r w:rsidR="00264723" w:rsidRPr="000B656F">
        <w:t xml:space="preserve">electricity resource </w:t>
      </w:r>
      <w:r w:rsidR="002212F0" w:rsidRPr="000B656F">
        <w:t xml:space="preserve">portfolios produced in the </w:t>
      </w:r>
      <w:r w:rsidR="00D30DD0" w:rsidRPr="000B656F">
        <w:t>California Public Utilities Commission’s (</w:t>
      </w:r>
      <w:r w:rsidR="002212F0" w:rsidRPr="000B656F">
        <w:t>CPUC</w:t>
      </w:r>
      <w:r w:rsidR="00D30DD0" w:rsidRPr="000B656F">
        <w:t>)</w:t>
      </w:r>
      <w:r w:rsidR="002212F0" w:rsidRPr="000B656F">
        <w:t xml:space="preserve"> Integrated Resource Plan (IRP) proceeding, into plausible network modeling locations for </w:t>
      </w:r>
      <w:r w:rsidR="00F002DA">
        <w:t>transmission</w:t>
      </w:r>
      <w:r w:rsidR="00F002DA" w:rsidRPr="000B656F">
        <w:t xml:space="preserve"> </w:t>
      </w:r>
      <w:r w:rsidR="002212F0" w:rsidRPr="000B656F">
        <w:t xml:space="preserve">analysis in the </w:t>
      </w:r>
      <w:r w:rsidR="00D30DD0" w:rsidRPr="000B656F">
        <w:t>California Independent System Operator’s (</w:t>
      </w:r>
      <w:r w:rsidR="002212F0" w:rsidRPr="000B656F">
        <w:t>CAISO</w:t>
      </w:r>
      <w:r w:rsidR="00D30DD0" w:rsidRPr="000B656F">
        <w:t>)</w:t>
      </w:r>
      <w:r w:rsidR="002212F0" w:rsidRPr="000B656F">
        <w:t xml:space="preserve"> </w:t>
      </w:r>
      <w:r w:rsidR="00EC40C9" w:rsidRPr="000B656F">
        <w:t xml:space="preserve">annual </w:t>
      </w:r>
      <w:r w:rsidR="002212F0" w:rsidRPr="000B656F">
        <w:t>Transmission Planning Process (TPP).</w:t>
      </w:r>
      <w:r w:rsidR="00D30DD0" w:rsidRPr="000B656F">
        <w:t xml:space="preserve"> </w:t>
      </w:r>
    </w:p>
    <w:p w14:paraId="7EA672A3" w14:textId="6A46EAA2" w:rsidR="0082401C" w:rsidRDefault="00401432" w:rsidP="000B656F">
      <w:pPr>
        <w:spacing w:after="240"/>
        <w:ind w:left="0"/>
      </w:pPr>
      <w:r>
        <w:t xml:space="preserve">The purpose of this </w:t>
      </w:r>
      <w:r w:rsidR="008F49C5">
        <w:t xml:space="preserve">Report </w:t>
      </w:r>
      <w:r w:rsidR="007F34D7">
        <w:t>is to</w:t>
      </w:r>
      <w:r w:rsidR="00E50F56">
        <w:t xml:space="preserve"> memorialize and</w:t>
      </w:r>
      <w:r w:rsidR="007F34D7">
        <w:t xml:space="preserve"> communicate the methodology and results of the busbar mapping process performed by the </w:t>
      </w:r>
      <w:r w:rsidR="00D30DD0">
        <w:t>CPUC, CAISO and California Energy Commission (CEC)</w:t>
      </w:r>
      <w:r w:rsidR="007F34D7">
        <w:t>,</w:t>
      </w:r>
      <w:r w:rsidR="00CD0068">
        <w:t xml:space="preserve"> </w:t>
      </w:r>
      <w:r w:rsidR="00897584">
        <w:t xml:space="preserve">for input into </w:t>
      </w:r>
      <w:r w:rsidR="7F4DCE64">
        <w:t>the 2021-2022</w:t>
      </w:r>
      <w:r w:rsidR="66CCB91B">
        <w:t xml:space="preserve"> </w:t>
      </w:r>
      <w:r w:rsidR="00897584">
        <w:t>TPP,</w:t>
      </w:r>
      <w:r w:rsidR="007F34D7">
        <w:t xml:space="preserve"> </w:t>
      </w:r>
      <w:r w:rsidR="00B41693">
        <w:t xml:space="preserve">providing </w:t>
      </w:r>
      <w:r>
        <w:t xml:space="preserve">transparency and opportunity for </w:t>
      </w:r>
      <w:r w:rsidR="008F49C5">
        <w:t xml:space="preserve">IRP and TPP </w:t>
      </w:r>
      <w:r>
        <w:t xml:space="preserve">stakeholder </w:t>
      </w:r>
      <w:r w:rsidR="004D0A9C">
        <w:t>engagement</w:t>
      </w:r>
      <w:r>
        <w:t>.</w:t>
      </w:r>
      <w:r w:rsidR="003E36F4">
        <w:t xml:space="preserve"> </w:t>
      </w:r>
      <w:r w:rsidR="00117B12">
        <w:t xml:space="preserve"> </w:t>
      </w:r>
      <w:bookmarkStart w:id="26" w:name="_Hlk5614260"/>
      <w:bookmarkEnd w:id="1"/>
      <w:bookmarkEnd w:id="23"/>
      <w:bookmarkEnd w:id="24"/>
      <w:bookmarkEnd w:id="25"/>
      <w:bookmarkEnd w:id="9"/>
      <w:bookmarkEnd w:id="8"/>
      <w:bookmarkEnd w:id="7"/>
    </w:p>
    <w:p w14:paraId="48C740C2" w14:textId="1ED22F83" w:rsidR="4636000A" w:rsidRDefault="002964B7" w:rsidP="000B656F">
      <w:pPr>
        <w:spacing w:after="240"/>
        <w:ind w:left="0"/>
      </w:pPr>
      <w:r>
        <w:t>Similar</w:t>
      </w:r>
      <w:r w:rsidR="000B5CB8">
        <w:t xml:space="preserve"> to prepar</w:t>
      </w:r>
      <w:r w:rsidR="00B40940">
        <w:t xml:space="preserve">ation </w:t>
      </w:r>
      <w:r w:rsidR="001D7861">
        <w:t>for the 20</w:t>
      </w:r>
      <w:r w:rsidR="000B5CB8">
        <w:t>20-2021</w:t>
      </w:r>
      <w:r w:rsidR="00B40940">
        <w:t xml:space="preserve"> TPP,</w:t>
      </w:r>
      <w:r w:rsidR="4636000A">
        <w:t xml:space="preserve"> </w:t>
      </w:r>
      <w:r w:rsidR="00B40940">
        <w:t xml:space="preserve">this </w:t>
      </w:r>
      <w:r w:rsidR="4636000A">
        <w:t xml:space="preserve">Report includes the key guidance for TPP studies that </w:t>
      </w:r>
      <w:r w:rsidR="0CF78731">
        <w:t xml:space="preserve">in past years </w:t>
      </w:r>
      <w:r w:rsidR="4636000A">
        <w:t xml:space="preserve">was conveyed in the </w:t>
      </w:r>
      <w:r w:rsidR="4646D324">
        <w:t>“Long-Term Procurement Plan Assumptions and Scenarios” and later the “Unified Inputs and Assumptions”</w:t>
      </w:r>
      <w:r w:rsidR="49BBB411">
        <w:t>,</w:t>
      </w:r>
      <w:r w:rsidR="4636000A">
        <w:t xml:space="preserve"> thus </w:t>
      </w:r>
      <w:r w:rsidR="001E5D8E">
        <w:t xml:space="preserve">superseding </w:t>
      </w:r>
      <w:r w:rsidR="4636000A">
        <w:t>earlier guidance and documents.</w:t>
      </w:r>
    </w:p>
    <w:p w14:paraId="5ACE2F73" w14:textId="1137187F" w:rsidR="00381F9C" w:rsidRDefault="20042659" w:rsidP="4F992AFA">
      <w:pPr>
        <w:ind w:left="0"/>
        <w:rPr>
          <w:rFonts w:eastAsia="Garamond" w:cs="Garamond"/>
        </w:rPr>
      </w:pPr>
      <w:r w:rsidRPr="4F992AFA">
        <w:rPr>
          <w:rFonts w:eastAsia="Garamond" w:cs="Garamond"/>
        </w:rPr>
        <w:t xml:space="preserve">The purpose of this Report is to provide detailed documentation to accompany several Excel </w:t>
      </w:r>
      <w:r w:rsidR="00FF2025">
        <w:rPr>
          <w:rFonts w:eastAsia="Garamond" w:cs="Garamond"/>
        </w:rPr>
        <w:t>w</w:t>
      </w:r>
      <w:r w:rsidRPr="4F992AFA">
        <w:rPr>
          <w:rFonts w:eastAsia="Garamond" w:cs="Garamond"/>
        </w:rPr>
        <w:t xml:space="preserve">orkbooks that identify the locations for future generation and storage resources that are expected to be necessary to support the California electric grid. </w:t>
      </w:r>
      <w:r w:rsidR="494232B4" w:rsidRPr="4F992AFA">
        <w:rPr>
          <w:rFonts w:eastAsia="Garamond" w:cs="Garamond"/>
        </w:rPr>
        <w:t xml:space="preserve">Please see Section </w:t>
      </w:r>
      <w:r w:rsidR="00F66198">
        <w:rPr>
          <w:rFonts w:eastAsia="Garamond" w:cs="Garamond"/>
        </w:rPr>
        <w:fldChar w:fldCharType="begin"/>
      </w:r>
      <w:r w:rsidR="00F66198">
        <w:rPr>
          <w:rFonts w:eastAsia="Garamond" w:cs="Garamond"/>
        </w:rPr>
        <w:instrText xml:space="preserve"> REF _Ref59649402 \w \h </w:instrText>
      </w:r>
      <w:r w:rsidR="00F66198">
        <w:rPr>
          <w:rFonts w:eastAsia="Garamond" w:cs="Garamond"/>
        </w:rPr>
      </w:r>
      <w:r w:rsidR="00F66198">
        <w:rPr>
          <w:rFonts w:eastAsia="Garamond" w:cs="Garamond"/>
        </w:rPr>
        <w:fldChar w:fldCharType="separate"/>
      </w:r>
      <w:r w:rsidR="003B7A14">
        <w:rPr>
          <w:rFonts w:eastAsia="Garamond" w:cs="Garamond"/>
        </w:rPr>
        <w:t>10</w:t>
      </w:r>
      <w:r w:rsidR="00F66198">
        <w:rPr>
          <w:rFonts w:eastAsia="Garamond" w:cs="Garamond"/>
        </w:rPr>
        <w:fldChar w:fldCharType="end"/>
      </w:r>
      <w:r w:rsidR="494232B4" w:rsidRPr="4F992AFA">
        <w:rPr>
          <w:rFonts w:eastAsia="Garamond" w:cs="Garamond"/>
        </w:rPr>
        <w:t xml:space="preserve">: </w:t>
      </w:r>
      <w:r w:rsidR="00F66198">
        <w:rPr>
          <w:rFonts w:eastAsia="Garamond" w:cs="Garamond"/>
        </w:rPr>
        <w:fldChar w:fldCharType="begin"/>
      </w:r>
      <w:r w:rsidR="00F66198">
        <w:rPr>
          <w:rFonts w:eastAsia="Garamond" w:cs="Garamond"/>
        </w:rPr>
        <w:instrText xml:space="preserve"> REF _Ref59649423 \h </w:instrText>
      </w:r>
      <w:r w:rsidR="00F66198">
        <w:rPr>
          <w:rFonts w:eastAsia="Garamond" w:cs="Garamond"/>
        </w:rPr>
      </w:r>
      <w:r w:rsidR="00F66198">
        <w:rPr>
          <w:rFonts w:eastAsia="Garamond" w:cs="Garamond"/>
        </w:rPr>
        <w:fldChar w:fldCharType="separate"/>
      </w:r>
      <w:r w:rsidR="003B7A14">
        <w:t>Appendices</w:t>
      </w:r>
      <w:r w:rsidR="00F66198">
        <w:rPr>
          <w:rFonts w:eastAsia="Garamond" w:cs="Garamond"/>
        </w:rPr>
        <w:fldChar w:fldCharType="end"/>
      </w:r>
      <w:r w:rsidR="494232B4" w:rsidRPr="4F992AFA">
        <w:rPr>
          <w:rFonts w:eastAsia="Garamond" w:cs="Garamond"/>
        </w:rPr>
        <w:t xml:space="preserve"> for links to </w:t>
      </w:r>
      <w:r w:rsidR="053CFC89" w:rsidRPr="4F992AFA">
        <w:rPr>
          <w:rFonts w:eastAsia="Garamond" w:cs="Garamond"/>
        </w:rPr>
        <w:t>the</w:t>
      </w:r>
      <w:r w:rsidR="00504B88">
        <w:rPr>
          <w:rFonts w:eastAsia="Garamond" w:cs="Garamond"/>
        </w:rPr>
        <w:t>se</w:t>
      </w:r>
      <w:r w:rsidR="053CFC89" w:rsidRPr="4F992AFA">
        <w:rPr>
          <w:rFonts w:eastAsia="Garamond" w:cs="Garamond"/>
        </w:rPr>
        <w:t xml:space="preserve"> workbooks</w:t>
      </w:r>
      <w:r w:rsidR="00504B88">
        <w:rPr>
          <w:rFonts w:eastAsia="Garamond" w:cs="Garamond"/>
        </w:rPr>
        <w:t>:</w:t>
      </w:r>
    </w:p>
    <w:p w14:paraId="1E6A131C" w14:textId="77777777" w:rsidR="00504B88" w:rsidRPr="00E86BEF" w:rsidRDefault="00504B88" w:rsidP="00504B88">
      <w:pPr>
        <w:pStyle w:val="ListParagraph"/>
        <w:numPr>
          <w:ilvl w:val="0"/>
          <w:numId w:val="117"/>
        </w:numPr>
      </w:pPr>
      <w:r w:rsidRPr="00E86BEF">
        <w:t>Methodology for Resource-to-Busbar Mapping &amp; Assumption for the 2021-2022 TPP</w:t>
      </w:r>
    </w:p>
    <w:p w14:paraId="666BD9D5" w14:textId="77777777" w:rsidR="00504B88" w:rsidRPr="00E86BEF" w:rsidRDefault="00504B88" w:rsidP="00504B88">
      <w:pPr>
        <w:pStyle w:val="ListParagraph"/>
        <w:numPr>
          <w:ilvl w:val="0"/>
          <w:numId w:val="117"/>
        </w:numPr>
      </w:pPr>
      <w:r w:rsidRPr="00E86BEF">
        <w:t>CEC Busbar Mapping Results for Generation Resources – 46 MMT with 2019 IEPR base case portfolio, 38 MMT with 2019 IEPR policy-driven sensitivity portfolio, Offshore wind policy-driven sensitivity portfolio</w:t>
      </w:r>
    </w:p>
    <w:p w14:paraId="5290B737" w14:textId="77777777" w:rsidR="00504B88" w:rsidRPr="00E86BEF" w:rsidRDefault="00504B88" w:rsidP="00504B88">
      <w:pPr>
        <w:pStyle w:val="ListParagraph"/>
        <w:numPr>
          <w:ilvl w:val="0"/>
          <w:numId w:val="117"/>
        </w:numPr>
      </w:pPr>
      <w:r w:rsidRPr="00E86BEF">
        <w:t>Busbar Mapping Results for Battery Storage – 46 MMT with 2019 IEPR base case portfolio, 38 MMT with 2019 IEPR policy-driven sensitivity portfolio, Offshore wind policy-driven sensitivity portfolio</w:t>
      </w:r>
    </w:p>
    <w:p w14:paraId="14D195F8" w14:textId="45597466" w:rsidR="00504B88" w:rsidRPr="00E86BEF" w:rsidRDefault="00504B88" w:rsidP="00504B88">
      <w:pPr>
        <w:pStyle w:val="ListParagraph"/>
        <w:numPr>
          <w:ilvl w:val="0"/>
          <w:numId w:val="117"/>
        </w:numPr>
      </w:pPr>
      <w:r w:rsidRPr="00E86BEF">
        <w:t>Busbar Mapping Dashboard workbook – 46 MMT with 2019 IEPR Base Case Portfolio</w:t>
      </w:r>
    </w:p>
    <w:p w14:paraId="47730E87" w14:textId="13D3360A" w:rsidR="00504B88" w:rsidRPr="00E86BEF" w:rsidRDefault="00504B88" w:rsidP="00504B88">
      <w:pPr>
        <w:pStyle w:val="ListParagraph"/>
        <w:numPr>
          <w:ilvl w:val="0"/>
          <w:numId w:val="117"/>
        </w:numPr>
      </w:pPr>
      <w:r w:rsidRPr="00E86BEF">
        <w:t>Busbar Mapping Dashboard workbook – 38 MMT with 2019 IEPR Portfolio</w:t>
      </w:r>
    </w:p>
    <w:p w14:paraId="24013D2B" w14:textId="28CCCDF7" w:rsidR="00504B88" w:rsidRPr="00E86BEF" w:rsidRDefault="00504B88" w:rsidP="00504B88">
      <w:pPr>
        <w:pStyle w:val="ListParagraph"/>
        <w:numPr>
          <w:ilvl w:val="0"/>
          <w:numId w:val="117"/>
        </w:numPr>
      </w:pPr>
      <w:r w:rsidRPr="00E86BEF">
        <w:t xml:space="preserve">Busbar Mapping Dashboard Workbook </w:t>
      </w:r>
      <w:r w:rsidR="00FF2025" w:rsidRPr="00E86BEF">
        <w:t>–</w:t>
      </w:r>
      <w:r w:rsidRPr="00E86BEF">
        <w:t xml:space="preserve"> Offshore Wind Sensitivity Portfolio </w:t>
      </w:r>
    </w:p>
    <w:p w14:paraId="5E945237" w14:textId="77777777" w:rsidR="00504B88" w:rsidRPr="00E86BEF" w:rsidRDefault="00504B88" w:rsidP="00504B88">
      <w:pPr>
        <w:pStyle w:val="ListParagraph"/>
        <w:numPr>
          <w:ilvl w:val="0"/>
          <w:numId w:val="117"/>
        </w:numPr>
      </w:pPr>
      <w:r w:rsidRPr="00E86BEF">
        <w:t>2020 IRP Baseline (for non-battery resources)</w:t>
      </w:r>
    </w:p>
    <w:p w14:paraId="7B22FFA3" w14:textId="77777777" w:rsidR="00504B88" w:rsidRPr="00E86BEF" w:rsidRDefault="00504B88" w:rsidP="00504B88">
      <w:pPr>
        <w:pStyle w:val="ListParagraph"/>
        <w:numPr>
          <w:ilvl w:val="0"/>
          <w:numId w:val="117"/>
        </w:numPr>
      </w:pPr>
      <w:r w:rsidRPr="00E86BEF">
        <w:t xml:space="preserve">IRP Procurement Decision Baseline (for battery storage resources) </w:t>
      </w:r>
    </w:p>
    <w:p w14:paraId="08B6137E" w14:textId="77777777" w:rsidR="00504B88" w:rsidRPr="00E86BEF" w:rsidRDefault="00504B88" w:rsidP="00504B88">
      <w:pPr>
        <w:pStyle w:val="ListParagraph"/>
        <w:numPr>
          <w:ilvl w:val="0"/>
          <w:numId w:val="117"/>
        </w:numPr>
      </w:pPr>
      <w:r w:rsidRPr="00E86BEF">
        <w:t>Retirement List for the Offshore Wind Policy-Driven Sensitivity Portfolio</w:t>
      </w:r>
    </w:p>
    <w:p w14:paraId="3B5F3D6B" w14:textId="12C9F510" w:rsidR="005E445D" w:rsidRPr="00A24A87" w:rsidRDefault="00504B88" w:rsidP="00A24A87">
      <w:pPr>
        <w:pStyle w:val="ListParagraph"/>
        <w:numPr>
          <w:ilvl w:val="0"/>
          <w:numId w:val="117"/>
        </w:numPr>
        <w:rPr>
          <w:rFonts w:eastAsia="Garamond" w:cs="Garamond"/>
        </w:rPr>
      </w:pPr>
      <w:r w:rsidRPr="00E86BEF">
        <w:t>Solar Cost Sensitivity Modeling slides</w:t>
      </w:r>
    </w:p>
    <w:p w14:paraId="42105A89" w14:textId="3E83F40E" w:rsidR="005E445D" w:rsidRDefault="005E445D" w:rsidP="13A18B61">
      <w:pPr>
        <w:ind w:left="0"/>
        <w:rPr>
          <w:rFonts w:eastAsia="Garamond" w:cs="Garamond"/>
          <w:szCs w:val="24"/>
        </w:rPr>
      </w:pPr>
    </w:p>
    <w:p w14:paraId="43EDB3C2" w14:textId="32365284" w:rsidR="00F16F6B" w:rsidRDefault="00373779" w:rsidP="00A503C7">
      <w:pPr>
        <w:ind w:left="0"/>
        <w:rPr>
          <w:rFonts w:eastAsia="Garamond" w:cs="Garamond"/>
        </w:rPr>
      </w:pPr>
      <w:r w:rsidRPr="6EADE052">
        <w:rPr>
          <w:rFonts w:eastAsia="Garamond" w:cs="Garamond"/>
        </w:rPr>
        <w:t>The figure</w:t>
      </w:r>
      <w:r w:rsidR="00C66BCE" w:rsidRPr="6EADE052">
        <w:rPr>
          <w:rFonts w:eastAsia="Garamond" w:cs="Garamond"/>
        </w:rPr>
        <w:t>s</w:t>
      </w:r>
      <w:r w:rsidRPr="6EADE052">
        <w:rPr>
          <w:rFonts w:eastAsia="Garamond" w:cs="Garamond"/>
        </w:rPr>
        <w:t xml:space="preserve"> below are a</w:t>
      </w:r>
      <w:r w:rsidR="2B4BED19" w:rsidRPr="6EADE052">
        <w:rPr>
          <w:rFonts w:eastAsia="Garamond" w:cs="Garamond"/>
        </w:rPr>
        <w:t xml:space="preserve"> visual map-based representation that convey the </w:t>
      </w:r>
      <w:r w:rsidR="00F34BB5" w:rsidRPr="6EADE052">
        <w:rPr>
          <w:rFonts w:eastAsia="Garamond" w:cs="Garamond"/>
        </w:rPr>
        <w:t>mapped resources</w:t>
      </w:r>
      <w:r w:rsidR="00FF2025" w:rsidRPr="6EADE052">
        <w:rPr>
          <w:rFonts w:eastAsia="Garamond" w:cs="Garamond"/>
        </w:rPr>
        <w:t>, one of the primary inputs being transmitted by the CPUC to the CAISO for the 2021-2022 TPP,</w:t>
      </w:r>
      <w:r w:rsidR="2B4BED19" w:rsidRPr="6EADE052">
        <w:rPr>
          <w:rFonts w:eastAsia="Garamond" w:cs="Garamond"/>
        </w:rPr>
        <w:t xml:space="preserve"> in </w:t>
      </w:r>
      <w:r w:rsidR="233054FE" w:rsidRPr="6EADE052">
        <w:rPr>
          <w:rFonts w:eastAsia="Garamond" w:cs="Garamond"/>
        </w:rPr>
        <w:t xml:space="preserve">an easily </w:t>
      </w:r>
      <w:r w:rsidR="0E4DAE4A" w:rsidRPr="6EADE052">
        <w:rPr>
          <w:rFonts w:eastAsia="Garamond" w:cs="Garamond"/>
        </w:rPr>
        <w:t>digestible</w:t>
      </w:r>
      <w:r w:rsidR="233054FE" w:rsidRPr="6EADE052">
        <w:rPr>
          <w:rFonts w:eastAsia="Garamond" w:cs="Garamond"/>
        </w:rPr>
        <w:t xml:space="preserve"> manner. </w:t>
      </w:r>
      <w:r w:rsidR="0CFFFD57" w:rsidRPr="6EADE052">
        <w:rPr>
          <w:rFonts w:eastAsia="Garamond" w:cs="Garamond"/>
        </w:rPr>
        <w:t xml:space="preserve">These maps provide an overview of the results of </w:t>
      </w:r>
      <w:r w:rsidR="00851B80">
        <w:rPr>
          <w:rFonts w:eastAsia="Garamond" w:cs="Garamond"/>
        </w:rPr>
        <w:t>the implementation of</w:t>
      </w:r>
      <w:r w:rsidR="060C48D8" w:rsidRPr="6EADE052">
        <w:rPr>
          <w:rFonts w:eastAsia="Garamond" w:cs="Garamond"/>
        </w:rPr>
        <w:t xml:space="preserve"> the busbar mapping process. </w:t>
      </w:r>
      <w:r w:rsidR="0F24810E" w:rsidRPr="6EADE052">
        <w:rPr>
          <w:rFonts w:eastAsia="Garamond" w:cs="Garamond"/>
        </w:rPr>
        <w:t>The</w:t>
      </w:r>
      <w:r w:rsidR="00851B80">
        <w:rPr>
          <w:rFonts w:eastAsia="Garamond" w:cs="Garamond"/>
        </w:rPr>
        <w:t>se results, as well as the</w:t>
      </w:r>
      <w:r w:rsidR="0F24810E" w:rsidRPr="6EADE052">
        <w:rPr>
          <w:rFonts w:eastAsia="Garamond" w:cs="Garamond"/>
        </w:rPr>
        <w:t xml:space="preserve"> inputs, methodology, </w:t>
      </w:r>
      <w:r w:rsidR="00851B80">
        <w:rPr>
          <w:rFonts w:eastAsia="Garamond" w:cs="Garamond"/>
        </w:rPr>
        <w:t xml:space="preserve">and </w:t>
      </w:r>
      <w:r w:rsidR="0F24810E" w:rsidRPr="6EADE052">
        <w:rPr>
          <w:rFonts w:eastAsia="Garamond" w:cs="Garamond"/>
        </w:rPr>
        <w:t xml:space="preserve">analysis are described in detail in </w:t>
      </w:r>
      <w:r w:rsidR="0C757BCF" w:rsidRPr="6EADE052">
        <w:rPr>
          <w:rFonts w:eastAsia="Garamond" w:cs="Garamond"/>
        </w:rPr>
        <w:t>the following sections of this Rep</w:t>
      </w:r>
      <w:r w:rsidR="1515460C" w:rsidRPr="6EADE052">
        <w:rPr>
          <w:rFonts w:eastAsia="Garamond" w:cs="Garamond"/>
        </w:rPr>
        <w:t>ort.</w:t>
      </w:r>
    </w:p>
    <w:p w14:paraId="6A0AACC8" w14:textId="77777777" w:rsidR="00F16F6B" w:rsidRDefault="00F16F6B">
      <w:pPr>
        <w:spacing w:after="160" w:line="259" w:lineRule="auto"/>
        <w:ind w:left="0"/>
        <w:rPr>
          <w:rFonts w:eastAsia="Garamond" w:cs="Garamond"/>
        </w:rPr>
      </w:pPr>
      <w:r>
        <w:rPr>
          <w:rFonts w:eastAsia="Garamond" w:cs="Garamond"/>
        </w:rPr>
        <w:br w:type="page"/>
      </w:r>
    </w:p>
    <w:p w14:paraId="70826607" w14:textId="3237BF89" w:rsidR="002829AA" w:rsidRDefault="002829AA">
      <w:pPr>
        <w:pStyle w:val="Caption"/>
        <w:keepNext/>
      </w:pPr>
      <w:r>
        <w:lastRenderedPageBreak/>
        <w:t xml:space="preserve">Figure </w:t>
      </w:r>
      <w:r w:rsidR="00F02B49">
        <w:fldChar w:fldCharType="begin"/>
      </w:r>
      <w:r w:rsidR="00F02B49">
        <w:instrText xml:space="preserve"> SEQ Figure \* A</w:instrText>
      </w:r>
      <w:r w:rsidR="00F02B49">
        <w:instrText xml:space="preserve">RABIC </w:instrText>
      </w:r>
      <w:r w:rsidR="00F02B49">
        <w:fldChar w:fldCharType="separate"/>
      </w:r>
      <w:r>
        <w:rPr>
          <w:noProof/>
        </w:rPr>
        <w:t>1</w:t>
      </w:r>
      <w:r w:rsidR="00F02B49">
        <w:rPr>
          <w:noProof/>
        </w:rPr>
        <w:fldChar w:fldCharType="end"/>
      </w:r>
      <w:r>
        <w:t xml:space="preserve">. </w:t>
      </w:r>
      <w:r w:rsidRPr="002829AA">
        <w:t>Map of final busbar mapping results for 46 MMT base case portfolio</w:t>
      </w:r>
      <w:r w:rsidR="00405104">
        <w:rPr>
          <w:rStyle w:val="FootnoteReference"/>
        </w:rPr>
        <w:footnoteReference w:id="2"/>
      </w:r>
    </w:p>
    <w:p w14:paraId="232461C1" w14:textId="77777777" w:rsidR="6703A56A" w:rsidRDefault="3A64C4B2" w:rsidP="005D72D3">
      <w:pPr>
        <w:ind w:left="0"/>
      </w:pPr>
      <w:r>
        <w:rPr>
          <w:noProof/>
        </w:rPr>
        <w:drawing>
          <wp:inline distT="0" distB="0" distL="0" distR="0" wp14:anchorId="270F21CC" wp14:editId="30C9837F">
            <wp:extent cx="5635256" cy="4496465"/>
            <wp:effectExtent l="0" t="0" r="3810" b="0"/>
            <wp:docPr id="475061484" name="Picture 47506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61484"/>
                    <pic:cNvPicPr/>
                  </pic:nvPicPr>
                  <pic:blipFill>
                    <a:blip r:embed="rId12">
                      <a:extLst>
                        <a:ext uri="{28A0092B-C50C-407E-A947-70E740481C1C}">
                          <a14:useLocalDpi xmlns:a14="http://schemas.microsoft.com/office/drawing/2010/main" val="0"/>
                        </a:ext>
                      </a:extLst>
                    </a:blip>
                    <a:stretch>
                      <a:fillRect/>
                    </a:stretch>
                  </pic:blipFill>
                  <pic:spPr>
                    <a:xfrm>
                      <a:off x="0" y="0"/>
                      <a:ext cx="5648099" cy="4506712"/>
                    </a:xfrm>
                    <a:prstGeom prst="rect">
                      <a:avLst/>
                    </a:prstGeom>
                  </pic:spPr>
                </pic:pic>
              </a:graphicData>
            </a:graphic>
          </wp:inline>
        </w:drawing>
      </w:r>
    </w:p>
    <w:p w14:paraId="57701A4C" w14:textId="53811F7D" w:rsidR="4F992AFA" w:rsidRDefault="4F992AFA" w:rsidP="4F992AFA">
      <w:pPr>
        <w:ind w:left="0"/>
      </w:pPr>
    </w:p>
    <w:p w14:paraId="363F04AF" w14:textId="79BA4436" w:rsidR="0065247B" w:rsidRDefault="0065247B">
      <w:pPr>
        <w:spacing w:after="160" w:line="259" w:lineRule="auto"/>
        <w:ind w:left="0"/>
        <w:rPr>
          <w:i/>
          <w:iCs/>
          <w:color w:val="44546A" w:themeColor="text2"/>
          <w:szCs w:val="18"/>
        </w:rPr>
      </w:pPr>
      <w:r>
        <w:br w:type="page"/>
      </w:r>
    </w:p>
    <w:p w14:paraId="79D7CB5E" w14:textId="77777777" w:rsidR="488C0A6C" w:rsidRDefault="488C0A6C" w:rsidP="4F992AFA">
      <w:pPr>
        <w:pStyle w:val="Caption"/>
      </w:pPr>
    </w:p>
    <w:p w14:paraId="270E5BD0" w14:textId="526FF245" w:rsidR="002829AA" w:rsidRDefault="002829AA">
      <w:pPr>
        <w:pStyle w:val="Caption"/>
        <w:keepNext/>
      </w:pPr>
      <w:r>
        <w:t xml:space="preserve">Figure </w:t>
      </w:r>
      <w:r w:rsidR="00F02B49">
        <w:fldChar w:fldCharType="begin"/>
      </w:r>
      <w:r w:rsidR="00F02B49">
        <w:instrText xml:space="preserve"> SEQ Figure \* ARABIC </w:instrText>
      </w:r>
      <w:r w:rsidR="00F02B49">
        <w:fldChar w:fldCharType="separate"/>
      </w:r>
      <w:r>
        <w:rPr>
          <w:noProof/>
        </w:rPr>
        <w:t>2</w:t>
      </w:r>
      <w:r w:rsidR="00F02B49">
        <w:rPr>
          <w:noProof/>
        </w:rPr>
        <w:fldChar w:fldCharType="end"/>
      </w:r>
      <w:r>
        <w:t>. Map of final busbar mapping results for 38 MMT policy-driven sensitivity portfolio</w:t>
      </w:r>
      <w:r w:rsidR="00405104">
        <w:rPr>
          <w:rStyle w:val="FootnoteReference"/>
        </w:rPr>
        <w:footnoteReference w:id="3"/>
      </w:r>
    </w:p>
    <w:p w14:paraId="60E104A6" w14:textId="180443EA" w:rsidR="5055819C" w:rsidRDefault="1D67DC8C" w:rsidP="00A24A87">
      <w:pPr>
        <w:ind w:left="0"/>
      </w:pPr>
      <w:r>
        <w:rPr>
          <w:noProof/>
        </w:rPr>
        <w:drawing>
          <wp:inline distT="0" distB="0" distL="0" distR="0" wp14:anchorId="3020419D" wp14:editId="2DFE836A">
            <wp:extent cx="5603358" cy="4412644"/>
            <wp:effectExtent l="0" t="0" r="0" b="0"/>
            <wp:docPr id="1815547481" name="Picture 181554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547481"/>
                    <pic:cNvPicPr/>
                  </pic:nvPicPr>
                  <pic:blipFill>
                    <a:blip r:embed="rId13">
                      <a:extLst>
                        <a:ext uri="{28A0092B-C50C-407E-A947-70E740481C1C}">
                          <a14:useLocalDpi xmlns:a14="http://schemas.microsoft.com/office/drawing/2010/main" val="0"/>
                        </a:ext>
                      </a:extLst>
                    </a:blip>
                    <a:stretch>
                      <a:fillRect/>
                    </a:stretch>
                  </pic:blipFill>
                  <pic:spPr>
                    <a:xfrm>
                      <a:off x="0" y="0"/>
                      <a:ext cx="5614619" cy="4421512"/>
                    </a:xfrm>
                    <a:prstGeom prst="rect">
                      <a:avLst/>
                    </a:prstGeom>
                  </pic:spPr>
                </pic:pic>
              </a:graphicData>
            </a:graphic>
          </wp:inline>
        </w:drawing>
      </w:r>
    </w:p>
    <w:p w14:paraId="76AE29A4" w14:textId="12807D47" w:rsidR="0065247B" w:rsidRDefault="0065247B">
      <w:pPr>
        <w:spacing w:after="160" w:line="259" w:lineRule="auto"/>
        <w:ind w:left="0"/>
      </w:pPr>
      <w:r>
        <w:br w:type="page"/>
      </w:r>
    </w:p>
    <w:p w14:paraId="57EAE1AF" w14:textId="129335CE" w:rsidR="4F992AFA" w:rsidRDefault="4F992AFA" w:rsidP="4F992AFA">
      <w:pPr>
        <w:ind w:left="0"/>
      </w:pPr>
    </w:p>
    <w:p w14:paraId="3A30DA2F" w14:textId="2F72E0B9" w:rsidR="002829AA" w:rsidRDefault="002829AA">
      <w:pPr>
        <w:pStyle w:val="Caption"/>
        <w:keepNext/>
      </w:pPr>
      <w:r>
        <w:t xml:space="preserve">Figure </w:t>
      </w:r>
      <w:r w:rsidR="00F02B49">
        <w:fldChar w:fldCharType="begin"/>
      </w:r>
      <w:r w:rsidR="00F02B49">
        <w:instrText xml:space="preserve"> SEQ Figure \* ARABIC </w:instrText>
      </w:r>
      <w:r w:rsidR="00F02B49">
        <w:fldChar w:fldCharType="separate"/>
      </w:r>
      <w:r>
        <w:rPr>
          <w:noProof/>
        </w:rPr>
        <w:t>3</w:t>
      </w:r>
      <w:r w:rsidR="00F02B49">
        <w:rPr>
          <w:noProof/>
        </w:rPr>
        <w:fldChar w:fldCharType="end"/>
      </w:r>
      <w:r>
        <w:t>. Map of final busbar mapping results for Offshore wind sensitivity portfolio</w:t>
      </w:r>
      <w:r w:rsidR="00405104">
        <w:rPr>
          <w:rStyle w:val="FootnoteReference"/>
        </w:rPr>
        <w:footnoteReference w:id="4"/>
      </w:r>
    </w:p>
    <w:p w14:paraId="3CAEFDB6" w14:textId="5CD1737C" w:rsidR="0A142A2E" w:rsidRDefault="1B457EA9" w:rsidP="4F992AFA">
      <w:pPr>
        <w:ind w:left="0"/>
      </w:pPr>
      <w:r>
        <w:rPr>
          <w:noProof/>
        </w:rPr>
        <w:drawing>
          <wp:inline distT="0" distB="0" distL="0" distR="0" wp14:anchorId="7DFC2689" wp14:editId="069C54FD">
            <wp:extent cx="5638294" cy="4933507"/>
            <wp:effectExtent l="0" t="0" r="635" b="0"/>
            <wp:docPr id="1010660503" name="Picture 101066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660503"/>
                    <pic:cNvPicPr/>
                  </pic:nvPicPr>
                  <pic:blipFill>
                    <a:blip r:embed="rId14">
                      <a:extLst>
                        <a:ext uri="{28A0092B-C50C-407E-A947-70E740481C1C}">
                          <a14:useLocalDpi xmlns:a14="http://schemas.microsoft.com/office/drawing/2010/main" val="0"/>
                        </a:ext>
                      </a:extLst>
                    </a:blip>
                    <a:stretch>
                      <a:fillRect/>
                    </a:stretch>
                  </pic:blipFill>
                  <pic:spPr>
                    <a:xfrm>
                      <a:off x="0" y="0"/>
                      <a:ext cx="5654731" cy="4947890"/>
                    </a:xfrm>
                    <a:prstGeom prst="rect">
                      <a:avLst/>
                    </a:prstGeom>
                  </pic:spPr>
                </pic:pic>
              </a:graphicData>
            </a:graphic>
          </wp:inline>
        </w:drawing>
      </w:r>
    </w:p>
    <w:p w14:paraId="7472F868" w14:textId="1B68D855" w:rsidR="00957612" w:rsidRDefault="00957612">
      <w:pPr>
        <w:spacing w:after="160" w:line="259" w:lineRule="auto"/>
        <w:ind w:left="0"/>
        <w:rPr>
          <w:rFonts w:eastAsia="Garamond" w:cs="Garamond"/>
        </w:rPr>
      </w:pPr>
      <w:r>
        <w:rPr>
          <w:rFonts w:eastAsia="Garamond" w:cs="Garamond"/>
        </w:rPr>
        <w:br w:type="page"/>
      </w:r>
    </w:p>
    <w:p w14:paraId="2DFCE649" w14:textId="072CE9D2" w:rsidR="001B53FA" w:rsidRDefault="00D37C77" w:rsidP="00DD54CE">
      <w:pPr>
        <w:pStyle w:val="Heading2"/>
      </w:pPr>
      <w:bookmarkStart w:id="27" w:name="_Toc63666804"/>
      <w:bookmarkStart w:id="28" w:name="_Toc63669591"/>
      <w:bookmarkEnd w:id="27"/>
      <w:r>
        <w:lastRenderedPageBreak/>
        <w:t>Scope</w:t>
      </w:r>
      <w:bookmarkEnd w:id="28"/>
    </w:p>
    <w:p w14:paraId="6112D436" w14:textId="7F131595" w:rsidR="00D37C77" w:rsidRDefault="00057A11" w:rsidP="00D37C77">
      <w:pPr>
        <w:ind w:left="0"/>
      </w:pPr>
      <w:r>
        <w:t>This</w:t>
      </w:r>
      <w:r w:rsidR="003F15C1">
        <w:t xml:space="preserve"> </w:t>
      </w:r>
      <w:r w:rsidR="2B3732F7">
        <w:t>R</w:t>
      </w:r>
      <w:r>
        <w:t>eport</w:t>
      </w:r>
      <w:r w:rsidR="00941DA0">
        <w:t xml:space="preserve"> </w:t>
      </w:r>
      <w:r w:rsidR="002D133D">
        <w:t xml:space="preserve">addresses </w:t>
      </w:r>
      <w:r w:rsidR="00D37C77">
        <w:t>the</w:t>
      </w:r>
      <w:r w:rsidR="00D14611">
        <w:t xml:space="preserve"> busbar mapping</w:t>
      </w:r>
      <w:r w:rsidR="00490CF4">
        <w:t xml:space="preserve"> and other modeling assumptions for</w:t>
      </w:r>
      <w:r w:rsidR="00D37C77">
        <w:t xml:space="preserve"> </w:t>
      </w:r>
      <w:r w:rsidR="6426F057">
        <w:t xml:space="preserve">all </w:t>
      </w:r>
      <w:r w:rsidR="009D3663">
        <w:t>portfolios</w:t>
      </w:r>
      <w:r w:rsidR="003F15C1">
        <w:t xml:space="preserve"> </w:t>
      </w:r>
      <w:r w:rsidR="129CC551">
        <w:t>being transmitted</w:t>
      </w:r>
      <w:r w:rsidR="00D274CE">
        <w:t xml:space="preserve"> by the CPUC</w:t>
      </w:r>
      <w:r w:rsidR="129CC551">
        <w:t xml:space="preserve"> to </w:t>
      </w:r>
      <w:r w:rsidR="00D274CE">
        <w:t xml:space="preserve">the </w:t>
      </w:r>
      <w:r w:rsidR="129CC551">
        <w:t xml:space="preserve">CAISO for the 2021-2022 TPP, </w:t>
      </w:r>
      <w:r w:rsidR="003F15C1">
        <w:t xml:space="preserve">as </w:t>
      </w:r>
      <w:r w:rsidR="004C1F77">
        <w:t xml:space="preserve">outlined </w:t>
      </w:r>
      <w:r w:rsidR="0093748D">
        <w:t xml:space="preserve">in </w:t>
      </w:r>
      <w:r>
        <w:fldChar w:fldCharType="begin"/>
      </w:r>
      <w:r>
        <w:instrText xml:space="preserve"> REF _Ref35446816 \h </w:instrText>
      </w:r>
      <w:r>
        <w:fldChar w:fldCharType="separate"/>
      </w:r>
      <w:r w:rsidR="003B7A14" w:rsidRPr="00E17783">
        <w:rPr>
          <w:sz w:val="22"/>
        </w:rPr>
        <w:t xml:space="preserve">Table </w:t>
      </w:r>
      <w:r w:rsidR="003B7A14">
        <w:rPr>
          <w:noProof/>
          <w:sz w:val="22"/>
        </w:rPr>
        <w:t>1</w:t>
      </w:r>
      <w:r>
        <w:fldChar w:fldCharType="end"/>
      </w:r>
      <w:r w:rsidR="00E46A47">
        <w:t xml:space="preserve"> below</w:t>
      </w:r>
      <w:r w:rsidR="004977BA">
        <w:t xml:space="preserve">. </w:t>
      </w:r>
    </w:p>
    <w:p w14:paraId="589E31BC" w14:textId="350DABB5" w:rsidR="00D37C77" w:rsidRDefault="00D37C77" w:rsidP="00D37C77"/>
    <w:p w14:paraId="4915B05E" w14:textId="7F2E0BDB" w:rsidR="00D37C77" w:rsidRPr="00E17783" w:rsidRDefault="00D37C77" w:rsidP="00D37C77">
      <w:pPr>
        <w:pStyle w:val="Caption"/>
        <w:keepNext/>
        <w:rPr>
          <w:sz w:val="22"/>
          <w:szCs w:val="22"/>
        </w:rPr>
      </w:pPr>
      <w:bookmarkStart w:id="29" w:name="_Ref35446816"/>
      <w:r w:rsidRPr="00E17783">
        <w:rPr>
          <w:sz w:val="22"/>
          <w:szCs w:val="22"/>
        </w:rPr>
        <w:t xml:space="preserve">Table </w:t>
      </w:r>
      <w:r w:rsidRPr="00E17783">
        <w:rPr>
          <w:sz w:val="22"/>
          <w:szCs w:val="22"/>
        </w:rPr>
        <w:fldChar w:fldCharType="begin"/>
      </w:r>
      <w:r w:rsidRPr="00E17783">
        <w:rPr>
          <w:sz w:val="22"/>
          <w:szCs w:val="22"/>
        </w:rPr>
        <w:instrText>SEQ Table \* ARABIC</w:instrText>
      </w:r>
      <w:r w:rsidRPr="00E17783">
        <w:rPr>
          <w:sz w:val="22"/>
          <w:szCs w:val="22"/>
        </w:rPr>
        <w:fldChar w:fldCharType="separate"/>
      </w:r>
      <w:r w:rsidR="001D72D3">
        <w:rPr>
          <w:noProof/>
          <w:sz w:val="22"/>
          <w:szCs w:val="22"/>
        </w:rPr>
        <w:t>1</w:t>
      </w:r>
      <w:r w:rsidRPr="00E17783">
        <w:rPr>
          <w:sz w:val="22"/>
          <w:szCs w:val="22"/>
        </w:rPr>
        <w:fldChar w:fldCharType="end"/>
      </w:r>
      <w:bookmarkEnd w:id="29"/>
      <w:r w:rsidRPr="00E17783">
        <w:rPr>
          <w:sz w:val="22"/>
          <w:szCs w:val="22"/>
        </w:rPr>
        <w:t xml:space="preserve"> </w:t>
      </w:r>
      <w:r w:rsidR="00490CF4" w:rsidRPr="00E17783">
        <w:rPr>
          <w:sz w:val="22"/>
          <w:szCs w:val="22"/>
        </w:rPr>
        <w:t>Modeling assumptions</w:t>
      </w:r>
      <w:r w:rsidRPr="00E17783">
        <w:rPr>
          <w:sz w:val="22"/>
          <w:szCs w:val="22"/>
        </w:rPr>
        <w:t xml:space="preserve"> reported in this document</w:t>
      </w:r>
    </w:p>
    <w:tbl>
      <w:tblPr>
        <w:tblStyle w:val="TableGrid"/>
        <w:tblW w:w="8815" w:type="dxa"/>
        <w:tblInd w:w="360" w:type="dxa"/>
        <w:tblLook w:val="04A0" w:firstRow="1" w:lastRow="0" w:firstColumn="1" w:lastColumn="0" w:noHBand="0" w:noVBand="1"/>
      </w:tblPr>
      <w:tblGrid>
        <w:gridCol w:w="2245"/>
        <w:gridCol w:w="2790"/>
        <w:gridCol w:w="3780"/>
      </w:tblGrid>
      <w:tr w:rsidR="0017645E" w14:paraId="7D07584D" w14:textId="2331C51A" w:rsidTr="099CA948">
        <w:tc>
          <w:tcPr>
            <w:tcW w:w="2245" w:type="dxa"/>
          </w:tcPr>
          <w:p w14:paraId="7BF3E80E" w14:textId="037D65EF" w:rsidR="00765F16" w:rsidRPr="00DF56F3" w:rsidRDefault="00765F16" w:rsidP="00D37C77">
            <w:pPr>
              <w:ind w:left="0"/>
              <w:rPr>
                <w:b/>
                <w:bCs/>
              </w:rPr>
            </w:pPr>
            <w:r w:rsidRPr="00DF56F3">
              <w:rPr>
                <w:b/>
                <w:bCs/>
              </w:rPr>
              <w:t>IRP Portfolio</w:t>
            </w:r>
          </w:p>
        </w:tc>
        <w:tc>
          <w:tcPr>
            <w:tcW w:w="2790" w:type="dxa"/>
          </w:tcPr>
          <w:p w14:paraId="571A4F28" w14:textId="1CCFA09A" w:rsidR="00765F16" w:rsidRPr="00DF56F3" w:rsidRDefault="38A2ADB7" w:rsidP="00D37C77">
            <w:pPr>
              <w:ind w:left="0"/>
              <w:rPr>
                <w:b/>
                <w:bCs/>
              </w:rPr>
            </w:pPr>
            <w:r w:rsidRPr="099CA948">
              <w:rPr>
                <w:b/>
                <w:bCs/>
              </w:rPr>
              <w:t>202</w:t>
            </w:r>
            <w:r w:rsidR="7A843CFA" w:rsidRPr="099CA948">
              <w:rPr>
                <w:b/>
                <w:bCs/>
              </w:rPr>
              <w:t>1</w:t>
            </w:r>
            <w:r w:rsidRPr="099CA948">
              <w:rPr>
                <w:b/>
                <w:bCs/>
              </w:rPr>
              <w:t>-</w:t>
            </w:r>
            <w:r w:rsidR="2F0703D7" w:rsidRPr="099CA948">
              <w:rPr>
                <w:b/>
                <w:bCs/>
              </w:rPr>
              <w:t>20</w:t>
            </w:r>
            <w:r w:rsidR="7EB5EA30" w:rsidRPr="099CA948">
              <w:rPr>
                <w:b/>
                <w:bCs/>
              </w:rPr>
              <w:t>2</w:t>
            </w:r>
            <w:r w:rsidR="4D5720DD" w:rsidRPr="099CA948">
              <w:rPr>
                <w:b/>
                <w:bCs/>
              </w:rPr>
              <w:t>2</w:t>
            </w:r>
            <w:r w:rsidRPr="099CA948">
              <w:rPr>
                <w:b/>
                <w:bCs/>
              </w:rPr>
              <w:t xml:space="preserve"> </w:t>
            </w:r>
            <w:r w:rsidR="00765F16" w:rsidRPr="099CA948">
              <w:rPr>
                <w:b/>
                <w:bCs/>
              </w:rPr>
              <w:t>TPP Portfolio Use Case</w:t>
            </w:r>
            <w:r w:rsidR="00CA0E1D">
              <w:rPr>
                <w:b/>
                <w:bCs/>
              </w:rPr>
              <w:t>(</w:t>
            </w:r>
            <w:r w:rsidR="00765F16" w:rsidRPr="099CA948">
              <w:rPr>
                <w:b/>
                <w:bCs/>
              </w:rPr>
              <w:t>s</w:t>
            </w:r>
            <w:r w:rsidR="00CA0E1D">
              <w:rPr>
                <w:b/>
                <w:bCs/>
              </w:rPr>
              <w:t>)</w:t>
            </w:r>
          </w:p>
        </w:tc>
        <w:tc>
          <w:tcPr>
            <w:tcW w:w="3780" w:type="dxa"/>
          </w:tcPr>
          <w:p w14:paraId="275B84EE" w14:textId="492C4D2B" w:rsidR="00765F16" w:rsidRPr="00DF56F3" w:rsidRDefault="0019218E" w:rsidP="00D37C77">
            <w:pPr>
              <w:ind w:left="0"/>
              <w:rPr>
                <w:b/>
                <w:bCs/>
              </w:rPr>
            </w:pPr>
            <w:r>
              <w:rPr>
                <w:b/>
                <w:bCs/>
              </w:rPr>
              <w:t xml:space="preserve">Modeling </w:t>
            </w:r>
            <w:r w:rsidR="00317F04">
              <w:rPr>
                <w:b/>
                <w:bCs/>
              </w:rPr>
              <w:t>Assumptions</w:t>
            </w:r>
          </w:p>
        </w:tc>
      </w:tr>
      <w:tr w:rsidR="0017645E" w14:paraId="7CF3AFE3" w14:textId="424094EC" w:rsidTr="099CA948">
        <w:tc>
          <w:tcPr>
            <w:tcW w:w="2245" w:type="dxa"/>
          </w:tcPr>
          <w:p w14:paraId="1DD38ADE" w14:textId="78475C1A" w:rsidR="00765F16" w:rsidRDefault="00FE14D8" w:rsidP="00D7286F">
            <w:pPr>
              <w:ind w:left="0"/>
            </w:pPr>
            <w:r w:rsidRPr="5CA33C60">
              <w:t>46 MMT with 2019 IEPR</w:t>
            </w:r>
            <w:r w:rsidR="00FF4910">
              <w:rPr>
                <w:rStyle w:val="FootnoteReference"/>
                <w:szCs w:val="24"/>
              </w:rPr>
              <w:footnoteReference w:id="5"/>
            </w:r>
            <w:r w:rsidR="0D09E5B1" w:rsidRPr="5CA33C60">
              <w:t xml:space="preserve"> base case portfolio</w:t>
            </w:r>
            <w:r w:rsidR="2E9613D9" w:rsidRPr="5CA33C60">
              <w:t xml:space="preserve"> (46 MMT</w:t>
            </w:r>
            <w:r w:rsidR="00FF4910">
              <w:t xml:space="preserve"> portfolio</w:t>
            </w:r>
            <w:r w:rsidR="2E9613D9" w:rsidRPr="5CA33C60">
              <w:t>)</w:t>
            </w:r>
          </w:p>
        </w:tc>
        <w:tc>
          <w:tcPr>
            <w:tcW w:w="2790" w:type="dxa"/>
          </w:tcPr>
          <w:p w14:paraId="613DCA6A" w14:textId="500E609A" w:rsidR="00765F16" w:rsidRDefault="00765F16" w:rsidP="00CD00AF">
            <w:pPr>
              <w:pStyle w:val="ListParagraph"/>
              <w:numPr>
                <w:ilvl w:val="0"/>
                <w:numId w:val="87"/>
              </w:numPr>
            </w:pPr>
            <w:r>
              <w:t xml:space="preserve">Reliability </w:t>
            </w:r>
            <w:r w:rsidR="5CE72EFE">
              <w:t>b</w:t>
            </w:r>
            <w:r>
              <w:t>ase</w:t>
            </w:r>
            <w:r w:rsidR="6AFBA440">
              <w:t xml:space="preserve"> </w:t>
            </w:r>
            <w:r w:rsidR="5D85DCEC">
              <w:t>c</w:t>
            </w:r>
            <w:r w:rsidR="6AFBA440">
              <w:t>ase</w:t>
            </w:r>
          </w:p>
          <w:p w14:paraId="27F77625" w14:textId="5C8AB835" w:rsidR="00765F16" w:rsidRDefault="00765F16" w:rsidP="00CD00AF">
            <w:pPr>
              <w:pStyle w:val="ListParagraph"/>
              <w:numPr>
                <w:ilvl w:val="0"/>
                <w:numId w:val="87"/>
              </w:numPr>
            </w:pPr>
            <w:r>
              <w:t xml:space="preserve">Policy-driven </w:t>
            </w:r>
            <w:r w:rsidR="78296098">
              <w:t>base case</w:t>
            </w:r>
            <w:r w:rsidR="19B042AC">
              <w:t xml:space="preserve"> assessment</w:t>
            </w:r>
          </w:p>
          <w:p w14:paraId="57833B17" w14:textId="5026054B" w:rsidR="00197847" w:rsidRDefault="00197847" w:rsidP="00CD00AF">
            <w:pPr>
              <w:pStyle w:val="ListParagraph"/>
              <w:numPr>
                <w:ilvl w:val="0"/>
                <w:numId w:val="87"/>
              </w:numPr>
            </w:pPr>
            <w:r>
              <w:t xml:space="preserve">Economic </w:t>
            </w:r>
            <w:r w:rsidR="002712F9">
              <w:t>assessments</w:t>
            </w:r>
          </w:p>
        </w:tc>
        <w:tc>
          <w:tcPr>
            <w:tcW w:w="3780" w:type="dxa"/>
          </w:tcPr>
          <w:p w14:paraId="18AC4047" w14:textId="6D0070B7" w:rsidR="00E17461" w:rsidRDefault="00E17461" w:rsidP="00E17461">
            <w:pPr>
              <w:pStyle w:val="ListParagraph"/>
              <w:numPr>
                <w:ilvl w:val="0"/>
                <w:numId w:val="87"/>
              </w:numPr>
            </w:pPr>
            <w:r>
              <w:t xml:space="preserve">Busbar allocations of </w:t>
            </w:r>
            <w:r w:rsidR="00517AB2">
              <w:t xml:space="preserve">non-battery </w:t>
            </w:r>
            <w:r>
              <w:t>resources and battery</w:t>
            </w:r>
            <w:r w:rsidDel="00997490">
              <w:t xml:space="preserve"> </w:t>
            </w:r>
            <w:r>
              <w:t xml:space="preserve">resources </w:t>
            </w:r>
          </w:p>
          <w:p w14:paraId="607ED664" w14:textId="72F5CA94" w:rsidR="00765F16" w:rsidRDefault="00E17461" w:rsidP="00E17461">
            <w:pPr>
              <w:pStyle w:val="ListParagraph"/>
              <w:numPr>
                <w:ilvl w:val="0"/>
                <w:numId w:val="87"/>
              </w:numPr>
            </w:pPr>
            <w:r>
              <w:t>Demand response assumptions</w:t>
            </w:r>
          </w:p>
        </w:tc>
      </w:tr>
      <w:tr w:rsidR="0017645E" w14:paraId="7595B3C5" w14:textId="44302C66" w:rsidTr="099CA948">
        <w:tc>
          <w:tcPr>
            <w:tcW w:w="2245" w:type="dxa"/>
          </w:tcPr>
          <w:p w14:paraId="34554BC1" w14:textId="16831634" w:rsidR="00623E4A" w:rsidRDefault="2C5B12B3" w:rsidP="00D7286F">
            <w:pPr>
              <w:ind w:left="0"/>
            </w:pPr>
            <w:r>
              <w:t>38 MMT</w:t>
            </w:r>
            <w:r w:rsidR="504EF82E">
              <w:t xml:space="preserve"> </w:t>
            </w:r>
            <w:r>
              <w:t>with 2019 IEPR</w:t>
            </w:r>
            <w:r w:rsidR="253DD244">
              <w:t xml:space="preserve"> policy-driven sensit</w:t>
            </w:r>
            <w:r w:rsidR="23211001">
              <w:t>i</w:t>
            </w:r>
            <w:r w:rsidR="253DD244">
              <w:t>vity portfolio</w:t>
            </w:r>
            <w:r w:rsidR="41A01382">
              <w:t xml:space="preserve"> (38 MMT</w:t>
            </w:r>
            <w:r w:rsidR="00FF4910">
              <w:t xml:space="preserve"> portfolio</w:t>
            </w:r>
            <w:r w:rsidR="41A01382">
              <w:t>)</w:t>
            </w:r>
          </w:p>
          <w:p w14:paraId="19EB8C0E" w14:textId="39F0177A" w:rsidR="00765F16" w:rsidRDefault="00765F16" w:rsidP="00997490">
            <w:pPr>
              <w:pStyle w:val="ListParagraph"/>
            </w:pPr>
          </w:p>
        </w:tc>
        <w:tc>
          <w:tcPr>
            <w:tcW w:w="2790" w:type="dxa"/>
          </w:tcPr>
          <w:p w14:paraId="5A8E1B07" w14:textId="04294B59" w:rsidR="00765F16" w:rsidRDefault="00765F16" w:rsidP="00CD00AF">
            <w:pPr>
              <w:pStyle w:val="ListParagraph"/>
              <w:numPr>
                <w:ilvl w:val="0"/>
                <w:numId w:val="87"/>
              </w:numPr>
            </w:pPr>
            <w:r>
              <w:t xml:space="preserve">Policy-driven </w:t>
            </w:r>
            <w:r w:rsidR="61C6C64E">
              <w:t>s</w:t>
            </w:r>
            <w:r>
              <w:t xml:space="preserve">ensitivity </w:t>
            </w:r>
            <w:r w:rsidR="6E29F6FA">
              <w:t>assessments</w:t>
            </w:r>
          </w:p>
          <w:p w14:paraId="7C68A4A9" w14:textId="4BA7F576" w:rsidR="00765F16" w:rsidRDefault="00765F16" w:rsidP="00D7286F">
            <w:pPr>
              <w:pStyle w:val="ListParagraph"/>
            </w:pPr>
          </w:p>
        </w:tc>
        <w:tc>
          <w:tcPr>
            <w:tcW w:w="3780" w:type="dxa"/>
          </w:tcPr>
          <w:p w14:paraId="6026A831" w14:textId="058099F8" w:rsidR="0034510F" w:rsidRDefault="0017645E" w:rsidP="00E17461">
            <w:pPr>
              <w:pStyle w:val="ListParagraph"/>
              <w:numPr>
                <w:ilvl w:val="0"/>
                <w:numId w:val="87"/>
              </w:numPr>
            </w:pPr>
            <w:r>
              <w:t xml:space="preserve">Busbar allocations of </w:t>
            </w:r>
            <w:r w:rsidR="09C43DCE">
              <w:t>non-battery</w:t>
            </w:r>
            <w:r>
              <w:t xml:space="preserve"> </w:t>
            </w:r>
            <w:r w:rsidR="00765F16">
              <w:t>resources</w:t>
            </w:r>
            <w:r w:rsidR="00E17461">
              <w:t xml:space="preserve"> and </w:t>
            </w:r>
            <w:r w:rsidR="00B36225">
              <w:t>battery</w:t>
            </w:r>
            <w:r w:rsidR="0E1B5D08">
              <w:t xml:space="preserve"> resources </w:t>
            </w:r>
          </w:p>
          <w:p w14:paraId="5581F4B5" w14:textId="3D9CA55D" w:rsidR="0034510F" w:rsidRDefault="0034510F" w:rsidP="00E5408E">
            <w:pPr>
              <w:pStyle w:val="ListParagraph"/>
              <w:numPr>
                <w:ilvl w:val="0"/>
                <w:numId w:val="87"/>
              </w:numPr>
            </w:pPr>
            <w:r>
              <w:t>Demand response assumptions</w:t>
            </w:r>
          </w:p>
        </w:tc>
      </w:tr>
      <w:tr w:rsidR="5CA33C60" w14:paraId="7AEB3BE5" w14:textId="77777777" w:rsidTr="099CA948">
        <w:tc>
          <w:tcPr>
            <w:tcW w:w="2245" w:type="dxa"/>
          </w:tcPr>
          <w:p w14:paraId="2741342C" w14:textId="426DEE47" w:rsidR="491FB653" w:rsidRDefault="491FB653" w:rsidP="00D7286F">
            <w:pPr>
              <w:ind w:left="0"/>
            </w:pPr>
            <w:r>
              <w:t xml:space="preserve">Offshore Wind </w:t>
            </w:r>
            <w:r w:rsidR="244FDABA">
              <w:t>policy-driven s</w:t>
            </w:r>
            <w:r>
              <w:t>ensitivity</w:t>
            </w:r>
            <w:r w:rsidR="63B68126">
              <w:t xml:space="preserve"> </w:t>
            </w:r>
            <w:r w:rsidR="00FF2025">
              <w:t xml:space="preserve">portfolio </w:t>
            </w:r>
            <w:r w:rsidR="63B68126">
              <w:t>(Offshore wind portfolio)</w:t>
            </w:r>
          </w:p>
          <w:p w14:paraId="69E50D78" w14:textId="04EBB2BF" w:rsidR="5CA33C60" w:rsidRDefault="5CA33C60" w:rsidP="5CA33C60">
            <w:pPr>
              <w:pStyle w:val="ListParagraph"/>
            </w:pPr>
          </w:p>
        </w:tc>
        <w:tc>
          <w:tcPr>
            <w:tcW w:w="2790" w:type="dxa"/>
          </w:tcPr>
          <w:p w14:paraId="637B6907" w14:textId="14DE5F5A" w:rsidR="39F34411" w:rsidRDefault="39F34411" w:rsidP="00D7286F">
            <w:pPr>
              <w:pStyle w:val="ListParagraph"/>
              <w:numPr>
                <w:ilvl w:val="0"/>
                <w:numId w:val="121"/>
              </w:numPr>
              <w:rPr>
                <w:rFonts w:asciiTheme="minorHAnsi" w:eastAsiaTheme="minorEastAsia" w:hAnsiTheme="minorHAnsi" w:cstheme="minorBidi"/>
                <w:szCs w:val="24"/>
              </w:rPr>
            </w:pPr>
            <w:r>
              <w:t>Policy-driven sensitivity assessment</w:t>
            </w:r>
          </w:p>
        </w:tc>
        <w:tc>
          <w:tcPr>
            <w:tcW w:w="3780" w:type="dxa"/>
          </w:tcPr>
          <w:p w14:paraId="0A99C5CC" w14:textId="1592F91E" w:rsidR="696B8E6C" w:rsidRDefault="696B8E6C" w:rsidP="5CA33C60">
            <w:pPr>
              <w:pStyle w:val="ListParagraph"/>
              <w:numPr>
                <w:ilvl w:val="0"/>
                <w:numId w:val="87"/>
              </w:numPr>
              <w:rPr>
                <w:rFonts w:asciiTheme="minorHAnsi" w:eastAsiaTheme="minorEastAsia" w:hAnsiTheme="minorHAnsi" w:cstheme="minorBidi"/>
                <w:szCs w:val="24"/>
              </w:rPr>
            </w:pPr>
            <w:r>
              <w:t xml:space="preserve">Busbar allocations of non-battery resources and battery resources </w:t>
            </w:r>
          </w:p>
          <w:p w14:paraId="28F4DE70" w14:textId="7D0549B0" w:rsidR="696B8E6C" w:rsidRDefault="696B8E6C" w:rsidP="00D7286F">
            <w:pPr>
              <w:pStyle w:val="ListParagraph"/>
              <w:numPr>
                <w:ilvl w:val="0"/>
                <w:numId w:val="87"/>
              </w:numPr>
              <w:rPr>
                <w:rFonts w:asciiTheme="minorHAnsi" w:eastAsiaTheme="minorEastAsia" w:hAnsiTheme="minorHAnsi" w:cstheme="minorBidi"/>
                <w:szCs w:val="24"/>
              </w:rPr>
            </w:pPr>
            <w:r>
              <w:t xml:space="preserve">Demand response assumptions </w:t>
            </w:r>
          </w:p>
          <w:p w14:paraId="60FE6E04" w14:textId="6B8F386F" w:rsidR="52285DA4" w:rsidRDefault="52285DA4" w:rsidP="5CA33C60">
            <w:pPr>
              <w:pStyle w:val="ListParagraph"/>
              <w:numPr>
                <w:ilvl w:val="0"/>
                <w:numId w:val="87"/>
              </w:numPr>
            </w:pPr>
            <w:r>
              <w:t>Thermal retirement assumptions</w:t>
            </w:r>
          </w:p>
          <w:p w14:paraId="7BF6B2C1" w14:textId="16B68540" w:rsidR="5CA33C60" w:rsidRDefault="5CA33C60" w:rsidP="5CA33C60">
            <w:pPr>
              <w:pStyle w:val="ListParagraph"/>
            </w:pPr>
          </w:p>
        </w:tc>
      </w:tr>
    </w:tbl>
    <w:p w14:paraId="563AA457" w14:textId="77777777" w:rsidR="00957612" w:rsidRDefault="00957612" w:rsidP="005169DA"/>
    <w:p w14:paraId="26FFBA75" w14:textId="77777777" w:rsidR="00957612" w:rsidRDefault="00957612">
      <w:pPr>
        <w:spacing w:after="160" w:line="259" w:lineRule="auto"/>
        <w:ind w:left="0"/>
        <w:rPr>
          <w:rFonts w:ascii="Century Gothic" w:eastAsia="Times New Roman" w:hAnsi="Century Gothic" w:cstheme="majorBidi"/>
          <w:color w:val="2F5496" w:themeColor="accent1" w:themeShade="BF"/>
          <w:sz w:val="26"/>
          <w:szCs w:val="26"/>
        </w:rPr>
      </w:pPr>
      <w:r>
        <w:br w:type="page"/>
      </w:r>
    </w:p>
    <w:p w14:paraId="4D8D51F7" w14:textId="22BF7BDE" w:rsidR="00F50453" w:rsidRDefault="00FD7621" w:rsidP="00DD54CE">
      <w:pPr>
        <w:pStyle w:val="Heading2"/>
      </w:pPr>
      <w:bookmarkStart w:id="30" w:name="_Toc63669592"/>
      <w:r>
        <w:lastRenderedPageBreak/>
        <w:t xml:space="preserve">Report </w:t>
      </w:r>
      <w:r w:rsidR="00D8439F">
        <w:t>Summary</w:t>
      </w:r>
      <w:bookmarkEnd w:id="30"/>
    </w:p>
    <w:p w14:paraId="32935E83" w14:textId="4CE6658F" w:rsidR="005B677F" w:rsidRDefault="00730EF8" w:rsidP="65BE3847">
      <w:pPr>
        <w:spacing w:after="240"/>
        <w:ind w:left="0"/>
      </w:pPr>
      <w:r>
        <w:t xml:space="preserve">The </w:t>
      </w:r>
      <w:r w:rsidR="44C2C1B9">
        <w:t>October 2</w:t>
      </w:r>
      <w:r w:rsidR="0056576E">
        <w:t>0</w:t>
      </w:r>
      <w:r w:rsidR="44C2C1B9">
        <w:t xml:space="preserve">, 2020 Ruling Seeking Comments on </w:t>
      </w:r>
      <w:r w:rsidR="626C98F4">
        <w:t xml:space="preserve">Portfolios </w:t>
      </w:r>
      <w:r w:rsidR="00086B37">
        <w:t>to be</w:t>
      </w:r>
      <w:r w:rsidR="626C98F4">
        <w:t xml:space="preserve"> Used in the 2021-</w:t>
      </w:r>
      <w:r w:rsidR="0070074E">
        <w:t>20</w:t>
      </w:r>
      <w:r w:rsidR="626C98F4">
        <w:t>22 TPP</w:t>
      </w:r>
      <w:r w:rsidR="002B51BE">
        <w:t xml:space="preserve"> recommend</w:t>
      </w:r>
      <w:r w:rsidR="0EDC633C">
        <w:t>ed</w:t>
      </w:r>
      <w:r w:rsidR="002B51BE">
        <w:t xml:space="preserve"> transmitting </w:t>
      </w:r>
      <w:r w:rsidR="60B7973D">
        <w:t>three resource portfolios.</w:t>
      </w:r>
      <w:r w:rsidR="005B677F">
        <w:t xml:space="preserve"> </w:t>
      </w:r>
      <w:r w:rsidR="676BDFC4">
        <w:t>The busbar mapping work</w:t>
      </w:r>
      <w:r w:rsidR="0F9D4C8A">
        <w:t xml:space="preserve"> </w:t>
      </w:r>
      <w:r w:rsidR="00D50DDA">
        <w:t xml:space="preserve">was </w:t>
      </w:r>
      <w:r w:rsidR="0F9D4C8A">
        <w:t>then</w:t>
      </w:r>
      <w:r w:rsidR="676BDFC4">
        <w:t xml:space="preserve"> conducted by</w:t>
      </w:r>
      <w:r w:rsidR="3C506259">
        <w:t xml:space="preserve"> s</w:t>
      </w:r>
      <w:r w:rsidR="676BDFC4">
        <w:t>taff</w:t>
      </w:r>
      <w:r w:rsidR="1FF66E9A">
        <w:t xml:space="preserve">, </w:t>
      </w:r>
      <w:r w:rsidR="35BE9A2E">
        <w:t>taking</w:t>
      </w:r>
      <w:r w:rsidR="676BDFC4">
        <w:t xml:space="preserve"> </w:t>
      </w:r>
      <w:r w:rsidR="378F0062">
        <w:t xml:space="preserve">into consideration </w:t>
      </w:r>
      <w:r w:rsidR="4D327279">
        <w:t>parties’</w:t>
      </w:r>
      <w:r w:rsidR="378F0062">
        <w:t xml:space="preserve"> comments on the ruling. </w:t>
      </w:r>
      <w:r w:rsidR="3B09DC8F">
        <w:t>A P</w:t>
      </w:r>
      <w:r w:rsidR="1187FC86">
        <w:t>roposed Decision</w:t>
      </w:r>
      <w:r w:rsidR="3B09DC8F">
        <w:t xml:space="preserve"> </w:t>
      </w:r>
      <w:r w:rsidR="223A8E24">
        <w:t xml:space="preserve">(PD) </w:t>
      </w:r>
      <w:r w:rsidR="3B09DC8F">
        <w:t xml:space="preserve">was issued </w:t>
      </w:r>
      <w:r w:rsidR="51C353D6">
        <w:t xml:space="preserve">on January 7, 2021, </w:t>
      </w:r>
      <w:r w:rsidR="3B09DC8F">
        <w:t xml:space="preserve">with a January 2021 version of this </w:t>
      </w:r>
      <w:r w:rsidR="33A6B950">
        <w:t>R</w:t>
      </w:r>
      <w:r w:rsidR="3B09DC8F">
        <w:t>eport attached.</w:t>
      </w:r>
      <w:r w:rsidR="4F01DAFB">
        <w:t xml:space="preserve"> The final portfolios and busbar mapping of the resources was reached in response to comments received on the PD</w:t>
      </w:r>
      <w:r w:rsidR="00D50DDA">
        <w:t xml:space="preserve">. </w:t>
      </w:r>
      <w:r w:rsidR="006F14B7">
        <w:t xml:space="preserve">This </w:t>
      </w:r>
      <w:r w:rsidR="0CACEB65">
        <w:t>R</w:t>
      </w:r>
      <w:r w:rsidR="005B677F">
        <w:t xml:space="preserve">eport </w:t>
      </w:r>
      <w:r w:rsidR="3C60D96D">
        <w:t xml:space="preserve">describes the final three portfolios, their mapping to specific busbars, as well as additional inputs and assumptions for the CAISO’s TPP. </w:t>
      </w:r>
      <w:r w:rsidR="456F6C54">
        <w:t>This Report</w:t>
      </w:r>
      <w:r w:rsidR="002F36D8">
        <w:t xml:space="preserve"> </w:t>
      </w:r>
      <w:r w:rsidR="3005A224">
        <w:t>is structured as follows:</w:t>
      </w:r>
    </w:p>
    <w:p w14:paraId="0C759B92" w14:textId="3A3D2E26" w:rsidR="008D0C44" w:rsidRDefault="008D0C44" w:rsidP="4B5104D9">
      <w:pPr>
        <w:spacing w:after="240"/>
        <w:ind w:left="0"/>
      </w:pPr>
      <w:r>
        <w:t xml:space="preserve">Section </w:t>
      </w:r>
      <w:r w:rsidR="00C829E5">
        <w:fldChar w:fldCharType="begin"/>
      </w:r>
      <w:r w:rsidR="00C829E5">
        <w:instrText xml:space="preserve"> REF _Ref36201141 \r \h </w:instrText>
      </w:r>
      <w:r w:rsidR="00C829E5">
        <w:fldChar w:fldCharType="separate"/>
      </w:r>
      <w:r w:rsidR="003B7A14">
        <w:t>4</w:t>
      </w:r>
      <w:r w:rsidR="00C829E5">
        <w:fldChar w:fldCharType="end"/>
      </w:r>
      <w:r w:rsidR="25D1932B" w:rsidDel="005B45E9">
        <w:t xml:space="preserve"> </w:t>
      </w:r>
      <w:r w:rsidR="25D1932B">
        <w:t>states the objectives of studying each portfolio and details the inputs CPUC staff provided to the mapping process.</w:t>
      </w:r>
    </w:p>
    <w:p w14:paraId="1F7638CB" w14:textId="65C2E84C" w:rsidR="69C57FC1" w:rsidRDefault="008D0C44" w:rsidP="55B13A63">
      <w:pPr>
        <w:spacing w:after="240"/>
        <w:ind w:left="0"/>
      </w:pPr>
      <w:r>
        <w:t xml:space="preserve">Section </w:t>
      </w:r>
      <w:r w:rsidR="00C829E5">
        <w:fldChar w:fldCharType="begin"/>
      </w:r>
      <w:r w:rsidR="00C829E5">
        <w:instrText xml:space="preserve"> REF _Ref32335212 \r \h </w:instrText>
      </w:r>
      <w:r w:rsidR="00C829E5">
        <w:fldChar w:fldCharType="separate"/>
      </w:r>
      <w:r w:rsidR="003B7A14">
        <w:t>5</w:t>
      </w:r>
      <w:r w:rsidR="00C829E5">
        <w:fldChar w:fldCharType="end"/>
      </w:r>
      <w:r>
        <w:t xml:space="preserve"> </w:t>
      </w:r>
      <w:r w:rsidR="534549CA">
        <w:t xml:space="preserve">summarizes </w:t>
      </w:r>
      <w:r w:rsidR="69C57FC1">
        <w:t xml:space="preserve">the </w:t>
      </w:r>
      <w:r w:rsidR="73A97230">
        <w:t>updates made to the proposed</w:t>
      </w:r>
      <w:r w:rsidR="0ADB977F">
        <w:t xml:space="preserve"> </w:t>
      </w:r>
      <w:r w:rsidR="69C57FC1">
        <w:t>methodology</w:t>
      </w:r>
      <w:r w:rsidRPr="005B45E9">
        <w:rPr>
          <w:vertAlign w:val="superscript"/>
        </w:rPr>
        <w:footnoteReference w:id="6"/>
      </w:r>
      <w:r w:rsidR="69C57FC1">
        <w:t xml:space="preserve"> used by CPUC, CAISO and CEC staff to conduct busbar mapping</w:t>
      </w:r>
      <w:r w:rsidR="7D9E6887">
        <w:t xml:space="preserve"> and produce other inputs and assumptions for the 2021-</w:t>
      </w:r>
      <w:r w:rsidR="00B111AE">
        <w:t>20</w:t>
      </w:r>
      <w:r w:rsidR="7D9E6887">
        <w:t>22 TPP.</w:t>
      </w:r>
    </w:p>
    <w:p w14:paraId="2B8B5707" w14:textId="3D16E962" w:rsidR="008D0C44" w:rsidRDefault="008D0C44" w:rsidP="000B656F">
      <w:pPr>
        <w:spacing w:after="240"/>
        <w:ind w:left="0"/>
      </w:pPr>
      <w:r>
        <w:t xml:space="preserve">Section </w:t>
      </w:r>
      <w:r>
        <w:fldChar w:fldCharType="begin"/>
      </w:r>
      <w:r>
        <w:instrText xml:space="preserve"> REF _Ref32137443 \r \h  \* MERGEFORMAT </w:instrText>
      </w:r>
      <w:r>
        <w:fldChar w:fldCharType="separate"/>
      </w:r>
      <w:r w:rsidR="003B7A14">
        <w:t>6</w:t>
      </w:r>
      <w:r>
        <w:fldChar w:fldCharType="end"/>
      </w:r>
      <w:r>
        <w:t xml:space="preserve"> </w:t>
      </w:r>
      <w:r w:rsidR="00504AFF">
        <w:t>details the analy</w:t>
      </w:r>
      <w:r w:rsidR="00CE5927">
        <w:t>sis and</w:t>
      </w:r>
      <w:r>
        <w:t xml:space="preserve"> steps taken by staff to improve the allocations in order to meet the criteria.</w:t>
      </w:r>
    </w:p>
    <w:p w14:paraId="5C004774" w14:textId="46F16BFC" w:rsidR="00504AFF" w:rsidRDefault="00504AFF" w:rsidP="000B656F">
      <w:pPr>
        <w:spacing w:after="240"/>
        <w:ind w:left="0"/>
      </w:pPr>
      <w:r>
        <w:t xml:space="preserve">Section </w:t>
      </w:r>
      <w:r w:rsidR="00C829E5">
        <w:fldChar w:fldCharType="begin"/>
      </w:r>
      <w:r w:rsidR="00C829E5">
        <w:instrText xml:space="preserve"> REF _Ref36100630 \r \h </w:instrText>
      </w:r>
      <w:r w:rsidR="00C829E5">
        <w:fldChar w:fldCharType="separate"/>
      </w:r>
      <w:r w:rsidR="003B7A14">
        <w:t>7</w:t>
      </w:r>
      <w:r w:rsidR="00C829E5">
        <w:fldChar w:fldCharType="end"/>
      </w:r>
      <w:r w:rsidR="00C829E5">
        <w:t xml:space="preserve"> </w:t>
      </w:r>
      <w:r>
        <w:t>summarizes the results of the mapping process.</w:t>
      </w:r>
    </w:p>
    <w:p w14:paraId="6CB5385E" w14:textId="41A11E66" w:rsidR="008D0C44" w:rsidRDefault="008D0C44" w:rsidP="000B656F">
      <w:pPr>
        <w:spacing w:after="240"/>
        <w:ind w:left="0"/>
      </w:pPr>
      <w:r>
        <w:t xml:space="preserve">Section </w:t>
      </w:r>
      <w:r>
        <w:fldChar w:fldCharType="begin"/>
      </w:r>
      <w:r>
        <w:instrText xml:space="preserve"> REF _Ref32432209 \r \h  \* MERGEFORMAT </w:instrText>
      </w:r>
      <w:r>
        <w:fldChar w:fldCharType="separate"/>
      </w:r>
      <w:r w:rsidR="003B7A14">
        <w:t>8</w:t>
      </w:r>
      <w:r>
        <w:fldChar w:fldCharType="end"/>
      </w:r>
      <w:r>
        <w:t xml:space="preserve"> presents other information about the portfolios that is required for TPP.</w:t>
      </w:r>
    </w:p>
    <w:p w14:paraId="316B488C" w14:textId="3BA0E6EE" w:rsidR="005E762D" w:rsidRDefault="008D0C44" w:rsidP="000B656F">
      <w:pPr>
        <w:spacing w:after="240"/>
        <w:ind w:left="0"/>
      </w:pPr>
      <w:r>
        <w:t xml:space="preserve">Section </w:t>
      </w:r>
      <w:r>
        <w:fldChar w:fldCharType="begin"/>
      </w:r>
      <w:r>
        <w:instrText xml:space="preserve"> REF _Ref32431952 \r \h  \* MERGEFORMAT </w:instrText>
      </w:r>
      <w:r>
        <w:fldChar w:fldCharType="separate"/>
      </w:r>
      <w:r w:rsidR="003B7A14">
        <w:t>9</w:t>
      </w:r>
      <w:r>
        <w:fldChar w:fldCharType="end"/>
      </w:r>
      <w:r>
        <w:t xml:space="preserve"> draws conclusions </w:t>
      </w:r>
      <w:r w:rsidR="007A1004">
        <w:t xml:space="preserve">regarding mapping the </w:t>
      </w:r>
      <w:r w:rsidR="32C2989B">
        <w:t xml:space="preserve">three portfolios for the 2021-2022 TPP and provides guidance to the CAISO. </w:t>
      </w:r>
    </w:p>
    <w:p w14:paraId="26C81CCB" w14:textId="66055389" w:rsidR="00957612" w:rsidRDefault="00957612">
      <w:pPr>
        <w:spacing w:after="160" w:line="259" w:lineRule="auto"/>
        <w:ind w:left="0"/>
      </w:pPr>
      <w:r>
        <w:br w:type="page"/>
      </w:r>
    </w:p>
    <w:p w14:paraId="48DB4546" w14:textId="3D06CAB5" w:rsidR="00C82367" w:rsidRPr="005D72D3" w:rsidRDefault="2E3FEE58" w:rsidP="00DD54CE">
      <w:pPr>
        <w:pStyle w:val="Heading2"/>
      </w:pPr>
      <w:bookmarkStart w:id="31" w:name="_Toc63666807"/>
      <w:bookmarkStart w:id="32" w:name="_Ref36201141"/>
      <w:bookmarkStart w:id="33" w:name="_Toc63669593"/>
      <w:bookmarkEnd w:id="31"/>
      <w:r w:rsidRPr="005D72D3">
        <w:lastRenderedPageBreak/>
        <w:t>Inputs</w:t>
      </w:r>
      <w:bookmarkEnd w:id="32"/>
      <w:bookmarkEnd w:id="33"/>
    </w:p>
    <w:p w14:paraId="3A382C88" w14:textId="2F19C2E8" w:rsidR="2E3FEE58" w:rsidRDefault="2E3FEE58" w:rsidP="536A89F0">
      <w:pPr>
        <w:spacing w:after="240"/>
        <w:ind w:left="0"/>
      </w:pPr>
      <w:r>
        <w:t xml:space="preserve">In order </w:t>
      </w:r>
      <w:r w:rsidR="00D05834">
        <w:t xml:space="preserve">to </w:t>
      </w:r>
      <w:r>
        <w:t xml:space="preserve">the complete the steps in the methodology described </w:t>
      </w:r>
      <w:r w:rsidR="6FAF8F27">
        <w:t>below</w:t>
      </w:r>
      <w:r>
        <w:t>, the following input is needed: Portfolio of selected resources for 203</w:t>
      </w:r>
      <w:r w:rsidR="467BE5CC">
        <w:t>1</w:t>
      </w:r>
      <w:r>
        <w:t xml:space="preserve">, by transmission zone, with Fully Deliverable </w:t>
      </w:r>
      <w:r w:rsidR="00A70337">
        <w:t xml:space="preserve">(FD) </w:t>
      </w:r>
      <w:r>
        <w:t>and Energy-Only</w:t>
      </w:r>
      <w:r w:rsidR="00A70337">
        <w:t xml:space="preserve"> (EO)</w:t>
      </w:r>
      <w:r>
        <w:t xml:space="preserve"> </w:t>
      </w:r>
      <w:r w:rsidR="00F23EF0">
        <w:t>megawatt (</w:t>
      </w:r>
      <w:r>
        <w:t>MW</w:t>
      </w:r>
      <w:r w:rsidR="00F23EF0">
        <w:t>)</w:t>
      </w:r>
      <w:r>
        <w:t xml:space="preserve"> amounts specified.</w:t>
      </w:r>
    </w:p>
    <w:p w14:paraId="2C86E72D" w14:textId="746FFD21" w:rsidR="63CB5B2F" w:rsidRDefault="7498193E" w:rsidP="00EB0D4E">
      <w:pPr>
        <w:ind w:left="0"/>
        <w:rPr>
          <w:color w:val="000000" w:themeColor="text1"/>
        </w:rPr>
      </w:pPr>
      <w:r>
        <w:t xml:space="preserve">The portfolios described below </w:t>
      </w:r>
      <w:r w:rsidR="1AE72795">
        <w:t xml:space="preserve">were developed </w:t>
      </w:r>
      <w:r>
        <w:t>us</w:t>
      </w:r>
      <w:r w:rsidR="7CE69D13">
        <w:t>ing</w:t>
      </w:r>
      <w:r>
        <w:t xml:space="preserve"> </w:t>
      </w:r>
      <w:r w:rsidR="6A97D08B">
        <w:t>the same modeling assumptions as were used to develop the 2</w:t>
      </w:r>
      <w:r w:rsidR="6A97D08B" w:rsidRPr="2A825700">
        <w:rPr>
          <w:color w:val="000000" w:themeColor="text1"/>
        </w:rPr>
        <w:t>019 R</w:t>
      </w:r>
      <w:r w:rsidR="00564044">
        <w:rPr>
          <w:color w:val="000000" w:themeColor="text1"/>
        </w:rPr>
        <w:t>eference System Plan (</w:t>
      </w:r>
      <w:r w:rsidR="6A97D08B" w:rsidRPr="2A825700">
        <w:rPr>
          <w:color w:val="000000" w:themeColor="text1"/>
        </w:rPr>
        <w:t>RSP</w:t>
      </w:r>
      <w:r w:rsidR="00564044">
        <w:rPr>
          <w:color w:val="000000" w:themeColor="text1"/>
        </w:rPr>
        <w:t>)</w:t>
      </w:r>
      <w:r w:rsidR="6A97D08B" w:rsidRPr="2A825700">
        <w:rPr>
          <w:color w:val="000000" w:themeColor="text1"/>
        </w:rPr>
        <w:t xml:space="preserve"> 46 MMT by 2030 portfolio adopted by D.20-03-028,</w:t>
      </w:r>
      <w:r w:rsidR="63CB5B2F" w:rsidRPr="2A825700">
        <w:rPr>
          <w:rStyle w:val="FootnoteReference"/>
        </w:rPr>
        <w:footnoteReference w:id="7"/>
      </w:r>
      <w:r w:rsidR="6A97D08B" w:rsidRPr="2A825700">
        <w:rPr>
          <w:color w:val="000000" w:themeColor="text1"/>
        </w:rPr>
        <w:t xml:space="preserve"> with a few exceptions, including the following updates</w:t>
      </w:r>
      <w:r w:rsidR="6DB0B8BF" w:rsidRPr="62F85C09">
        <w:rPr>
          <w:color w:val="000000" w:themeColor="text1"/>
        </w:rPr>
        <w:t>:</w:t>
      </w:r>
    </w:p>
    <w:p w14:paraId="1E83CBF1" w14:textId="337FD0E5" w:rsidR="2A825700" w:rsidRDefault="1E72F8C5" w:rsidP="00EB0D4E">
      <w:pPr>
        <w:pStyle w:val="ListParagraph"/>
        <w:numPr>
          <w:ilvl w:val="0"/>
          <w:numId w:val="96"/>
        </w:numPr>
        <w:ind w:left="421"/>
      </w:pPr>
      <w:r>
        <w:t>An updated load forecast using the 2019 IEPR (annual GWh, peak MW, and load and load modifier shapes</w:t>
      </w:r>
      <w:proofErr w:type="gramStart"/>
      <w:r>
        <w:t>);</w:t>
      </w:r>
      <w:proofErr w:type="gramEnd"/>
    </w:p>
    <w:p w14:paraId="2D51E30A" w14:textId="156F7DD8" w:rsidR="16B6E83A" w:rsidRPr="00FF4910" w:rsidRDefault="732E873A" w:rsidP="00EB0D4E">
      <w:pPr>
        <w:pStyle w:val="ListParagraph"/>
        <w:numPr>
          <w:ilvl w:val="1"/>
          <w:numId w:val="96"/>
        </w:numPr>
        <w:ind w:left="1141"/>
        <w:rPr>
          <w:rFonts w:eastAsiaTheme="minorEastAsia" w:cstheme="minorBidi"/>
          <w:color w:val="201F1E"/>
          <w:szCs w:val="24"/>
        </w:rPr>
      </w:pPr>
      <w:r w:rsidRPr="00FF4910">
        <w:rPr>
          <w:rFonts w:eastAsia="Calibri"/>
          <w:color w:val="201F1E"/>
          <w:szCs w:val="24"/>
        </w:rPr>
        <w:t xml:space="preserve">IEPR </w:t>
      </w:r>
      <w:r w:rsidR="00253119">
        <w:rPr>
          <w:rFonts w:eastAsia="Calibri"/>
          <w:color w:val="201F1E"/>
          <w:szCs w:val="24"/>
        </w:rPr>
        <w:t>behind</w:t>
      </w:r>
      <w:r w:rsidR="00A83E98">
        <w:rPr>
          <w:rFonts w:eastAsia="Calibri"/>
          <w:color w:val="201F1E"/>
          <w:szCs w:val="24"/>
        </w:rPr>
        <w:t>-the-meter (</w:t>
      </w:r>
      <w:r w:rsidRPr="00FF4910">
        <w:rPr>
          <w:rFonts w:eastAsia="Calibri"/>
          <w:color w:val="201F1E"/>
          <w:szCs w:val="24"/>
        </w:rPr>
        <w:t>BTM</w:t>
      </w:r>
      <w:r w:rsidR="00A83E98">
        <w:rPr>
          <w:rFonts w:eastAsia="Calibri"/>
          <w:color w:val="201F1E"/>
          <w:szCs w:val="24"/>
        </w:rPr>
        <w:t>)</w:t>
      </w:r>
      <w:r w:rsidRPr="00FF4910">
        <w:rPr>
          <w:rFonts w:eastAsia="Calibri"/>
          <w:color w:val="201F1E"/>
          <w:szCs w:val="24"/>
        </w:rPr>
        <w:t xml:space="preserve"> storage assumptions were used with </w:t>
      </w:r>
      <w:r w:rsidR="42715845" w:rsidRPr="00FF4910">
        <w:rPr>
          <w:rFonts w:eastAsia="Calibri"/>
          <w:color w:val="201F1E"/>
          <w:szCs w:val="24"/>
        </w:rPr>
        <w:t xml:space="preserve">adjustments to the </w:t>
      </w:r>
      <w:r w:rsidR="691CA26F" w:rsidRPr="00FF4910">
        <w:rPr>
          <w:rFonts w:eastAsia="Calibri"/>
          <w:color w:val="201F1E"/>
          <w:szCs w:val="24"/>
        </w:rPr>
        <w:t xml:space="preserve">BTM battery peak contribution consistent with </w:t>
      </w:r>
      <w:r w:rsidR="7D8BCEF2" w:rsidRPr="00FF4910">
        <w:rPr>
          <w:rFonts w:eastAsia="Calibri"/>
          <w:color w:val="201F1E"/>
          <w:szCs w:val="24"/>
        </w:rPr>
        <w:t xml:space="preserve">the method used in the </w:t>
      </w:r>
      <w:r w:rsidR="297E5029" w:rsidRPr="00FF4910">
        <w:rPr>
          <w:rFonts w:eastAsia="Calibri"/>
          <w:color w:val="201F1E"/>
          <w:szCs w:val="24"/>
        </w:rPr>
        <w:t xml:space="preserve">2019 </w:t>
      </w:r>
      <w:r w:rsidR="7D8BCEF2" w:rsidRPr="00FF4910">
        <w:rPr>
          <w:rFonts w:eastAsia="Calibri"/>
          <w:color w:val="201F1E"/>
          <w:szCs w:val="24"/>
        </w:rPr>
        <w:t>RSP</w:t>
      </w:r>
    </w:p>
    <w:p w14:paraId="11984A4B" w14:textId="074EBF8C" w:rsidR="2A825700" w:rsidRDefault="2A825700" w:rsidP="00EB0D4E">
      <w:pPr>
        <w:pStyle w:val="ListParagraph"/>
        <w:numPr>
          <w:ilvl w:val="0"/>
          <w:numId w:val="96"/>
        </w:numPr>
        <w:ind w:left="421"/>
      </w:pPr>
      <w:r>
        <w:t>Updated building electrification shapes developed using a combination of E3’s RESHAPE model and CEC shapes, applied to new building electrification load (i.e.</w:t>
      </w:r>
      <w:r w:rsidR="00564044">
        <w:t>,</w:t>
      </w:r>
      <w:r>
        <w:t xml:space="preserve"> the incremental building electrification load assumptions post-203</w:t>
      </w:r>
      <w:r w:rsidR="58D226BF">
        <w:t>1</w:t>
      </w:r>
      <w:r>
        <w:t xml:space="preserve"> from the CEC High Biofuels PATHWAYS scenario)</w:t>
      </w:r>
      <w:r w:rsidRPr="2A825700">
        <w:rPr>
          <w:rStyle w:val="FootnoteReference"/>
          <w:color w:val="000000" w:themeColor="text1"/>
        </w:rPr>
        <w:footnoteReference w:id="8"/>
      </w:r>
      <w:r w:rsidRPr="2A825700">
        <w:rPr>
          <w:color w:val="000000" w:themeColor="text1"/>
        </w:rPr>
        <w:t>;</w:t>
      </w:r>
    </w:p>
    <w:p w14:paraId="185AA6D8" w14:textId="20D545FD" w:rsidR="7308AB54" w:rsidRDefault="7308AB54" w:rsidP="00EB0D4E">
      <w:pPr>
        <w:pStyle w:val="ListParagraph"/>
        <w:numPr>
          <w:ilvl w:val="0"/>
          <w:numId w:val="96"/>
        </w:numPr>
        <w:ind w:left="421"/>
      </w:pPr>
      <w:r>
        <w:t xml:space="preserve">Transportation electrification shapes use the 2019 IEPR for </w:t>
      </w:r>
      <w:r w:rsidR="52150D05">
        <w:t xml:space="preserve">(light-duty vehicle) </w:t>
      </w:r>
      <w:r>
        <w:t xml:space="preserve">LDV and </w:t>
      </w:r>
      <w:r w:rsidR="7997F97A">
        <w:t>medium-duty (</w:t>
      </w:r>
      <w:r>
        <w:t>MDV</w:t>
      </w:r>
      <w:r w:rsidR="7F53B1AC">
        <w:t>)</w:t>
      </w:r>
      <w:r>
        <w:t>/</w:t>
      </w:r>
      <w:r w:rsidR="2AD1457E">
        <w:t>heavy-duty vehicle (</w:t>
      </w:r>
      <w:r>
        <w:t>HDV</w:t>
      </w:r>
      <w:r w:rsidR="6B60E9F2">
        <w:t>)</w:t>
      </w:r>
      <w:r>
        <w:t xml:space="preserve"> types and E3’s </w:t>
      </w:r>
      <w:r w:rsidR="52D38BE6">
        <w:t xml:space="preserve">load </w:t>
      </w:r>
      <w:r>
        <w:t xml:space="preserve">shape for </w:t>
      </w:r>
      <w:r w:rsidR="6F28B49B">
        <w:t xml:space="preserve">electric </w:t>
      </w:r>
      <w:r>
        <w:t>buses</w:t>
      </w:r>
    </w:p>
    <w:p w14:paraId="550EAADB" w14:textId="6F31CA1D" w:rsidR="2A825700" w:rsidRDefault="2A825700" w:rsidP="00EB0D4E">
      <w:pPr>
        <w:pStyle w:val="ListParagraph"/>
        <w:numPr>
          <w:ilvl w:val="0"/>
          <w:numId w:val="96"/>
        </w:numPr>
        <w:ind w:left="421"/>
      </w:pPr>
      <w:r>
        <w:t xml:space="preserve">An updated gas price forecast based on CEC June 2020 </w:t>
      </w:r>
      <w:proofErr w:type="gramStart"/>
      <w:r>
        <w:t>workbook</w:t>
      </w:r>
      <w:r w:rsidRPr="2A825700">
        <w:rPr>
          <w:color w:val="000000" w:themeColor="text1"/>
        </w:rPr>
        <w:t>;</w:t>
      </w:r>
      <w:proofErr w:type="gramEnd"/>
      <w:r w:rsidRPr="2A825700">
        <w:rPr>
          <w:rStyle w:val="FootnoteReference"/>
          <w:color w:val="000000" w:themeColor="text1"/>
        </w:rPr>
        <w:footnoteReference w:id="9"/>
      </w:r>
      <w:r w:rsidRPr="2A825700">
        <w:rPr>
          <w:color w:val="000000" w:themeColor="text1"/>
        </w:rPr>
        <w:t xml:space="preserve"> </w:t>
      </w:r>
    </w:p>
    <w:p w14:paraId="30FE5789" w14:textId="4467A92E" w:rsidR="2A825700" w:rsidRDefault="00EB6E5C" w:rsidP="00EB0D4E">
      <w:pPr>
        <w:pStyle w:val="ListParagraph"/>
        <w:numPr>
          <w:ilvl w:val="0"/>
          <w:numId w:val="96"/>
        </w:numPr>
        <w:ind w:left="421"/>
      </w:pPr>
      <w:r>
        <w:rPr>
          <w:color w:val="000000" w:themeColor="text1"/>
        </w:rPr>
        <w:t>F</w:t>
      </w:r>
      <w:r w:rsidRPr="4B1F0A78">
        <w:rPr>
          <w:color w:val="000000" w:themeColor="text1"/>
        </w:rPr>
        <w:t xml:space="preserve">or the sensitivity cases, the expanded EO transmission limits were used, as specified in the RESOLVE </w:t>
      </w:r>
      <w:r w:rsidR="00602CFA">
        <w:rPr>
          <w:color w:val="000000" w:themeColor="text1"/>
        </w:rPr>
        <w:t>S</w:t>
      </w:r>
      <w:r w:rsidRPr="4B1F0A78">
        <w:rPr>
          <w:color w:val="000000" w:themeColor="text1"/>
        </w:rPr>
        <w:t xml:space="preserve">cenario </w:t>
      </w:r>
      <w:r w:rsidR="00602CFA">
        <w:rPr>
          <w:color w:val="000000" w:themeColor="text1"/>
        </w:rPr>
        <w:t>T</w:t>
      </w:r>
      <w:r w:rsidRPr="4B1F0A78">
        <w:rPr>
          <w:color w:val="000000" w:themeColor="text1"/>
        </w:rPr>
        <w:t>ool, “Sys – Tx” worksheet</w:t>
      </w:r>
      <w:r>
        <w:rPr>
          <w:color w:val="000000" w:themeColor="text1"/>
        </w:rPr>
        <w:t xml:space="preserve"> (whereas f</w:t>
      </w:r>
      <w:r w:rsidR="3928F2D9" w:rsidRPr="4B1F0A78">
        <w:rPr>
          <w:color w:val="000000" w:themeColor="text1"/>
        </w:rPr>
        <w:t xml:space="preserve">or the base case, </w:t>
      </w:r>
      <w:r w:rsidR="06D438AC" w:rsidRPr="4B1F0A78">
        <w:rPr>
          <w:color w:val="000000" w:themeColor="text1"/>
        </w:rPr>
        <w:t xml:space="preserve">FD and EO </w:t>
      </w:r>
      <w:r w:rsidR="3928F2D9" w:rsidRPr="4B1F0A78">
        <w:rPr>
          <w:color w:val="000000" w:themeColor="text1"/>
        </w:rPr>
        <w:t xml:space="preserve">transmission limits </w:t>
      </w:r>
      <w:r w:rsidR="00375278">
        <w:rPr>
          <w:color w:val="000000" w:themeColor="text1"/>
        </w:rPr>
        <w:t>continued to be</w:t>
      </w:r>
      <w:r w:rsidR="3928F2D9" w:rsidRPr="4B1F0A78">
        <w:rPr>
          <w:color w:val="000000" w:themeColor="text1"/>
        </w:rPr>
        <w:t xml:space="preserve"> those identified in the </w:t>
      </w:r>
      <w:r w:rsidR="3B695710" w:rsidRPr="4B1F0A78">
        <w:rPr>
          <w:color w:val="000000" w:themeColor="text1"/>
        </w:rPr>
        <w:t xml:space="preserve">May 2019 </w:t>
      </w:r>
      <w:r w:rsidR="3928F2D9" w:rsidRPr="4B1F0A78">
        <w:rPr>
          <w:color w:val="000000" w:themeColor="text1"/>
        </w:rPr>
        <w:t>CAISO whitepape</w:t>
      </w:r>
      <w:r w:rsidR="5D25BF78" w:rsidRPr="4B1F0A78">
        <w:rPr>
          <w:color w:val="000000" w:themeColor="text1"/>
        </w:rPr>
        <w:t>r,</w:t>
      </w:r>
      <w:r w:rsidR="2A825700" w:rsidRPr="00505CA8">
        <w:rPr>
          <w:color w:val="000000" w:themeColor="text1"/>
          <w:vertAlign w:val="superscript"/>
        </w:rPr>
        <w:footnoteReference w:id="10"/>
      </w:r>
      <w:r w:rsidR="00375278">
        <w:rPr>
          <w:color w:val="000000" w:themeColor="text1"/>
        </w:rPr>
        <w:t>)</w:t>
      </w:r>
      <w:r w:rsidR="0CB69CEE" w:rsidRPr="4B1F0A78">
        <w:rPr>
          <w:color w:val="000000" w:themeColor="text1"/>
        </w:rPr>
        <w:t xml:space="preserve">; </w:t>
      </w:r>
      <w:r w:rsidR="2A825700" w:rsidRPr="2A825700">
        <w:rPr>
          <w:color w:val="000000" w:themeColor="text1"/>
        </w:rPr>
        <w:t>and</w:t>
      </w:r>
    </w:p>
    <w:p w14:paraId="033C624B" w14:textId="4A9D63BD" w:rsidR="2A825700" w:rsidRDefault="2A825700" w:rsidP="00EB0D4E">
      <w:pPr>
        <w:pStyle w:val="ListParagraph"/>
        <w:numPr>
          <w:ilvl w:val="0"/>
          <w:numId w:val="96"/>
        </w:numPr>
        <w:ind w:left="421"/>
      </w:pPr>
      <w:r>
        <w:t>Additional minor RESOLVE updates and corrections</w:t>
      </w:r>
      <w:r w:rsidRPr="2A825700">
        <w:rPr>
          <w:color w:val="000000" w:themeColor="text1"/>
        </w:rPr>
        <w:t>.</w:t>
      </w:r>
      <w:r w:rsidRPr="2A825700">
        <w:rPr>
          <w:rStyle w:val="FootnoteReference"/>
          <w:color w:val="000000" w:themeColor="text1"/>
        </w:rPr>
        <w:footnoteReference w:id="11"/>
      </w:r>
    </w:p>
    <w:p w14:paraId="56000C74" w14:textId="608D16D1" w:rsidR="2A825700" w:rsidRPr="00564044" w:rsidRDefault="2A825700" w:rsidP="00EB0D4E">
      <w:pPr>
        <w:ind w:left="61"/>
        <w:rPr>
          <w:color w:val="000000" w:themeColor="text1"/>
        </w:rPr>
      </w:pPr>
    </w:p>
    <w:p w14:paraId="00968AB6" w14:textId="32E4DBBB" w:rsidR="2AB37828" w:rsidRPr="00EB0D4E" w:rsidRDefault="71DD96AD" w:rsidP="4E1893D1">
      <w:pPr>
        <w:ind w:left="0"/>
        <w:rPr>
          <w:color w:val="000000" w:themeColor="text1"/>
        </w:rPr>
      </w:pPr>
      <w:r w:rsidRPr="6EADE052">
        <w:rPr>
          <w:color w:val="000000" w:themeColor="text1"/>
        </w:rPr>
        <w:t xml:space="preserve">New baseline resources </w:t>
      </w:r>
      <w:r w:rsidR="2704B8A0" w:rsidRPr="6EADE052">
        <w:rPr>
          <w:color w:val="000000" w:themeColor="text1"/>
        </w:rPr>
        <w:t xml:space="preserve">added since </w:t>
      </w:r>
      <w:r w:rsidR="58B60238" w:rsidRPr="6EADE052">
        <w:rPr>
          <w:color w:val="000000" w:themeColor="text1"/>
        </w:rPr>
        <w:t xml:space="preserve">the RESOLVE baseline </w:t>
      </w:r>
      <w:r w:rsidR="1C62185B" w:rsidRPr="057D115D">
        <w:rPr>
          <w:color w:val="000000" w:themeColor="text1"/>
        </w:rPr>
        <w:t>was</w:t>
      </w:r>
      <w:r w:rsidR="1C62185B" w:rsidRPr="25C60BFB">
        <w:rPr>
          <w:color w:val="000000" w:themeColor="text1"/>
        </w:rPr>
        <w:t xml:space="preserve"> set</w:t>
      </w:r>
      <w:r w:rsidR="58B60238" w:rsidRPr="6EADE052">
        <w:rPr>
          <w:color w:val="000000" w:themeColor="text1"/>
        </w:rPr>
        <w:t xml:space="preserve"> in </w:t>
      </w:r>
      <w:r w:rsidR="2704B8A0" w:rsidRPr="6EADE052">
        <w:rPr>
          <w:color w:val="000000" w:themeColor="text1"/>
        </w:rPr>
        <w:t xml:space="preserve">January 2019 </w:t>
      </w:r>
      <w:r w:rsidRPr="6EADE052">
        <w:rPr>
          <w:color w:val="000000" w:themeColor="text1"/>
        </w:rPr>
        <w:t xml:space="preserve">were identified from </w:t>
      </w:r>
      <w:r w:rsidR="59F4C665" w:rsidRPr="6EADE052">
        <w:rPr>
          <w:color w:val="000000" w:themeColor="text1"/>
        </w:rPr>
        <w:t>load-serving entity</w:t>
      </w:r>
      <w:r w:rsidRPr="6EADE052">
        <w:rPr>
          <w:color w:val="000000" w:themeColor="text1"/>
        </w:rPr>
        <w:t xml:space="preserve"> </w:t>
      </w:r>
      <w:r w:rsidR="3A6A05AE" w:rsidRPr="6EADE052">
        <w:rPr>
          <w:color w:val="000000" w:themeColor="text1"/>
        </w:rPr>
        <w:t>(</w:t>
      </w:r>
      <w:r w:rsidRPr="6EADE052">
        <w:rPr>
          <w:color w:val="000000" w:themeColor="text1"/>
        </w:rPr>
        <w:t>LSE</w:t>
      </w:r>
      <w:r w:rsidR="3A6A05AE" w:rsidRPr="6EADE052">
        <w:rPr>
          <w:color w:val="000000" w:themeColor="text1"/>
        </w:rPr>
        <w:t>)</w:t>
      </w:r>
      <w:r w:rsidRPr="6EADE052">
        <w:rPr>
          <w:color w:val="000000" w:themeColor="text1"/>
        </w:rPr>
        <w:t xml:space="preserve"> plans</w:t>
      </w:r>
      <w:r w:rsidR="6DC1CEE2" w:rsidRPr="6EADE052">
        <w:rPr>
          <w:color w:val="000000" w:themeColor="text1"/>
        </w:rPr>
        <w:t xml:space="preserve"> filed on September 1, 2020</w:t>
      </w:r>
      <w:r w:rsidRPr="6EADE052">
        <w:rPr>
          <w:color w:val="000000" w:themeColor="text1"/>
        </w:rPr>
        <w:t xml:space="preserve"> and removed from the </w:t>
      </w:r>
      <w:r w:rsidR="5D4D346D" w:rsidRPr="4E1893D1">
        <w:rPr>
          <w:color w:val="000000" w:themeColor="text1"/>
        </w:rPr>
        <w:t>RESOLVE-</w:t>
      </w:r>
      <w:r w:rsidRPr="6EADE052">
        <w:rPr>
          <w:color w:val="000000" w:themeColor="text1"/>
        </w:rPr>
        <w:t xml:space="preserve">selected resources </w:t>
      </w:r>
      <w:r w:rsidR="00047217">
        <w:rPr>
          <w:color w:val="000000" w:themeColor="text1"/>
        </w:rPr>
        <w:t xml:space="preserve">of each </w:t>
      </w:r>
      <w:r w:rsidR="00DC69C6">
        <w:rPr>
          <w:color w:val="000000" w:themeColor="text1"/>
        </w:rPr>
        <w:t xml:space="preserve">portfolio </w:t>
      </w:r>
      <w:r w:rsidR="408326FA" w:rsidRPr="6EADE052">
        <w:rPr>
          <w:color w:val="000000" w:themeColor="text1"/>
        </w:rPr>
        <w:t xml:space="preserve">to prevent them from being double-counted </w:t>
      </w:r>
      <w:r w:rsidR="117542D1" w:rsidRPr="4E1893D1">
        <w:rPr>
          <w:color w:val="000000" w:themeColor="text1"/>
        </w:rPr>
        <w:t xml:space="preserve">in TPP modeling </w:t>
      </w:r>
      <w:r w:rsidR="408326FA" w:rsidRPr="6EADE052">
        <w:rPr>
          <w:color w:val="000000" w:themeColor="text1"/>
        </w:rPr>
        <w:t>(</w:t>
      </w:r>
      <w:r w:rsidR="00B8197B">
        <w:rPr>
          <w:color w:val="000000" w:themeColor="text1"/>
        </w:rPr>
        <w:t>for details</w:t>
      </w:r>
      <w:r w:rsidR="00C1785B">
        <w:rPr>
          <w:color w:val="000000" w:themeColor="text1"/>
        </w:rPr>
        <w:t xml:space="preserve"> </w:t>
      </w:r>
      <w:r w:rsidR="408326FA" w:rsidRPr="6EADE052">
        <w:rPr>
          <w:color w:val="000000" w:themeColor="text1"/>
        </w:rPr>
        <w:t>see tab</w:t>
      </w:r>
      <w:r w:rsidR="6988DB0D" w:rsidRPr="6EADE052">
        <w:rPr>
          <w:color w:val="000000" w:themeColor="text1"/>
        </w:rPr>
        <w:t xml:space="preserve"> </w:t>
      </w:r>
      <w:r w:rsidR="408326FA" w:rsidRPr="6EADE052">
        <w:rPr>
          <w:color w:val="000000" w:themeColor="text1"/>
        </w:rPr>
        <w:t>“</w:t>
      </w:r>
      <w:proofErr w:type="spellStart"/>
      <w:r w:rsidR="6822E2FA" w:rsidRPr="6EADE052">
        <w:rPr>
          <w:color w:val="000000" w:themeColor="text1"/>
        </w:rPr>
        <w:t>NewBaselineSumByRESOLVEResource</w:t>
      </w:r>
      <w:proofErr w:type="spellEnd"/>
      <w:r w:rsidR="6822E2FA" w:rsidRPr="6EADE052">
        <w:rPr>
          <w:color w:val="000000" w:themeColor="text1"/>
        </w:rPr>
        <w:t>”</w:t>
      </w:r>
      <w:r w:rsidR="2741F185" w:rsidRPr="057D115D">
        <w:rPr>
          <w:color w:val="000000" w:themeColor="text1"/>
        </w:rPr>
        <w:t xml:space="preserve"> </w:t>
      </w:r>
      <w:r w:rsidR="00572BBD">
        <w:rPr>
          <w:color w:val="000000" w:themeColor="text1"/>
        </w:rPr>
        <w:t xml:space="preserve">within the </w:t>
      </w:r>
      <w:r w:rsidR="00A65D91">
        <w:rPr>
          <w:color w:val="000000" w:themeColor="text1"/>
        </w:rPr>
        <w:t>D</w:t>
      </w:r>
      <w:r w:rsidR="00231003">
        <w:rPr>
          <w:color w:val="000000" w:themeColor="text1"/>
        </w:rPr>
        <w:t>ash</w:t>
      </w:r>
      <w:r w:rsidR="00A65D91">
        <w:rPr>
          <w:color w:val="000000" w:themeColor="text1"/>
        </w:rPr>
        <w:t>board Workbook</w:t>
      </w:r>
      <w:r w:rsidR="00B8197B">
        <w:rPr>
          <w:color w:val="000000" w:themeColor="text1"/>
        </w:rPr>
        <w:t xml:space="preserve"> for each portfolio, available in the Appendices</w:t>
      </w:r>
      <w:r w:rsidR="6988DB0D" w:rsidRPr="6EADE052">
        <w:rPr>
          <w:color w:val="000000" w:themeColor="text1"/>
        </w:rPr>
        <w:t>)</w:t>
      </w:r>
      <w:r w:rsidR="680E67A3" w:rsidRPr="6EADE052">
        <w:rPr>
          <w:color w:val="000000" w:themeColor="text1"/>
        </w:rPr>
        <w:t>.</w:t>
      </w:r>
      <w:r w:rsidR="795857FF" w:rsidRPr="4E1893D1">
        <w:rPr>
          <w:color w:val="000000" w:themeColor="text1"/>
        </w:rPr>
        <w:t xml:space="preserve"> </w:t>
      </w:r>
      <w:r w:rsidR="369EF885" w:rsidRPr="057D115D">
        <w:rPr>
          <w:color w:val="000000" w:themeColor="text1"/>
        </w:rPr>
        <w:t>The s</w:t>
      </w:r>
      <w:r w:rsidR="6E9687F2" w:rsidRPr="057D115D">
        <w:rPr>
          <w:color w:val="000000" w:themeColor="text1"/>
        </w:rPr>
        <w:t>teps are described below</w:t>
      </w:r>
      <w:r w:rsidR="485B8EC3" w:rsidRPr="057D115D">
        <w:rPr>
          <w:color w:val="000000" w:themeColor="text1"/>
        </w:rPr>
        <w:t xml:space="preserve"> </w:t>
      </w:r>
      <w:r w:rsidR="34DF85F4" w:rsidRPr="057D115D">
        <w:rPr>
          <w:color w:val="000000" w:themeColor="text1"/>
        </w:rPr>
        <w:t>with reference to</w:t>
      </w:r>
      <w:r w:rsidR="485B8EC3" w:rsidRPr="057D115D">
        <w:rPr>
          <w:color w:val="000000" w:themeColor="text1"/>
        </w:rPr>
        <w:t xml:space="preserve"> the 46 MMT base case portfolio</w:t>
      </w:r>
      <w:r w:rsidR="00016786">
        <w:rPr>
          <w:color w:val="000000" w:themeColor="text1"/>
        </w:rPr>
        <w:t xml:space="preserve"> and</w:t>
      </w:r>
      <w:r w:rsidR="3046F809" w:rsidRPr="057D115D">
        <w:rPr>
          <w:color w:val="000000" w:themeColor="text1"/>
        </w:rPr>
        <w:t xml:space="preserve"> apply to all three portfolios</w:t>
      </w:r>
      <w:r w:rsidR="007B60F1" w:rsidRPr="057D115D">
        <w:rPr>
          <w:color w:val="000000" w:themeColor="text1"/>
        </w:rPr>
        <w:t>:</w:t>
      </w:r>
    </w:p>
    <w:p w14:paraId="09DBAB46" w14:textId="6DE867C5" w:rsidR="2AB37828" w:rsidRPr="00EB0D4E" w:rsidRDefault="6E9687F2" w:rsidP="057D115D">
      <w:pPr>
        <w:pStyle w:val="ListParagraph"/>
        <w:numPr>
          <w:ilvl w:val="0"/>
          <w:numId w:val="124"/>
        </w:numPr>
        <w:rPr>
          <w:color w:val="000000" w:themeColor="text1"/>
        </w:rPr>
      </w:pPr>
      <w:r w:rsidRPr="25C60BFB">
        <w:rPr>
          <w:color w:val="000000" w:themeColor="text1"/>
        </w:rPr>
        <w:t>LSE Plans were aggregated and filtered to show contracted projects only. Staff reconciled this new contract list with the RESOLVE baseline (</w:t>
      </w:r>
      <w:proofErr w:type="spellStart"/>
      <w:r w:rsidRPr="057D115D">
        <w:rPr>
          <w:color w:val="000000" w:themeColor="text1"/>
        </w:rPr>
        <w:t>Gen</w:t>
      </w:r>
      <w:r w:rsidR="2510456E" w:rsidRPr="057D115D">
        <w:rPr>
          <w:color w:val="000000" w:themeColor="text1"/>
        </w:rPr>
        <w:t>L</w:t>
      </w:r>
      <w:r w:rsidRPr="057D115D">
        <w:rPr>
          <w:color w:val="000000" w:themeColor="text1"/>
        </w:rPr>
        <w:t>ist</w:t>
      </w:r>
      <w:proofErr w:type="spellEnd"/>
      <w:r w:rsidRPr="25C60BFB">
        <w:rPr>
          <w:color w:val="000000" w:themeColor="text1"/>
        </w:rPr>
        <w:t xml:space="preserve"> tab in the Resource Cost and Build workbook</w:t>
      </w:r>
      <w:r w:rsidR="410B8079" w:rsidRPr="25C60BFB">
        <w:rPr>
          <w:color w:val="000000" w:themeColor="text1"/>
        </w:rPr>
        <w:t>,</w:t>
      </w:r>
      <w:r w:rsidRPr="25C60BFB">
        <w:rPr>
          <w:color w:val="000000" w:themeColor="text1"/>
        </w:rPr>
        <w:t xml:space="preserve"> a part of the RESOLVE model package), to remove those that were </w:t>
      </w:r>
      <w:r w:rsidRPr="25C60BFB">
        <w:rPr>
          <w:color w:val="000000" w:themeColor="text1"/>
        </w:rPr>
        <w:lastRenderedPageBreak/>
        <w:t xml:space="preserve">already included in </w:t>
      </w:r>
      <w:r w:rsidR="79DE582C" w:rsidRPr="25C60BFB">
        <w:rPr>
          <w:color w:val="000000" w:themeColor="text1"/>
        </w:rPr>
        <w:t xml:space="preserve">the </w:t>
      </w:r>
      <w:r w:rsidRPr="25C60BFB">
        <w:rPr>
          <w:color w:val="000000" w:themeColor="text1"/>
        </w:rPr>
        <w:t xml:space="preserve">RESOLVE baseline. </w:t>
      </w:r>
      <w:r w:rsidR="00A7114C">
        <w:rPr>
          <w:color w:val="000000" w:themeColor="text1"/>
        </w:rPr>
        <w:fldChar w:fldCharType="begin"/>
      </w:r>
      <w:r w:rsidR="00A7114C">
        <w:rPr>
          <w:color w:val="000000" w:themeColor="text1"/>
        </w:rPr>
        <w:instrText xml:space="preserve"> REF _Ref63615592 \h </w:instrText>
      </w:r>
      <w:r w:rsidR="00A7114C">
        <w:rPr>
          <w:color w:val="000000" w:themeColor="text1"/>
        </w:rPr>
      </w:r>
      <w:r w:rsidR="00A7114C">
        <w:rPr>
          <w:color w:val="000000" w:themeColor="text1"/>
        </w:rPr>
        <w:fldChar w:fldCharType="separate"/>
      </w:r>
      <w:r w:rsidR="0083765C">
        <w:rPr>
          <w:noProof/>
        </w:rPr>
        <w:fldChar w:fldCharType="begin"/>
      </w:r>
      <w:r w:rsidR="0083765C">
        <w:instrText xml:space="preserve"> REF _Ref63615592 \h </w:instrText>
      </w:r>
      <w:r w:rsidR="0083765C">
        <w:rPr>
          <w:noProof/>
        </w:rPr>
      </w:r>
      <w:r w:rsidR="0083765C">
        <w:rPr>
          <w:noProof/>
        </w:rPr>
        <w:fldChar w:fldCharType="separate"/>
      </w:r>
      <w:r w:rsidR="0083765C">
        <w:t xml:space="preserve">Table </w:t>
      </w:r>
      <w:r w:rsidR="0083765C">
        <w:rPr>
          <w:noProof/>
        </w:rPr>
        <w:t>2</w:t>
      </w:r>
      <w:r w:rsidR="0083765C">
        <w:rPr>
          <w:noProof/>
        </w:rPr>
        <w:fldChar w:fldCharType="end"/>
      </w:r>
      <w:r w:rsidR="00A7114C">
        <w:rPr>
          <w:color w:val="000000" w:themeColor="text1"/>
        </w:rPr>
        <w:fldChar w:fldCharType="end"/>
      </w:r>
      <w:r w:rsidR="3DA4AFAB" w:rsidRPr="25C60BFB">
        <w:rPr>
          <w:color w:val="000000" w:themeColor="text1"/>
        </w:rPr>
        <w:t xml:space="preserve"> below </w:t>
      </w:r>
      <w:proofErr w:type="gramStart"/>
      <w:r w:rsidR="3DA4AFAB" w:rsidRPr="25C60BFB">
        <w:rPr>
          <w:color w:val="000000" w:themeColor="text1"/>
        </w:rPr>
        <w:t>summarizes</w:t>
      </w:r>
      <w:proofErr w:type="gramEnd"/>
      <w:r w:rsidR="3DA4AFAB" w:rsidRPr="25C60BFB">
        <w:rPr>
          <w:color w:val="000000" w:themeColor="text1"/>
        </w:rPr>
        <w:t xml:space="preserve"> these newly contracted resources not accounted for in the RESOLVE baseline. </w:t>
      </w:r>
    </w:p>
    <w:p w14:paraId="2DC0E0E3" w14:textId="47A594B3" w:rsidR="2AB37828" w:rsidRPr="00C040D9" w:rsidRDefault="2DB7C4C6" w:rsidP="252CA429">
      <w:pPr>
        <w:pStyle w:val="ListParagraph"/>
        <w:numPr>
          <w:ilvl w:val="0"/>
          <w:numId w:val="124"/>
        </w:numPr>
        <w:rPr>
          <w:rFonts w:asciiTheme="minorHAnsi" w:eastAsiaTheme="minorEastAsia" w:hAnsiTheme="minorHAnsi" w:cstheme="minorBidi"/>
          <w:color w:val="000000" w:themeColor="text1"/>
          <w:szCs w:val="24"/>
        </w:rPr>
      </w:pPr>
      <w:r w:rsidRPr="25C60BFB">
        <w:rPr>
          <w:color w:val="000000" w:themeColor="text1"/>
        </w:rPr>
        <w:t>The</w:t>
      </w:r>
      <w:r w:rsidR="654A046E" w:rsidRPr="25C60BFB">
        <w:rPr>
          <w:color w:val="000000" w:themeColor="text1"/>
        </w:rPr>
        <w:t xml:space="preserve"> contracts </w:t>
      </w:r>
      <w:r w:rsidR="0C51014E" w:rsidRPr="25C60BFB">
        <w:rPr>
          <w:color w:val="000000" w:themeColor="text1"/>
        </w:rPr>
        <w:t xml:space="preserve">that </w:t>
      </w:r>
      <w:r w:rsidR="654A046E" w:rsidRPr="25C60BFB">
        <w:rPr>
          <w:color w:val="000000" w:themeColor="text1"/>
        </w:rPr>
        <w:t>were</w:t>
      </w:r>
      <w:r w:rsidR="2E512E93" w:rsidRPr="25C60BFB">
        <w:rPr>
          <w:color w:val="000000" w:themeColor="text1"/>
        </w:rPr>
        <w:t xml:space="preserve"> presented </w:t>
      </w:r>
      <w:r w:rsidR="08B3B340" w:rsidRPr="25C60BFB">
        <w:rPr>
          <w:color w:val="000000" w:themeColor="text1"/>
        </w:rPr>
        <w:t xml:space="preserve">by LSEs </w:t>
      </w:r>
      <w:r w:rsidR="2E512E93" w:rsidRPr="25C60BFB">
        <w:rPr>
          <w:color w:val="000000" w:themeColor="text1"/>
        </w:rPr>
        <w:t>using the RESOLVE resource names</w:t>
      </w:r>
      <w:r w:rsidR="14DBDC78" w:rsidRPr="25C60BFB">
        <w:rPr>
          <w:color w:val="000000" w:themeColor="text1"/>
        </w:rPr>
        <w:t xml:space="preserve"> </w:t>
      </w:r>
      <w:r w:rsidR="3C312DC1" w:rsidRPr="25C60BFB">
        <w:rPr>
          <w:color w:val="000000" w:themeColor="text1"/>
        </w:rPr>
        <w:t>enable</w:t>
      </w:r>
      <w:r w:rsidR="14DBDC78" w:rsidRPr="25C60BFB">
        <w:rPr>
          <w:color w:val="000000" w:themeColor="text1"/>
        </w:rPr>
        <w:t xml:space="preserve"> </w:t>
      </w:r>
      <w:r w:rsidR="3CE6A747" w:rsidRPr="25C60BFB">
        <w:rPr>
          <w:color w:val="000000" w:themeColor="text1"/>
        </w:rPr>
        <w:t>comparison</w:t>
      </w:r>
      <w:r w:rsidR="2E512E93" w:rsidRPr="25C60BFB">
        <w:rPr>
          <w:color w:val="000000" w:themeColor="text1"/>
        </w:rPr>
        <w:t xml:space="preserve"> to the </w:t>
      </w:r>
      <w:r w:rsidR="043173E9" w:rsidRPr="25C60BFB">
        <w:rPr>
          <w:color w:val="000000" w:themeColor="text1"/>
        </w:rPr>
        <w:t>RESOLVE</w:t>
      </w:r>
      <w:r w:rsidR="2F911D37" w:rsidRPr="057D115D">
        <w:rPr>
          <w:color w:val="000000" w:themeColor="text1"/>
        </w:rPr>
        <w:t xml:space="preserve"> selected resources</w:t>
      </w:r>
      <w:r w:rsidR="534CAF24" w:rsidRPr="057D115D">
        <w:rPr>
          <w:color w:val="000000" w:themeColor="text1"/>
        </w:rPr>
        <w:t>.</w:t>
      </w:r>
      <w:r w:rsidR="6590175A" w:rsidRPr="057D115D">
        <w:rPr>
          <w:color w:val="000000" w:themeColor="text1"/>
        </w:rPr>
        <w:t xml:space="preserve"> </w:t>
      </w:r>
      <w:r w:rsidR="26533541" w:rsidRPr="25C60BFB">
        <w:rPr>
          <w:color w:val="000000" w:themeColor="text1"/>
        </w:rPr>
        <w:t>However</w:t>
      </w:r>
      <w:r w:rsidR="4A03E039" w:rsidRPr="25C60BFB">
        <w:rPr>
          <w:color w:val="000000" w:themeColor="text1"/>
        </w:rPr>
        <w:t>,</w:t>
      </w:r>
      <w:r w:rsidR="26533541" w:rsidRPr="25C60BFB">
        <w:rPr>
          <w:color w:val="000000" w:themeColor="text1"/>
        </w:rPr>
        <w:t xml:space="preserve"> </w:t>
      </w:r>
      <w:r w:rsidR="17E4AE9C" w:rsidRPr="25C60BFB">
        <w:rPr>
          <w:color w:val="000000" w:themeColor="text1"/>
        </w:rPr>
        <w:t xml:space="preserve">in some instances, LSEs entered some resources as generic RESOLVE resources instead of location-specific RESOLVE resources. In those </w:t>
      </w:r>
      <w:r w:rsidR="44B9463E" w:rsidRPr="25C60BFB">
        <w:rPr>
          <w:color w:val="000000" w:themeColor="text1"/>
        </w:rPr>
        <w:t>instances,</w:t>
      </w:r>
      <w:r w:rsidR="17E4AE9C" w:rsidRPr="25C60BFB">
        <w:rPr>
          <w:color w:val="000000" w:themeColor="text1"/>
        </w:rPr>
        <w:t xml:space="preserve"> </w:t>
      </w:r>
      <w:r w:rsidR="00D0609E">
        <w:rPr>
          <w:color w:val="000000" w:themeColor="text1"/>
        </w:rPr>
        <w:t xml:space="preserve">staff used </w:t>
      </w:r>
      <w:r w:rsidR="17E4AE9C" w:rsidRPr="25C60BFB">
        <w:rPr>
          <w:color w:val="000000" w:themeColor="text1"/>
        </w:rPr>
        <w:t xml:space="preserve">interconnection data and other known project information to the extent possible to map those resources to </w:t>
      </w:r>
      <w:r w:rsidR="000F290A" w:rsidRPr="057D115D">
        <w:rPr>
          <w:color w:val="000000" w:themeColor="text1"/>
        </w:rPr>
        <w:t>RESOLVE resources</w:t>
      </w:r>
      <w:r w:rsidR="17E4AE9C" w:rsidRPr="057D115D">
        <w:rPr>
          <w:color w:val="000000" w:themeColor="text1"/>
        </w:rPr>
        <w:t>.</w:t>
      </w:r>
      <w:r w:rsidR="17E4AE9C" w:rsidRPr="25C60BFB">
        <w:rPr>
          <w:color w:val="000000" w:themeColor="text1"/>
        </w:rPr>
        <w:t xml:space="preserve"> But if no other project information was available, and no point of interconnection was provided, </w:t>
      </w:r>
      <w:r w:rsidR="00947346">
        <w:rPr>
          <w:color w:val="000000" w:themeColor="text1"/>
        </w:rPr>
        <w:t xml:space="preserve">staff left </w:t>
      </w:r>
      <w:r w:rsidR="17E4AE9C" w:rsidRPr="25C60BFB">
        <w:rPr>
          <w:color w:val="000000" w:themeColor="text1"/>
        </w:rPr>
        <w:t xml:space="preserve">the resource as generic and </w:t>
      </w:r>
      <w:r w:rsidR="00947346">
        <w:rPr>
          <w:color w:val="000000" w:themeColor="text1"/>
        </w:rPr>
        <w:t xml:space="preserve">did </w:t>
      </w:r>
      <w:r w:rsidR="17E4AE9C" w:rsidRPr="25C60BFB">
        <w:rPr>
          <w:color w:val="000000" w:themeColor="text1"/>
        </w:rPr>
        <w:t xml:space="preserve">not </w:t>
      </w:r>
      <w:r w:rsidR="00947346" w:rsidRPr="25C60BFB">
        <w:rPr>
          <w:color w:val="000000" w:themeColor="text1"/>
        </w:rPr>
        <w:t>map</w:t>
      </w:r>
      <w:r w:rsidR="00947346">
        <w:rPr>
          <w:color w:val="000000" w:themeColor="text1"/>
        </w:rPr>
        <w:t xml:space="preserve"> it</w:t>
      </w:r>
      <w:r w:rsidR="00947346" w:rsidRPr="25C60BFB">
        <w:rPr>
          <w:color w:val="000000" w:themeColor="text1"/>
        </w:rPr>
        <w:t xml:space="preserve"> </w:t>
      </w:r>
      <w:r w:rsidR="17E4AE9C" w:rsidRPr="25C60BFB">
        <w:rPr>
          <w:color w:val="000000" w:themeColor="text1"/>
        </w:rPr>
        <w:t xml:space="preserve">to a specific </w:t>
      </w:r>
      <w:r w:rsidR="000F290A" w:rsidRPr="057D115D">
        <w:rPr>
          <w:color w:val="000000" w:themeColor="text1"/>
        </w:rPr>
        <w:t>RESOLVE</w:t>
      </w:r>
      <w:r w:rsidR="000F290A">
        <w:rPr>
          <w:color w:val="000000" w:themeColor="text1"/>
        </w:rPr>
        <w:t xml:space="preserve"> resource</w:t>
      </w:r>
      <w:r w:rsidR="17E4AE9C" w:rsidRPr="25C60BFB">
        <w:rPr>
          <w:color w:val="000000" w:themeColor="text1"/>
        </w:rPr>
        <w:t xml:space="preserve">. Approximately 1,087 MW of </w:t>
      </w:r>
      <w:r w:rsidR="5AC46A73" w:rsidRPr="057D115D">
        <w:rPr>
          <w:color w:val="000000" w:themeColor="text1"/>
        </w:rPr>
        <w:t>new solar contracts</w:t>
      </w:r>
      <w:r w:rsidR="17E4AE9C" w:rsidRPr="25C60BFB">
        <w:rPr>
          <w:color w:val="000000" w:themeColor="text1"/>
        </w:rPr>
        <w:t xml:space="preserve"> fit into this category</w:t>
      </w:r>
      <w:r w:rsidR="00605F89">
        <w:rPr>
          <w:color w:val="000000" w:themeColor="text1"/>
        </w:rPr>
        <w:t xml:space="preserve"> whereas staff were able to associate all new wind contracts with specific RESOLVE resources</w:t>
      </w:r>
      <w:r w:rsidR="17E4AE9C" w:rsidRPr="25C60BFB">
        <w:rPr>
          <w:color w:val="000000" w:themeColor="text1"/>
        </w:rPr>
        <w:t>.</w:t>
      </w:r>
    </w:p>
    <w:p w14:paraId="00B7E437" w14:textId="60632BDA" w:rsidR="2AB37828" w:rsidRDefault="00773DF0" w:rsidP="001B6F30">
      <w:pPr>
        <w:pStyle w:val="ListParagraph"/>
        <w:numPr>
          <w:ilvl w:val="0"/>
          <w:numId w:val="124"/>
        </w:numPr>
        <w:spacing w:after="120"/>
        <w:rPr>
          <w:color w:val="000000" w:themeColor="text1"/>
        </w:rPr>
      </w:pPr>
      <w:r w:rsidRPr="4B1F0A78">
        <w:rPr>
          <w:color w:val="000000" w:themeColor="text1"/>
        </w:rPr>
        <w:t>S</w:t>
      </w:r>
      <w:r w:rsidR="257079ED" w:rsidRPr="4B1F0A78">
        <w:rPr>
          <w:color w:val="000000" w:themeColor="text1"/>
        </w:rPr>
        <w:t>taff</w:t>
      </w:r>
      <w:r w:rsidR="257079ED" w:rsidRPr="6EADE052">
        <w:rPr>
          <w:color w:val="000000" w:themeColor="text1"/>
        </w:rPr>
        <w:t xml:space="preserve"> </w:t>
      </w:r>
      <w:r>
        <w:rPr>
          <w:color w:val="000000" w:themeColor="text1"/>
        </w:rPr>
        <w:t xml:space="preserve">then </w:t>
      </w:r>
      <w:r w:rsidR="257079ED" w:rsidRPr="6EADE052">
        <w:rPr>
          <w:color w:val="000000" w:themeColor="text1"/>
        </w:rPr>
        <w:t>subtracted new contracted amounts from RESOLVE generic reso</w:t>
      </w:r>
      <w:r w:rsidR="1FFCDE55" w:rsidRPr="6EADE052">
        <w:rPr>
          <w:color w:val="000000" w:themeColor="text1"/>
        </w:rPr>
        <w:t>ur</w:t>
      </w:r>
      <w:r w:rsidR="257079ED" w:rsidRPr="6EADE052">
        <w:rPr>
          <w:color w:val="000000" w:themeColor="text1"/>
        </w:rPr>
        <w:t xml:space="preserve">ces where there were RESOLVE resources, up to the original amount that RESOLVE selected.  </w:t>
      </w:r>
      <w:r w:rsidR="22A47A48" w:rsidRPr="6EADE052">
        <w:rPr>
          <w:color w:val="000000" w:themeColor="text1"/>
        </w:rPr>
        <w:t>T</w:t>
      </w:r>
      <w:r w:rsidR="6F45EC67" w:rsidRPr="6EADE052">
        <w:rPr>
          <w:color w:val="000000" w:themeColor="text1"/>
        </w:rPr>
        <w:t>he subtraction was only done where the new contracts matched</w:t>
      </w:r>
      <w:r w:rsidR="33FDAA55" w:rsidRPr="6EADE052">
        <w:rPr>
          <w:color w:val="000000" w:themeColor="text1"/>
        </w:rPr>
        <w:t xml:space="preserve"> the </w:t>
      </w:r>
      <w:r w:rsidR="1DD98B50" w:rsidRPr="6EADE052">
        <w:rPr>
          <w:color w:val="000000" w:themeColor="text1"/>
        </w:rPr>
        <w:t xml:space="preserve">RESOLVE </w:t>
      </w:r>
      <w:r w:rsidR="33FDAA55" w:rsidRPr="6EADE052">
        <w:rPr>
          <w:color w:val="000000" w:themeColor="text1"/>
        </w:rPr>
        <w:t>selected resources</w:t>
      </w:r>
      <w:r w:rsidR="6B3CF1A0" w:rsidRPr="6EADE052">
        <w:rPr>
          <w:color w:val="000000" w:themeColor="text1"/>
        </w:rPr>
        <w:t>.</w:t>
      </w:r>
      <w:r w:rsidR="33FDAA55" w:rsidRPr="6EADE052">
        <w:rPr>
          <w:color w:val="000000" w:themeColor="text1"/>
        </w:rPr>
        <w:t xml:space="preserve"> </w:t>
      </w:r>
      <w:r w:rsidR="0CC49119" w:rsidRPr="6EADE052">
        <w:rPr>
          <w:color w:val="000000" w:themeColor="text1"/>
        </w:rPr>
        <w:t xml:space="preserve"> </w:t>
      </w:r>
      <w:r w:rsidR="1BD0207C" w:rsidRPr="6EADE052">
        <w:rPr>
          <w:color w:val="000000" w:themeColor="text1"/>
        </w:rPr>
        <w:t>I</w:t>
      </w:r>
      <w:r w:rsidR="0CC49119" w:rsidRPr="6EADE052">
        <w:rPr>
          <w:color w:val="000000" w:themeColor="text1"/>
        </w:rPr>
        <w:t xml:space="preserve">f a new contract exists but the resource was not selected, no subtraction was done. </w:t>
      </w:r>
      <w:r w:rsidR="63142B38" w:rsidRPr="4E1893D1">
        <w:rPr>
          <w:color w:val="000000" w:themeColor="text1"/>
        </w:rPr>
        <w:t xml:space="preserve">This left </w:t>
      </w:r>
      <w:r w:rsidR="5A1C607A" w:rsidRPr="4E1893D1">
        <w:rPr>
          <w:color w:val="000000" w:themeColor="text1"/>
        </w:rPr>
        <w:t>300</w:t>
      </w:r>
      <w:r w:rsidR="059BBB9A" w:rsidRPr="4E1893D1">
        <w:rPr>
          <w:color w:val="000000" w:themeColor="text1"/>
        </w:rPr>
        <w:t xml:space="preserve"> </w:t>
      </w:r>
      <w:r w:rsidR="63142B38" w:rsidRPr="4E1893D1">
        <w:rPr>
          <w:color w:val="000000" w:themeColor="text1"/>
        </w:rPr>
        <w:t xml:space="preserve">MW of new baseline wind </w:t>
      </w:r>
      <w:r w:rsidR="43D1D821" w:rsidRPr="4E1893D1">
        <w:rPr>
          <w:color w:val="000000" w:themeColor="text1"/>
        </w:rPr>
        <w:t xml:space="preserve">contracts </w:t>
      </w:r>
      <w:r w:rsidR="01653EA1" w:rsidRPr="4E1893D1">
        <w:rPr>
          <w:color w:val="000000" w:themeColor="text1"/>
        </w:rPr>
        <w:t xml:space="preserve">(Arizona) </w:t>
      </w:r>
      <w:r w:rsidR="63142B38" w:rsidRPr="4E1893D1">
        <w:rPr>
          <w:color w:val="000000" w:themeColor="text1"/>
        </w:rPr>
        <w:t xml:space="preserve">and </w:t>
      </w:r>
      <w:r w:rsidR="75AC905C" w:rsidRPr="4E1893D1">
        <w:rPr>
          <w:color w:val="000000" w:themeColor="text1"/>
        </w:rPr>
        <w:t>1</w:t>
      </w:r>
      <w:r w:rsidR="00892BE0">
        <w:rPr>
          <w:color w:val="000000" w:themeColor="text1"/>
        </w:rPr>
        <w:t>,</w:t>
      </w:r>
      <w:r w:rsidR="75AC905C" w:rsidRPr="4E1893D1">
        <w:rPr>
          <w:color w:val="000000" w:themeColor="text1"/>
        </w:rPr>
        <w:t>000</w:t>
      </w:r>
      <w:r w:rsidR="63142B38" w:rsidRPr="4E1893D1">
        <w:rPr>
          <w:color w:val="000000" w:themeColor="text1"/>
        </w:rPr>
        <w:t xml:space="preserve"> MW of new baseline solar </w:t>
      </w:r>
      <w:r w:rsidR="367648E7" w:rsidRPr="4E1893D1">
        <w:rPr>
          <w:color w:val="000000" w:themeColor="text1"/>
        </w:rPr>
        <w:t xml:space="preserve">contracts </w:t>
      </w:r>
      <w:r w:rsidR="2E5D78A2" w:rsidRPr="4E1893D1">
        <w:rPr>
          <w:color w:val="000000" w:themeColor="text1"/>
        </w:rPr>
        <w:t>(Central Valley, Kramer Inyoke</w:t>
      </w:r>
      <w:r w:rsidR="59553410" w:rsidRPr="4E1893D1">
        <w:rPr>
          <w:color w:val="000000" w:themeColor="text1"/>
        </w:rPr>
        <w:t>r</w:t>
      </w:r>
      <w:r w:rsidR="2E5D78A2" w:rsidRPr="4E1893D1">
        <w:rPr>
          <w:color w:val="000000" w:themeColor="text1"/>
        </w:rPr>
        <w:t xml:space="preserve">n, Riverside, and Southern Nevada) </w:t>
      </w:r>
      <w:r w:rsidR="0B1B49D0" w:rsidRPr="4E1893D1">
        <w:rPr>
          <w:color w:val="000000" w:themeColor="text1"/>
        </w:rPr>
        <w:t xml:space="preserve">for which </w:t>
      </w:r>
      <w:r w:rsidR="7BD7A208" w:rsidRPr="4E1893D1">
        <w:rPr>
          <w:color w:val="000000" w:themeColor="text1"/>
        </w:rPr>
        <w:t xml:space="preserve">newly </w:t>
      </w:r>
      <w:r w:rsidR="0B1B49D0" w:rsidRPr="4E1893D1">
        <w:rPr>
          <w:color w:val="000000" w:themeColor="text1"/>
        </w:rPr>
        <w:t xml:space="preserve">contracted amounts exceeded RESOLVE selected amounts, and thus these </w:t>
      </w:r>
      <w:r w:rsidR="1E9F19AD" w:rsidRPr="4E1893D1">
        <w:rPr>
          <w:color w:val="000000" w:themeColor="text1"/>
        </w:rPr>
        <w:t xml:space="preserve">new contracts </w:t>
      </w:r>
      <w:r w:rsidR="0B1B49D0" w:rsidRPr="4E1893D1">
        <w:rPr>
          <w:color w:val="000000" w:themeColor="text1"/>
        </w:rPr>
        <w:t xml:space="preserve">were </w:t>
      </w:r>
      <w:r w:rsidR="63142B38" w:rsidRPr="4E1893D1">
        <w:rPr>
          <w:color w:val="000000" w:themeColor="text1"/>
        </w:rPr>
        <w:t xml:space="preserve">not deducted from the </w:t>
      </w:r>
      <w:r w:rsidR="60FAF554" w:rsidRPr="4E1893D1">
        <w:rPr>
          <w:color w:val="000000" w:themeColor="text1"/>
        </w:rPr>
        <w:t>46</w:t>
      </w:r>
      <w:r w:rsidR="00BC17BE">
        <w:rPr>
          <w:color w:val="000000" w:themeColor="text1"/>
        </w:rPr>
        <w:t xml:space="preserve"> </w:t>
      </w:r>
      <w:r w:rsidR="60FAF554" w:rsidRPr="4E1893D1">
        <w:rPr>
          <w:color w:val="000000" w:themeColor="text1"/>
        </w:rPr>
        <w:t xml:space="preserve">MMT </w:t>
      </w:r>
      <w:r w:rsidR="63142B38" w:rsidRPr="4E1893D1">
        <w:rPr>
          <w:color w:val="000000" w:themeColor="text1"/>
        </w:rPr>
        <w:t>portfolio.</w:t>
      </w:r>
    </w:p>
    <w:p w14:paraId="0E86B2D8" w14:textId="5A000CD8" w:rsidR="00A45F0F" w:rsidRPr="00A45F0F" w:rsidRDefault="00796349" w:rsidP="4B1F0A78">
      <w:pPr>
        <w:rPr>
          <w:color w:val="000000" w:themeColor="text1"/>
        </w:rPr>
      </w:pPr>
      <w:r>
        <w:rPr>
          <w:color w:val="000000" w:themeColor="text1"/>
        </w:rPr>
        <w:t>As a result of these reconciliation steps,</w:t>
      </w:r>
      <w:r w:rsidR="00604A2F">
        <w:rPr>
          <w:color w:val="000000" w:themeColor="text1"/>
        </w:rPr>
        <w:t xml:space="preserve"> </w:t>
      </w:r>
      <w:r w:rsidR="002332F7">
        <w:rPr>
          <w:color w:val="000000" w:themeColor="text1"/>
        </w:rPr>
        <w:t xml:space="preserve">a total of </w:t>
      </w:r>
      <w:r w:rsidR="38583EB9" w:rsidRPr="7B3BA3A1">
        <w:rPr>
          <w:color w:val="000000" w:themeColor="text1"/>
        </w:rPr>
        <w:t>694</w:t>
      </w:r>
      <w:r w:rsidR="002332F7">
        <w:rPr>
          <w:color w:val="000000" w:themeColor="text1"/>
        </w:rPr>
        <w:t xml:space="preserve"> MW of solar </w:t>
      </w:r>
      <w:r w:rsidR="0D9A3E5F" w:rsidRPr="7B3BA3A1">
        <w:rPr>
          <w:color w:val="000000" w:themeColor="text1"/>
        </w:rPr>
        <w:t>(</w:t>
      </w:r>
      <w:r w:rsidR="4102BB3B" w:rsidRPr="057D115D">
        <w:rPr>
          <w:color w:val="000000" w:themeColor="text1"/>
        </w:rPr>
        <w:t>Inyoker</w:t>
      </w:r>
      <w:r w:rsidR="70D42ED7" w:rsidRPr="057D115D">
        <w:rPr>
          <w:color w:val="000000" w:themeColor="text1"/>
        </w:rPr>
        <w:t>n</w:t>
      </w:r>
      <w:r w:rsidR="0D9A3E5F" w:rsidRPr="7B3BA3A1">
        <w:rPr>
          <w:color w:val="000000" w:themeColor="text1"/>
        </w:rPr>
        <w:t xml:space="preserve">, Carrizo, Tehachapi, </w:t>
      </w:r>
      <w:proofErr w:type="spellStart"/>
      <w:r w:rsidR="0D9A3E5F" w:rsidRPr="7B3BA3A1">
        <w:rPr>
          <w:color w:val="000000" w:themeColor="text1"/>
        </w:rPr>
        <w:t>Westlands</w:t>
      </w:r>
      <w:proofErr w:type="spellEnd"/>
      <w:r w:rsidR="0D9A3E5F" w:rsidRPr="7B3BA3A1">
        <w:rPr>
          <w:color w:val="000000" w:themeColor="text1"/>
        </w:rPr>
        <w:t xml:space="preserve">) </w:t>
      </w:r>
      <w:r w:rsidR="002332F7">
        <w:rPr>
          <w:color w:val="000000" w:themeColor="text1"/>
        </w:rPr>
        <w:t xml:space="preserve">and </w:t>
      </w:r>
      <w:r w:rsidR="14ED4B57" w:rsidRPr="7B3BA3A1">
        <w:rPr>
          <w:color w:val="000000" w:themeColor="text1"/>
        </w:rPr>
        <w:t>324</w:t>
      </w:r>
      <w:r w:rsidR="002332F7">
        <w:rPr>
          <w:color w:val="000000" w:themeColor="text1"/>
        </w:rPr>
        <w:t xml:space="preserve"> MW of wind </w:t>
      </w:r>
      <w:r w:rsidR="17AAB152" w:rsidRPr="7B3BA3A1">
        <w:rPr>
          <w:color w:val="000000" w:themeColor="text1"/>
        </w:rPr>
        <w:t xml:space="preserve">(Kern/Carrizo, </w:t>
      </w:r>
      <w:proofErr w:type="spellStart"/>
      <w:r w:rsidR="17AAB152" w:rsidRPr="7B3BA3A1">
        <w:rPr>
          <w:color w:val="000000" w:themeColor="text1"/>
        </w:rPr>
        <w:t>Norcal</w:t>
      </w:r>
      <w:proofErr w:type="spellEnd"/>
      <w:r w:rsidR="17AAB152" w:rsidRPr="7B3BA3A1">
        <w:rPr>
          <w:color w:val="000000" w:themeColor="text1"/>
        </w:rPr>
        <w:t xml:space="preserve">, Solano, </w:t>
      </w:r>
      <w:proofErr w:type="spellStart"/>
      <w:r w:rsidR="17AAB152" w:rsidRPr="7B3BA3A1">
        <w:rPr>
          <w:color w:val="000000" w:themeColor="text1"/>
        </w:rPr>
        <w:t>Wes</w:t>
      </w:r>
      <w:r w:rsidR="793657C3" w:rsidRPr="7B3BA3A1">
        <w:rPr>
          <w:color w:val="000000" w:themeColor="text1"/>
        </w:rPr>
        <w:t>tlands</w:t>
      </w:r>
      <w:proofErr w:type="spellEnd"/>
      <w:r w:rsidR="793657C3" w:rsidRPr="7B3BA3A1">
        <w:rPr>
          <w:color w:val="000000" w:themeColor="text1"/>
        </w:rPr>
        <w:t xml:space="preserve">, Baja) </w:t>
      </w:r>
      <w:r w:rsidR="002332F7">
        <w:rPr>
          <w:color w:val="000000" w:themeColor="text1"/>
        </w:rPr>
        <w:t xml:space="preserve">was </w:t>
      </w:r>
      <w:r w:rsidR="00775C6B">
        <w:rPr>
          <w:color w:val="000000" w:themeColor="text1"/>
        </w:rPr>
        <w:t>subtracted from RESOLVE-selected resource amounts</w:t>
      </w:r>
      <w:r w:rsidR="00C47464">
        <w:rPr>
          <w:color w:val="000000" w:themeColor="text1"/>
        </w:rPr>
        <w:t xml:space="preserve"> in the </w:t>
      </w:r>
      <w:r w:rsidR="00CE67B6">
        <w:rPr>
          <w:color w:val="000000" w:themeColor="text1"/>
        </w:rPr>
        <w:t>46 MMT portfolio</w:t>
      </w:r>
      <w:r w:rsidR="2E2D5F0C" w:rsidRPr="057D115D">
        <w:rPr>
          <w:color w:val="000000" w:themeColor="text1"/>
        </w:rPr>
        <w:t>.</w:t>
      </w:r>
      <w:r w:rsidR="00FF56C5">
        <w:rPr>
          <w:color w:val="000000" w:themeColor="text1"/>
        </w:rPr>
        <w:t xml:space="preserve"> </w:t>
      </w:r>
      <w:r w:rsidR="00946534">
        <w:rPr>
          <w:color w:val="000000" w:themeColor="text1"/>
        </w:rPr>
        <w:t xml:space="preserve">Whereas 300 MW of </w:t>
      </w:r>
      <w:r w:rsidR="00331A43">
        <w:rPr>
          <w:color w:val="000000" w:themeColor="text1"/>
        </w:rPr>
        <w:t xml:space="preserve">new </w:t>
      </w:r>
      <w:r w:rsidR="00946534">
        <w:rPr>
          <w:color w:val="000000" w:themeColor="text1"/>
        </w:rPr>
        <w:t>wind</w:t>
      </w:r>
      <w:r w:rsidR="00331A43">
        <w:rPr>
          <w:color w:val="000000" w:themeColor="text1"/>
        </w:rPr>
        <w:t xml:space="preserve"> contracts and </w:t>
      </w:r>
      <w:r w:rsidR="4652355B" w:rsidRPr="057D115D">
        <w:rPr>
          <w:color w:val="000000" w:themeColor="text1"/>
        </w:rPr>
        <w:t>1</w:t>
      </w:r>
      <w:r w:rsidR="339390E3" w:rsidRPr="057D115D">
        <w:rPr>
          <w:color w:val="000000" w:themeColor="text1"/>
        </w:rPr>
        <w:t>,0</w:t>
      </w:r>
      <w:r w:rsidR="7DC6C703" w:rsidRPr="057D115D">
        <w:rPr>
          <w:color w:val="000000" w:themeColor="text1"/>
        </w:rPr>
        <w:t>00</w:t>
      </w:r>
      <w:r w:rsidR="00331A43">
        <w:rPr>
          <w:color w:val="000000" w:themeColor="text1"/>
        </w:rPr>
        <w:t xml:space="preserve"> MW of new solar contracts</w:t>
      </w:r>
      <w:r w:rsidR="750B6176" w:rsidRPr="057D115D">
        <w:rPr>
          <w:color w:val="000000" w:themeColor="text1"/>
        </w:rPr>
        <w:t>,</w:t>
      </w:r>
      <w:r w:rsidR="6D6C692E" w:rsidRPr="057D115D">
        <w:rPr>
          <w:color w:val="000000" w:themeColor="text1"/>
        </w:rPr>
        <w:t xml:space="preserve"> </w:t>
      </w:r>
      <w:r w:rsidR="008A0F2B">
        <w:rPr>
          <w:color w:val="000000" w:themeColor="text1"/>
        </w:rPr>
        <w:t>plus</w:t>
      </w:r>
      <w:r w:rsidR="008A0F2B" w:rsidRPr="057D115D">
        <w:rPr>
          <w:color w:val="000000" w:themeColor="text1"/>
        </w:rPr>
        <w:t xml:space="preserve"> </w:t>
      </w:r>
      <w:r w:rsidR="000031DA">
        <w:rPr>
          <w:color w:val="000000" w:themeColor="text1"/>
        </w:rPr>
        <w:t xml:space="preserve">a further </w:t>
      </w:r>
      <w:r w:rsidR="76D6C4FF" w:rsidRPr="057D115D">
        <w:rPr>
          <w:color w:val="000000" w:themeColor="text1"/>
        </w:rPr>
        <w:t>1</w:t>
      </w:r>
      <w:r w:rsidR="5678DDC9" w:rsidRPr="057D115D">
        <w:rPr>
          <w:color w:val="000000" w:themeColor="text1"/>
        </w:rPr>
        <w:t>,</w:t>
      </w:r>
      <w:r w:rsidR="76D6C4FF" w:rsidRPr="057D115D">
        <w:rPr>
          <w:color w:val="000000" w:themeColor="text1"/>
        </w:rPr>
        <w:t xml:space="preserve">087 MW of </w:t>
      </w:r>
      <w:r w:rsidR="465FD7B2" w:rsidRPr="057D115D">
        <w:rPr>
          <w:color w:val="000000" w:themeColor="text1"/>
        </w:rPr>
        <w:t>solar contracts</w:t>
      </w:r>
      <w:r w:rsidR="00745E1E">
        <w:rPr>
          <w:color w:val="000000" w:themeColor="text1"/>
        </w:rPr>
        <w:t>,</w:t>
      </w:r>
      <w:r w:rsidR="00773F0F">
        <w:rPr>
          <w:color w:val="000000" w:themeColor="text1"/>
        </w:rPr>
        <w:t xml:space="preserve"> could not be accurately subtracted</w:t>
      </w:r>
      <w:r w:rsidR="00745E1E">
        <w:rPr>
          <w:color w:val="000000" w:themeColor="text1"/>
        </w:rPr>
        <w:t xml:space="preserve"> from the portfolio</w:t>
      </w:r>
      <w:r w:rsidR="00773F0F">
        <w:rPr>
          <w:color w:val="000000" w:themeColor="text1"/>
        </w:rPr>
        <w:t xml:space="preserve"> for the reasons described above</w:t>
      </w:r>
      <w:r w:rsidR="00B968EE">
        <w:rPr>
          <w:color w:val="000000" w:themeColor="text1"/>
        </w:rPr>
        <w:t>.</w:t>
      </w:r>
      <w:r>
        <w:rPr>
          <w:color w:val="000000" w:themeColor="text1"/>
        </w:rPr>
        <w:t xml:space="preserve"> </w:t>
      </w:r>
    </w:p>
    <w:p w14:paraId="0985DCA8" w14:textId="5A7B3DA0" w:rsidR="12411C98" w:rsidRDefault="12411C98" w:rsidP="005B6BCC">
      <w:pPr>
        <w:ind w:left="61"/>
        <w:rPr>
          <w:color w:val="000000" w:themeColor="text1"/>
        </w:rPr>
      </w:pPr>
    </w:p>
    <w:p w14:paraId="5BCE2AA4" w14:textId="026E6756" w:rsidR="001C574A" w:rsidRDefault="001C574A" w:rsidP="00242523">
      <w:pPr>
        <w:pStyle w:val="Caption"/>
        <w:keepNext/>
      </w:pPr>
      <w:bookmarkStart w:id="34" w:name="_Ref63615592"/>
      <w:bookmarkStart w:id="35" w:name="_Ref63615582"/>
      <w:r>
        <w:t xml:space="preserve">Table </w:t>
      </w:r>
      <w:r>
        <w:fldChar w:fldCharType="begin"/>
      </w:r>
      <w:r>
        <w:instrText>SEQ Table \* ARABIC</w:instrText>
      </w:r>
      <w:r>
        <w:fldChar w:fldCharType="separate"/>
      </w:r>
      <w:r w:rsidR="001D72D3">
        <w:rPr>
          <w:noProof/>
        </w:rPr>
        <w:t>2</w:t>
      </w:r>
      <w:r>
        <w:fldChar w:fldCharType="end"/>
      </w:r>
      <w:bookmarkEnd w:id="34"/>
      <w:r w:rsidR="003E569E">
        <w:t>.</w:t>
      </w:r>
      <w:r>
        <w:t xml:space="preserve"> New Baseline Resources</w:t>
      </w:r>
      <w:bookmarkEnd w:id="35"/>
    </w:p>
    <w:tbl>
      <w:tblPr>
        <w:tblStyle w:val="TableGrid"/>
        <w:tblW w:w="8821" w:type="dxa"/>
        <w:tblInd w:w="377" w:type="dxa"/>
        <w:tblLayout w:type="fixed"/>
        <w:tblLook w:val="06A0" w:firstRow="1" w:lastRow="0" w:firstColumn="1" w:lastColumn="0" w:noHBand="1" w:noVBand="1"/>
      </w:tblPr>
      <w:tblGrid>
        <w:gridCol w:w="3120"/>
        <w:gridCol w:w="3120"/>
        <w:gridCol w:w="2581"/>
      </w:tblGrid>
      <w:tr w:rsidR="12411C98" w14:paraId="12F7F112" w14:textId="77777777" w:rsidTr="3260C83D">
        <w:tc>
          <w:tcPr>
            <w:tcW w:w="3120" w:type="dxa"/>
            <w:shd w:val="clear" w:color="auto" w:fill="1F4E79" w:themeFill="accent5" w:themeFillShade="80"/>
          </w:tcPr>
          <w:p w14:paraId="007B2280" w14:textId="0B1D69C7" w:rsidR="12411C98" w:rsidRPr="00FF4910" w:rsidRDefault="55BA5386" w:rsidP="3260C83D">
            <w:pPr>
              <w:rPr>
                <w:color w:val="FFFFFF" w:themeColor="background1"/>
              </w:rPr>
            </w:pPr>
            <w:r w:rsidRPr="3260C83D">
              <w:rPr>
                <w:rFonts w:eastAsia="Calibri"/>
                <w:b/>
                <w:bCs/>
                <w:color w:val="FFFFFF" w:themeColor="background1"/>
              </w:rPr>
              <w:t>New Baseline Resources</w:t>
            </w:r>
          </w:p>
        </w:tc>
        <w:tc>
          <w:tcPr>
            <w:tcW w:w="3120" w:type="dxa"/>
            <w:shd w:val="clear" w:color="auto" w:fill="1F4E79" w:themeFill="accent5" w:themeFillShade="80"/>
          </w:tcPr>
          <w:p w14:paraId="3C6AA92C" w14:textId="57F5788D" w:rsidR="12411C98" w:rsidRPr="005B6BCC" w:rsidRDefault="12411C98" w:rsidP="12411C98">
            <w:pPr>
              <w:rPr>
                <w:rFonts w:eastAsia="Calibri"/>
                <w:b/>
                <w:bCs/>
                <w:color w:val="FFFFFF" w:themeColor="background1"/>
                <w:szCs w:val="24"/>
              </w:rPr>
            </w:pPr>
          </w:p>
        </w:tc>
        <w:tc>
          <w:tcPr>
            <w:tcW w:w="2581" w:type="dxa"/>
            <w:shd w:val="clear" w:color="auto" w:fill="1F4E79" w:themeFill="accent5" w:themeFillShade="80"/>
          </w:tcPr>
          <w:p w14:paraId="2D70567F" w14:textId="6B3CE951" w:rsidR="12411C98" w:rsidRPr="005B6BCC" w:rsidRDefault="12411C98">
            <w:pPr>
              <w:rPr>
                <w:color w:val="FFFFFF" w:themeColor="background1"/>
                <w:szCs w:val="24"/>
              </w:rPr>
            </w:pPr>
          </w:p>
        </w:tc>
      </w:tr>
      <w:tr w:rsidR="12411C98" w14:paraId="69315DF7" w14:textId="77777777" w:rsidTr="3260C83D">
        <w:tc>
          <w:tcPr>
            <w:tcW w:w="3120" w:type="dxa"/>
            <w:shd w:val="clear" w:color="auto" w:fill="1F4E79" w:themeFill="accent5" w:themeFillShade="80"/>
          </w:tcPr>
          <w:p w14:paraId="69941300" w14:textId="2AD2DA5B" w:rsidR="12411C98" w:rsidRPr="00FF4910" w:rsidRDefault="12411C98">
            <w:pPr>
              <w:rPr>
                <w:color w:val="FFFFFF" w:themeColor="background1"/>
                <w:szCs w:val="24"/>
              </w:rPr>
            </w:pPr>
            <w:r w:rsidRPr="00FF4910">
              <w:rPr>
                <w:rFonts w:eastAsia="Calibri"/>
                <w:color w:val="FFFFFF" w:themeColor="background1"/>
              </w:rPr>
              <w:t>RESOLVE Resource</w:t>
            </w:r>
          </w:p>
        </w:tc>
        <w:tc>
          <w:tcPr>
            <w:tcW w:w="3120" w:type="dxa"/>
            <w:shd w:val="clear" w:color="auto" w:fill="1F4E79" w:themeFill="accent5" w:themeFillShade="80"/>
          </w:tcPr>
          <w:p w14:paraId="5F78DBEA" w14:textId="538F22ED" w:rsidR="67A35BA2" w:rsidRPr="005B6BCC" w:rsidRDefault="1C0D901E">
            <w:pPr>
              <w:rPr>
                <w:color w:val="FFFFFF" w:themeColor="background1"/>
                <w:szCs w:val="24"/>
              </w:rPr>
            </w:pPr>
            <w:r w:rsidRPr="005B6BCC">
              <w:rPr>
                <w:rFonts w:eastAsia="Calibri"/>
                <w:b/>
                <w:bCs/>
                <w:color w:val="FFFFFF" w:themeColor="background1"/>
              </w:rPr>
              <w:t>Transmission Zone</w:t>
            </w:r>
          </w:p>
        </w:tc>
        <w:tc>
          <w:tcPr>
            <w:tcW w:w="2581" w:type="dxa"/>
            <w:shd w:val="clear" w:color="auto" w:fill="1F4E79" w:themeFill="accent5" w:themeFillShade="80"/>
          </w:tcPr>
          <w:p w14:paraId="678766FF" w14:textId="554B9A25" w:rsidR="12411C98" w:rsidRPr="005B6BCC" w:rsidRDefault="0AC4C971" w:rsidP="099CA948">
            <w:pPr>
              <w:rPr>
                <w:color w:val="FFFFFF" w:themeColor="background1"/>
              </w:rPr>
            </w:pPr>
            <w:r w:rsidRPr="099CA948">
              <w:rPr>
                <w:rFonts w:eastAsia="Calibri"/>
                <w:color w:val="FFFFFF" w:themeColor="background1"/>
              </w:rPr>
              <w:t xml:space="preserve">New </w:t>
            </w:r>
            <w:proofErr w:type="gramStart"/>
            <w:r w:rsidRPr="099CA948">
              <w:rPr>
                <w:rFonts w:eastAsia="Calibri"/>
                <w:color w:val="FFFFFF" w:themeColor="background1"/>
              </w:rPr>
              <w:t xml:space="preserve">contracts </w:t>
            </w:r>
            <w:r w:rsidR="17F52050" w:rsidRPr="099CA948">
              <w:rPr>
                <w:rFonts w:eastAsia="Calibri"/>
                <w:color w:val="FFFFFF" w:themeColor="background1"/>
              </w:rPr>
              <w:t xml:space="preserve"> (</w:t>
            </w:r>
            <w:proofErr w:type="gramEnd"/>
            <w:r w:rsidR="17F52050" w:rsidRPr="099CA948">
              <w:rPr>
                <w:rFonts w:eastAsia="Calibri"/>
                <w:color w:val="FFFFFF" w:themeColor="background1"/>
              </w:rPr>
              <w:t>MW)</w:t>
            </w:r>
          </w:p>
        </w:tc>
      </w:tr>
      <w:tr w:rsidR="12411C98" w14:paraId="01D8C95A" w14:textId="77777777" w:rsidTr="3260C83D">
        <w:tc>
          <w:tcPr>
            <w:tcW w:w="3120" w:type="dxa"/>
          </w:tcPr>
          <w:p w14:paraId="08E1037B" w14:textId="5BCBBE1E" w:rsidR="12411C98" w:rsidRPr="003A6F79" w:rsidRDefault="12411C98">
            <w:pPr>
              <w:rPr>
                <w:szCs w:val="24"/>
              </w:rPr>
            </w:pPr>
            <w:proofErr w:type="spellStart"/>
            <w:r w:rsidRPr="003A6F79">
              <w:rPr>
                <w:rFonts w:eastAsia="Calibri"/>
                <w:color w:val="000000" w:themeColor="text1"/>
                <w:szCs w:val="24"/>
              </w:rPr>
              <w:t>Arizona_Wind</w:t>
            </w:r>
            <w:proofErr w:type="spellEnd"/>
          </w:p>
        </w:tc>
        <w:tc>
          <w:tcPr>
            <w:tcW w:w="3120" w:type="dxa"/>
          </w:tcPr>
          <w:p w14:paraId="235E6C61" w14:textId="0B9693CE" w:rsidR="12411C98" w:rsidRPr="003A6F79" w:rsidRDefault="12411C98">
            <w:pPr>
              <w:rPr>
                <w:szCs w:val="24"/>
              </w:rPr>
            </w:pPr>
            <w:r w:rsidRPr="003A6F79">
              <w:rPr>
                <w:rFonts w:eastAsia="Calibri"/>
                <w:color w:val="000000" w:themeColor="text1"/>
                <w:szCs w:val="24"/>
              </w:rPr>
              <w:t>N/A</w:t>
            </w:r>
          </w:p>
        </w:tc>
        <w:tc>
          <w:tcPr>
            <w:tcW w:w="2581" w:type="dxa"/>
          </w:tcPr>
          <w:p w14:paraId="11C4F9E3" w14:textId="063FC609" w:rsidR="12411C98" w:rsidRPr="003A6F79" w:rsidRDefault="12411C98" w:rsidP="00A24A87">
            <w:pPr>
              <w:jc w:val="right"/>
              <w:rPr>
                <w:szCs w:val="24"/>
              </w:rPr>
            </w:pPr>
            <w:r w:rsidRPr="003A6F79">
              <w:rPr>
                <w:rFonts w:eastAsia="Calibri"/>
                <w:color w:val="000000" w:themeColor="text1"/>
                <w:szCs w:val="24"/>
              </w:rPr>
              <w:t>300</w:t>
            </w:r>
          </w:p>
        </w:tc>
      </w:tr>
      <w:tr w:rsidR="12411C98" w14:paraId="48833C1A" w14:textId="77777777" w:rsidTr="3260C83D">
        <w:tc>
          <w:tcPr>
            <w:tcW w:w="3120" w:type="dxa"/>
          </w:tcPr>
          <w:p w14:paraId="638653BB" w14:textId="2CF9DE5D" w:rsidR="12411C98" w:rsidRPr="003A6F79" w:rsidRDefault="12411C98">
            <w:pPr>
              <w:rPr>
                <w:szCs w:val="24"/>
              </w:rPr>
            </w:pPr>
            <w:proofErr w:type="spellStart"/>
            <w:r w:rsidRPr="003A6F79">
              <w:rPr>
                <w:rFonts w:eastAsia="Calibri"/>
                <w:color w:val="000000" w:themeColor="text1"/>
                <w:szCs w:val="24"/>
              </w:rPr>
              <w:t>Baja_California_Wind</w:t>
            </w:r>
            <w:proofErr w:type="spellEnd"/>
          </w:p>
        </w:tc>
        <w:tc>
          <w:tcPr>
            <w:tcW w:w="3120" w:type="dxa"/>
          </w:tcPr>
          <w:p w14:paraId="4B58F825" w14:textId="3DCA0A04" w:rsidR="12411C98" w:rsidRPr="003A6F79" w:rsidRDefault="12411C98">
            <w:pPr>
              <w:rPr>
                <w:szCs w:val="24"/>
              </w:rPr>
            </w:pPr>
            <w:r w:rsidRPr="003A6F79">
              <w:rPr>
                <w:rFonts w:eastAsia="Calibri"/>
                <w:color w:val="000000" w:themeColor="text1"/>
                <w:szCs w:val="24"/>
              </w:rPr>
              <w:t>SCADSNV_Z3_GreaterImperial</w:t>
            </w:r>
          </w:p>
        </w:tc>
        <w:tc>
          <w:tcPr>
            <w:tcW w:w="2581" w:type="dxa"/>
          </w:tcPr>
          <w:p w14:paraId="241D156D" w14:textId="26792723" w:rsidR="12411C98" w:rsidRPr="003A6F79" w:rsidRDefault="12411C98" w:rsidP="00A24A87">
            <w:pPr>
              <w:jc w:val="right"/>
              <w:rPr>
                <w:szCs w:val="24"/>
              </w:rPr>
            </w:pPr>
            <w:r w:rsidRPr="003A6F79">
              <w:rPr>
                <w:rFonts w:eastAsia="Calibri"/>
                <w:color w:val="000000" w:themeColor="text1"/>
                <w:szCs w:val="24"/>
              </w:rPr>
              <w:t>105</w:t>
            </w:r>
          </w:p>
        </w:tc>
      </w:tr>
      <w:tr w:rsidR="12411C98" w14:paraId="278EBCDE" w14:textId="77777777" w:rsidTr="3260C83D">
        <w:tc>
          <w:tcPr>
            <w:tcW w:w="3120" w:type="dxa"/>
          </w:tcPr>
          <w:p w14:paraId="40B88B7A" w14:textId="6ACC72A5" w:rsidR="12411C98" w:rsidRPr="003A6F79" w:rsidRDefault="12411C98">
            <w:pPr>
              <w:rPr>
                <w:szCs w:val="24"/>
              </w:rPr>
            </w:pPr>
            <w:proofErr w:type="spellStart"/>
            <w:r w:rsidRPr="003A6F79">
              <w:rPr>
                <w:rFonts w:eastAsia="Calibri"/>
                <w:color w:val="000000" w:themeColor="text1"/>
                <w:szCs w:val="24"/>
              </w:rPr>
              <w:t>Central_Valley_North_Los_Banos_Solar</w:t>
            </w:r>
            <w:proofErr w:type="spellEnd"/>
          </w:p>
        </w:tc>
        <w:tc>
          <w:tcPr>
            <w:tcW w:w="3120" w:type="dxa"/>
          </w:tcPr>
          <w:p w14:paraId="079C0C75" w14:textId="6B54444A" w:rsidR="12411C98" w:rsidRPr="003A6F79" w:rsidRDefault="12411C98">
            <w:pPr>
              <w:rPr>
                <w:szCs w:val="24"/>
              </w:rPr>
            </w:pPr>
            <w:r w:rsidRPr="003A6F79">
              <w:rPr>
                <w:rFonts w:eastAsia="Calibri"/>
                <w:color w:val="000000" w:themeColor="text1"/>
                <w:szCs w:val="24"/>
              </w:rPr>
              <w:t>SPGE_Z4_CentralValleyAndLosBanos</w:t>
            </w:r>
          </w:p>
        </w:tc>
        <w:tc>
          <w:tcPr>
            <w:tcW w:w="2581" w:type="dxa"/>
          </w:tcPr>
          <w:p w14:paraId="342D0BDE" w14:textId="06BB409D" w:rsidR="12411C98" w:rsidRPr="003A6F79" w:rsidRDefault="12411C98" w:rsidP="00A24A87">
            <w:pPr>
              <w:jc w:val="right"/>
              <w:rPr>
                <w:szCs w:val="24"/>
              </w:rPr>
            </w:pPr>
            <w:r w:rsidRPr="003A6F79">
              <w:rPr>
                <w:rFonts w:eastAsia="Calibri"/>
                <w:color w:val="000000" w:themeColor="text1"/>
                <w:szCs w:val="24"/>
              </w:rPr>
              <w:t>180</w:t>
            </w:r>
          </w:p>
        </w:tc>
      </w:tr>
      <w:tr w:rsidR="12411C98" w14:paraId="7A9C6C2B" w14:textId="77777777" w:rsidTr="3260C83D">
        <w:tc>
          <w:tcPr>
            <w:tcW w:w="3120" w:type="dxa"/>
          </w:tcPr>
          <w:p w14:paraId="34CAB82A" w14:textId="1A52352A" w:rsidR="12411C98" w:rsidRPr="003A6F79" w:rsidRDefault="12411C98">
            <w:pPr>
              <w:rPr>
                <w:szCs w:val="24"/>
              </w:rPr>
            </w:pPr>
            <w:proofErr w:type="spellStart"/>
            <w:r w:rsidRPr="003A6F79">
              <w:rPr>
                <w:rFonts w:eastAsia="Calibri"/>
                <w:color w:val="000000" w:themeColor="text1"/>
                <w:szCs w:val="24"/>
              </w:rPr>
              <w:t>Humboldt_Solar</w:t>
            </w:r>
            <w:proofErr w:type="spellEnd"/>
          </w:p>
        </w:tc>
        <w:tc>
          <w:tcPr>
            <w:tcW w:w="3120" w:type="dxa"/>
          </w:tcPr>
          <w:p w14:paraId="6C97B11A" w14:textId="2A1E2084" w:rsidR="12411C98" w:rsidRPr="003A6F79" w:rsidRDefault="12411C98">
            <w:pPr>
              <w:rPr>
                <w:szCs w:val="24"/>
              </w:rPr>
            </w:pPr>
            <w:r w:rsidRPr="003A6F79">
              <w:rPr>
                <w:rFonts w:eastAsia="Calibri"/>
                <w:color w:val="000000" w:themeColor="text1"/>
                <w:szCs w:val="24"/>
              </w:rPr>
              <w:t>N/A</w:t>
            </w:r>
          </w:p>
        </w:tc>
        <w:tc>
          <w:tcPr>
            <w:tcW w:w="2581" w:type="dxa"/>
          </w:tcPr>
          <w:p w14:paraId="5D528A2D" w14:textId="16C3749B" w:rsidR="12411C98" w:rsidRPr="003A6F79" w:rsidRDefault="12411C98" w:rsidP="00A24A87">
            <w:pPr>
              <w:jc w:val="right"/>
              <w:rPr>
                <w:szCs w:val="24"/>
              </w:rPr>
            </w:pPr>
            <w:r w:rsidRPr="003A6F79">
              <w:rPr>
                <w:rFonts w:eastAsia="Calibri"/>
                <w:color w:val="000000" w:themeColor="text1"/>
                <w:szCs w:val="24"/>
              </w:rPr>
              <w:t>2</w:t>
            </w:r>
          </w:p>
        </w:tc>
      </w:tr>
      <w:tr w:rsidR="12411C98" w14:paraId="247A7DF3" w14:textId="77777777" w:rsidTr="3260C83D">
        <w:tc>
          <w:tcPr>
            <w:tcW w:w="3120" w:type="dxa"/>
          </w:tcPr>
          <w:p w14:paraId="6F98CE75" w14:textId="45F7257C" w:rsidR="12411C98" w:rsidRPr="003A6F79" w:rsidRDefault="12411C98">
            <w:pPr>
              <w:rPr>
                <w:szCs w:val="24"/>
              </w:rPr>
            </w:pPr>
            <w:proofErr w:type="spellStart"/>
            <w:r w:rsidRPr="003A6F79">
              <w:rPr>
                <w:rFonts w:eastAsia="Calibri"/>
                <w:color w:val="000000" w:themeColor="text1"/>
                <w:szCs w:val="24"/>
              </w:rPr>
              <w:t>Inyokern_North_Kramer_Solar</w:t>
            </w:r>
            <w:proofErr w:type="spellEnd"/>
          </w:p>
        </w:tc>
        <w:tc>
          <w:tcPr>
            <w:tcW w:w="3120" w:type="dxa"/>
          </w:tcPr>
          <w:p w14:paraId="037797D9" w14:textId="0B3BE0BC" w:rsidR="12411C98" w:rsidRPr="003A6F79" w:rsidRDefault="12411C98">
            <w:pPr>
              <w:rPr>
                <w:szCs w:val="24"/>
              </w:rPr>
            </w:pPr>
            <w:r w:rsidRPr="003A6F79">
              <w:rPr>
                <w:rFonts w:eastAsia="Calibri"/>
                <w:color w:val="000000" w:themeColor="text1"/>
                <w:szCs w:val="24"/>
              </w:rPr>
              <w:t>GK_Z2_InyokernAndNorthOfKramer</w:t>
            </w:r>
          </w:p>
        </w:tc>
        <w:tc>
          <w:tcPr>
            <w:tcW w:w="2581" w:type="dxa"/>
          </w:tcPr>
          <w:p w14:paraId="642CEF21" w14:textId="178D16A5" w:rsidR="12411C98" w:rsidRPr="003A6F79" w:rsidRDefault="49B43426" w:rsidP="00A24A87">
            <w:pPr>
              <w:jc w:val="right"/>
              <w:rPr>
                <w:rFonts w:eastAsia="Calibri"/>
                <w:color w:val="000000" w:themeColor="text1"/>
              </w:rPr>
            </w:pPr>
            <w:r w:rsidRPr="099CA948">
              <w:rPr>
                <w:rFonts w:eastAsia="Calibri"/>
                <w:color w:val="000000" w:themeColor="text1"/>
              </w:rPr>
              <w:t>100</w:t>
            </w:r>
          </w:p>
        </w:tc>
      </w:tr>
      <w:tr w:rsidR="12411C98" w14:paraId="56448111" w14:textId="77777777" w:rsidTr="3260C83D">
        <w:tc>
          <w:tcPr>
            <w:tcW w:w="3120" w:type="dxa"/>
          </w:tcPr>
          <w:p w14:paraId="0C332EB1" w14:textId="493AEB3A" w:rsidR="12411C98" w:rsidRPr="003A6F79" w:rsidRDefault="12411C98">
            <w:pPr>
              <w:rPr>
                <w:szCs w:val="24"/>
              </w:rPr>
            </w:pPr>
            <w:proofErr w:type="spellStart"/>
            <w:r w:rsidRPr="003A6F79">
              <w:rPr>
                <w:rFonts w:eastAsia="Calibri"/>
                <w:color w:val="000000" w:themeColor="text1"/>
                <w:szCs w:val="24"/>
              </w:rPr>
              <w:t>Kern_Greater_Carrizo_Solar</w:t>
            </w:r>
            <w:proofErr w:type="spellEnd"/>
          </w:p>
        </w:tc>
        <w:tc>
          <w:tcPr>
            <w:tcW w:w="3120" w:type="dxa"/>
          </w:tcPr>
          <w:p w14:paraId="0F9C6BBE" w14:textId="2C98056D" w:rsidR="12411C98" w:rsidRPr="003A6F79" w:rsidRDefault="12411C98">
            <w:pPr>
              <w:rPr>
                <w:szCs w:val="24"/>
              </w:rPr>
            </w:pPr>
            <w:r w:rsidRPr="003A6F79">
              <w:rPr>
                <w:rFonts w:eastAsia="Calibri"/>
                <w:color w:val="000000" w:themeColor="text1"/>
                <w:szCs w:val="24"/>
              </w:rPr>
              <w:t>SPGE_Z2_KernAndGreaterCarrizo</w:t>
            </w:r>
          </w:p>
        </w:tc>
        <w:tc>
          <w:tcPr>
            <w:tcW w:w="2581" w:type="dxa"/>
          </w:tcPr>
          <w:p w14:paraId="20D93A58" w14:textId="1AAA8053" w:rsidR="12411C98" w:rsidRPr="003A6F79" w:rsidRDefault="12411C98" w:rsidP="00A24A87">
            <w:pPr>
              <w:jc w:val="right"/>
              <w:rPr>
                <w:szCs w:val="24"/>
              </w:rPr>
            </w:pPr>
            <w:r w:rsidRPr="003A6F79">
              <w:rPr>
                <w:rFonts w:eastAsia="Calibri"/>
                <w:color w:val="000000" w:themeColor="text1"/>
                <w:szCs w:val="24"/>
              </w:rPr>
              <w:t>33</w:t>
            </w:r>
            <w:r w:rsidR="00D254A0">
              <w:rPr>
                <w:rFonts w:eastAsia="Calibri"/>
                <w:color w:val="000000" w:themeColor="text1"/>
                <w:szCs w:val="24"/>
              </w:rPr>
              <w:t>6</w:t>
            </w:r>
          </w:p>
        </w:tc>
      </w:tr>
      <w:tr w:rsidR="12411C98" w14:paraId="2BF7F3B4" w14:textId="77777777" w:rsidTr="3260C83D">
        <w:tc>
          <w:tcPr>
            <w:tcW w:w="3120" w:type="dxa"/>
          </w:tcPr>
          <w:p w14:paraId="5A1A05ED" w14:textId="66700C50" w:rsidR="12411C98" w:rsidRPr="003A6F79" w:rsidRDefault="12411C98">
            <w:pPr>
              <w:rPr>
                <w:szCs w:val="24"/>
              </w:rPr>
            </w:pPr>
            <w:proofErr w:type="spellStart"/>
            <w:r w:rsidRPr="003A6F79">
              <w:rPr>
                <w:rFonts w:eastAsia="Calibri"/>
                <w:color w:val="000000" w:themeColor="text1"/>
                <w:szCs w:val="24"/>
              </w:rPr>
              <w:t>Kern_Greater_Carrizo_Wind</w:t>
            </w:r>
            <w:proofErr w:type="spellEnd"/>
          </w:p>
        </w:tc>
        <w:tc>
          <w:tcPr>
            <w:tcW w:w="3120" w:type="dxa"/>
          </w:tcPr>
          <w:p w14:paraId="69C90C21" w14:textId="5C4BDDC8" w:rsidR="12411C98" w:rsidRPr="003A6F79" w:rsidRDefault="12411C98">
            <w:pPr>
              <w:rPr>
                <w:szCs w:val="24"/>
              </w:rPr>
            </w:pPr>
            <w:r w:rsidRPr="003A6F79">
              <w:rPr>
                <w:rFonts w:eastAsia="Calibri"/>
                <w:color w:val="000000" w:themeColor="text1"/>
                <w:szCs w:val="24"/>
              </w:rPr>
              <w:t>SPGE_Z2_KernAndGreaterCarrizo</w:t>
            </w:r>
          </w:p>
        </w:tc>
        <w:tc>
          <w:tcPr>
            <w:tcW w:w="2581" w:type="dxa"/>
          </w:tcPr>
          <w:p w14:paraId="419F2577" w14:textId="0015F663" w:rsidR="12411C98" w:rsidRPr="003A6F79" w:rsidRDefault="12411C98" w:rsidP="00A24A87">
            <w:pPr>
              <w:jc w:val="right"/>
              <w:rPr>
                <w:szCs w:val="24"/>
              </w:rPr>
            </w:pPr>
            <w:r w:rsidRPr="003A6F79">
              <w:rPr>
                <w:rFonts w:eastAsia="Calibri"/>
                <w:color w:val="000000" w:themeColor="text1"/>
                <w:szCs w:val="24"/>
              </w:rPr>
              <w:t>40</w:t>
            </w:r>
          </w:p>
        </w:tc>
      </w:tr>
      <w:tr w:rsidR="12411C98" w14:paraId="3BF7078D" w14:textId="77777777" w:rsidTr="3260C83D">
        <w:tc>
          <w:tcPr>
            <w:tcW w:w="3120" w:type="dxa"/>
          </w:tcPr>
          <w:p w14:paraId="2DFC92CF" w14:textId="50646E2E" w:rsidR="12411C98" w:rsidRPr="003A6F79" w:rsidRDefault="12411C98">
            <w:pPr>
              <w:rPr>
                <w:szCs w:val="24"/>
              </w:rPr>
            </w:pPr>
            <w:proofErr w:type="spellStart"/>
            <w:r w:rsidRPr="003A6F79">
              <w:rPr>
                <w:rFonts w:eastAsia="Calibri"/>
                <w:color w:val="000000" w:themeColor="text1"/>
                <w:szCs w:val="24"/>
              </w:rPr>
              <w:t>Kramer_Inyokern_Ex_Solar</w:t>
            </w:r>
            <w:proofErr w:type="spellEnd"/>
          </w:p>
        </w:tc>
        <w:tc>
          <w:tcPr>
            <w:tcW w:w="3120" w:type="dxa"/>
          </w:tcPr>
          <w:p w14:paraId="299C853A" w14:textId="2361C2E2" w:rsidR="12411C98" w:rsidRPr="003A6F79" w:rsidRDefault="12411C98">
            <w:pPr>
              <w:rPr>
                <w:szCs w:val="24"/>
              </w:rPr>
            </w:pPr>
            <w:proofErr w:type="spellStart"/>
            <w:r w:rsidRPr="003A6F79">
              <w:rPr>
                <w:rFonts w:eastAsia="Calibri"/>
                <w:color w:val="000000" w:themeColor="text1"/>
                <w:szCs w:val="24"/>
              </w:rPr>
              <w:t>KramerInyoOutsideTxConstraintZones</w:t>
            </w:r>
            <w:proofErr w:type="spellEnd"/>
          </w:p>
        </w:tc>
        <w:tc>
          <w:tcPr>
            <w:tcW w:w="2581" w:type="dxa"/>
          </w:tcPr>
          <w:p w14:paraId="0B19200A" w14:textId="288107E8" w:rsidR="12411C98" w:rsidRPr="003A6F79" w:rsidRDefault="12411C98" w:rsidP="00A24A87">
            <w:pPr>
              <w:jc w:val="right"/>
              <w:rPr>
                <w:szCs w:val="24"/>
              </w:rPr>
            </w:pPr>
            <w:r w:rsidRPr="003A6F79">
              <w:rPr>
                <w:rFonts w:eastAsia="Calibri"/>
                <w:color w:val="000000" w:themeColor="text1"/>
                <w:szCs w:val="24"/>
              </w:rPr>
              <w:t>162</w:t>
            </w:r>
          </w:p>
        </w:tc>
      </w:tr>
      <w:tr w:rsidR="12411C98" w14:paraId="10D86D02" w14:textId="77777777" w:rsidTr="3260C83D">
        <w:tc>
          <w:tcPr>
            <w:tcW w:w="3120" w:type="dxa"/>
          </w:tcPr>
          <w:p w14:paraId="363EB4D2" w14:textId="57595D28" w:rsidR="12411C98" w:rsidRPr="003A6F79" w:rsidRDefault="12411C98">
            <w:pPr>
              <w:rPr>
                <w:szCs w:val="24"/>
              </w:rPr>
            </w:pPr>
            <w:proofErr w:type="spellStart"/>
            <w:r w:rsidRPr="003A6F79">
              <w:rPr>
                <w:rFonts w:eastAsia="Calibri"/>
                <w:color w:val="000000" w:themeColor="text1"/>
                <w:szCs w:val="24"/>
              </w:rPr>
              <w:t>Northern_California_Ex_Wind</w:t>
            </w:r>
            <w:proofErr w:type="spellEnd"/>
          </w:p>
        </w:tc>
        <w:tc>
          <w:tcPr>
            <w:tcW w:w="3120" w:type="dxa"/>
          </w:tcPr>
          <w:p w14:paraId="2F579CBF" w14:textId="72DC4F2A" w:rsidR="12411C98" w:rsidRPr="003A6F79" w:rsidRDefault="12411C98">
            <w:pPr>
              <w:rPr>
                <w:szCs w:val="24"/>
              </w:rPr>
            </w:pPr>
            <w:r w:rsidRPr="003A6F79">
              <w:rPr>
                <w:rFonts w:eastAsia="Calibri"/>
                <w:color w:val="000000" w:themeColor="text1"/>
                <w:szCs w:val="24"/>
              </w:rPr>
              <w:t>Norcal_Z3_SacramentoRiver</w:t>
            </w:r>
          </w:p>
        </w:tc>
        <w:tc>
          <w:tcPr>
            <w:tcW w:w="2581" w:type="dxa"/>
          </w:tcPr>
          <w:p w14:paraId="3F7263D3" w14:textId="0995455C" w:rsidR="12411C98" w:rsidRPr="003A6F79" w:rsidRDefault="12411C98" w:rsidP="00A24A87">
            <w:pPr>
              <w:jc w:val="right"/>
              <w:rPr>
                <w:szCs w:val="24"/>
              </w:rPr>
            </w:pPr>
            <w:r w:rsidRPr="003A6F79">
              <w:rPr>
                <w:rFonts w:eastAsia="Calibri"/>
                <w:color w:val="000000" w:themeColor="text1"/>
                <w:szCs w:val="24"/>
              </w:rPr>
              <w:t>99</w:t>
            </w:r>
          </w:p>
        </w:tc>
      </w:tr>
      <w:tr w:rsidR="12411C98" w14:paraId="44FE6FE0" w14:textId="77777777" w:rsidTr="3260C83D">
        <w:tc>
          <w:tcPr>
            <w:tcW w:w="3120" w:type="dxa"/>
          </w:tcPr>
          <w:p w14:paraId="2DE0AF91" w14:textId="55A15D74" w:rsidR="12411C98" w:rsidRPr="003A6F79" w:rsidRDefault="12411C98">
            <w:pPr>
              <w:rPr>
                <w:szCs w:val="24"/>
              </w:rPr>
            </w:pPr>
            <w:proofErr w:type="spellStart"/>
            <w:r w:rsidRPr="003A6F79">
              <w:rPr>
                <w:rFonts w:eastAsia="Calibri"/>
                <w:color w:val="000000" w:themeColor="text1"/>
                <w:szCs w:val="24"/>
              </w:rPr>
              <w:lastRenderedPageBreak/>
              <w:t>Riverside_Palm_Springs_Solar</w:t>
            </w:r>
            <w:proofErr w:type="spellEnd"/>
          </w:p>
        </w:tc>
        <w:tc>
          <w:tcPr>
            <w:tcW w:w="3120" w:type="dxa"/>
          </w:tcPr>
          <w:p w14:paraId="6FF85C32" w14:textId="2D376721" w:rsidR="12411C98" w:rsidRPr="003A6F79" w:rsidRDefault="12411C98">
            <w:pPr>
              <w:rPr>
                <w:szCs w:val="24"/>
              </w:rPr>
            </w:pPr>
            <w:r w:rsidRPr="003A6F79">
              <w:rPr>
                <w:rFonts w:eastAsia="Calibri"/>
                <w:color w:val="000000" w:themeColor="text1"/>
                <w:szCs w:val="24"/>
              </w:rPr>
              <w:t>SCADSNV_Z4_RiversideAndPalmSprings</w:t>
            </w:r>
          </w:p>
        </w:tc>
        <w:tc>
          <w:tcPr>
            <w:tcW w:w="2581" w:type="dxa"/>
          </w:tcPr>
          <w:p w14:paraId="46D2F221" w14:textId="1A09B577" w:rsidR="12411C98" w:rsidRPr="003A6F79" w:rsidRDefault="0AC4C971" w:rsidP="00A24A87">
            <w:pPr>
              <w:jc w:val="right"/>
              <w:rPr>
                <w:szCs w:val="24"/>
              </w:rPr>
            </w:pPr>
            <w:r w:rsidRPr="099CA948">
              <w:rPr>
                <w:rFonts w:eastAsia="Calibri"/>
                <w:color w:val="000000" w:themeColor="text1"/>
              </w:rPr>
              <w:t>54</w:t>
            </w:r>
            <w:r w:rsidR="70F665FC" w:rsidRPr="099CA948">
              <w:rPr>
                <w:rFonts w:eastAsia="Calibri"/>
                <w:color w:val="000000" w:themeColor="text1"/>
              </w:rPr>
              <w:t>6</w:t>
            </w:r>
          </w:p>
        </w:tc>
      </w:tr>
      <w:tr w:rsidR="12411C98" w14:paraId="3843B3D9" w14:textId="77777777" w:rsidTr="3260C83D">
        <w:tc>
          <w:tcPr>
            <w:tcW w:w="3120" w:type="dxa"/>
          </w:tcPr>
          <w:p w14:paraId="05278866" w14:textId="0ADFC7B8" w:rsidR="12411C98" w:rsidRPr="003A6F79" w:rsidRDefault="12411C98">
            <w:pPr>
              <w:rPr>
                <w:szCs w:val="24"/>
              </w:rPr>
            </w:pPr>
            <w:proofErr w:type="spellStart"/>
            <w:r w:rsidRPr="003A6F79">
              <w:rPr>
                <w:rFonts w:eastAsia="Calibri"/>
                <w:color w:val="000000" w:themeColor="text1"/>
                <w:szCs w:val="24"/>
              </w:rPr>
              <w:t>Solano_Wind</w:t>
            </w:r>
            <w:proofErr w:type="spellEnd"/>
          </w:p>
        </w:tc>
        <w:tc>
          <w:tcPr>
            <w:tcW w:w="3120" w:type="dxa"/>
          </w:tcPr>
          <w:p w14:paraId="776CC0FF" w14:textId="33B0C4DF" w:rsidR="12411C98" w:rsidRPr="003A6F79" w:rsidRDefault="12411C98">
            <w:pPr>
              <w:rPr>
                <w:szCs w:val="24"/>
              </w:rPr>
            </w:pPr>
            <w:r w:rsidRPr="003A6F79">
              <w:rPr>
                <w:rFonts w:eastAsia="Calibri"/>
                <w:color w:val="000000" w:themeColor="text1"/>
                <w:szCs w:val="24"/>
              </w:rPr>
              <w:t>Norcal_Z4_Solano</w:t>
            </w:r>
          </w:p>
        </w:tc>
        <w:tc>
          <w:tcPr>
            <w:tcW w:w="2581" w:type="dxa"/>
          </w:tcPr>
          <w:p w14:paraId="6D04BA21" w14:textId="3452A266" w:rsidR="12411C98" w:rsidRPr="003A6F79" w:rsidRDefault="12411C98" w:rsidP="00A24A87">
            <w:pPr>
              <w:jc w:val="right"/>
              <w:rPr>
                <w:szCs w:val="24"/>
              </w:rPr>
            </w:pPr>
            <w:r w:rsidRPr="003A6F79">
              <w:rPr>
                <w:rFonts w:eastAsia="Calibri"/>
                <w:color w:val="000000" w:themeColor="text1"/>
                <w:szCs w:val="24"/>
              </w:rPr>
              <w:t>80</w:t>
            </w:r>
          </w:p>
        </w:tc>
      </w:tr>
      <w:tr w:rsidR="12411C98" w14:paraId="791FCA0B" w14:textId="77777777" w:rsidTr="3260C83D">
        <w:tc>
          <w:tcPr>
            <w:tcW w:w="3120" w:type="dxa"/>
          </w:tcPr>
          <w:p w14:paraId="6E4FE01F" w14:textId="7C59B690" w:rsidR="12411C98" w:rsidRPr="003A6F79" w:rsidRDefault="12411C98">
            <w:pPr>
              <w:rPr>
                <w:szCs w:val="24"/>
              </w:rPr>
            </w:pPr>
            <w:proofErr w:type="spellStart"/>
            <w:r w:rsidRPr="003A6F79">
              <w:rPr>
                <w:rFonts w:eastAsia="Calibri"/>
                <w:color w:val="000000" w:themeColor="text1"/>
                <w:szCs w:val="24"/>
              </w:rPr>
              <w:t>Southern_Nevada_Solar</w:t>
            </w:r>
            <w:proofErr w:type="spellEnd"/>
          </w:p>
        </w:tc>
        <w:tc>
          <w:tcPr>
            <w:tcW w:w="3120" w:type="dxa"/>
          </w:tcPr>
          <w:p w14:paraId="3463947C" w14:textId="381C2252" w:rsidR="12411C98" w:rsidRPr="003A6F79" w:rsidRDefault="12411C98">
            <w:pPr>
              <w:rPr>
                <w:szCs w:val="24"/>
              </w:rPr>
            </w:pPr>
            <w:r w:rsidRPr="003A6F79">
              <w:rPr>
                <w:rFonts w:eastAsia="Calibri"/>
                <w:color w:val="000000" w:themeColor="text1"/>
                <w:szCs w:val="24"/>
              </w:rPr>
              <w:t>SCADSNV_Z2_GLW_VEA</w:t>
            </w:r>
          </w:p>
        </w:tc>
        <w:tc>
          <w:tcPr>
            <w:tcW w:w="2581" w:type="dxa"/>
          </w:tcPr>
          <w:p w14:paraId="569CD54E" w14:textId="2DD6EB33" w:rsidR="12411C98" w:rsidRPr="003A6F79" w:rsidRDefault="12411C98" w:rsidP="00A24A87">
            <w:pPr>
              <w:jc w:val="right"/>
              <w:rPr>
                <w:szCs w:val="24"/>
              </w:rPr>
            </w:pPr>
            <w:r w:rsidRPr="003A6F79">
              <w:rPr>
                <w:rFonts w:eastAsia="Calibri"/>
                <w:color w:val="000000" w:themeColor="text1"/>
                <w:szCs w:val="24"/>
              </w:rPr>
              <w:t>76</w:t>
            </w:r>
          </w:p>
        </w:tc>
      </w:tr>
      <w:tr w:rsidR="12411C98" w14:paraId="00810B84" w14:textId="77777777" w:rsidTr="3260C83D">
        <w:tc>
          <w:tcPr>
            <w:tcW w:w="3120" w:type="dxa"/>
          </w:tcPr>
          <w:p w14:paraId="0FD3ED51" w14:textId="1288D881" w:rsidR="12411C98" w:rsidRPr="003A6F79" w:rsidRDefault="12411C98">
            <w:pPr>
              <w:rPr>
                <w:szCs w:val="24"/>
              </w:rPr>
            </w:pPr>
            <w:proofErr w:type="spellStart"/>
            <w:r w:rsidRPr="003A6F79">
              <w:rPr>
                <w:rFonts w:eastAsia="Calibri"/>
                <w:color w:val="000000" w:themeColor="text1"/>
                <w:szCs w:val="24"/>
              </w:rPr>
              <w:t>Tehachapi_Solar</w:t>
            </w:r>
            <w:proofErr w:type="spellEnd"/>
          </w:p>
        </w:tc>
        <w:tc>
          <w:tcPr>
            <w:tcW w:w="3120" w:type="dxa"/>
          </w:tcPr>
          <w:p w14:paraId="489AE338" w14:textId="2AD67B7D" w:rsidR="12411C98" w:rsidRPr="003A6F79" w:rsidRDefault="12411C98">
            <w:pPr>
              <w:rPr>
                <w:szCs w:val="24"/>
              </w:rPr>
            </w:pPr>
            <w:r w:rsidRPr="003A6F79">
              <w:rPr>
                <w:rFonts w:eastAsia="Calibri"/>
                <w:color w:val="000000" w:themeColor="text1"/>
                <w:szCs w:val="24"/>
              </w:rPr>
              <w:t>Tehachapi</w:t>
            </w:r>
          </w:p>
        </w:tc>
        <w:tc>
          <w:tcPr>
            <w:tcW w:w="2581" w:type="dxa"/>
          </w:tcPr>
          <w:p w14:paraId="7C692B76" w14:textId="3687576F" w:rsidR="12411C98" w:rsidRPr="003A6F79" w:rsidRDefault="12411C98" w:rsidP="00A24A87">
            <w:pPr>
              <w:jc w:val="right"/>
              <w:rPr>
                <w:szCs w:val="24"/>
              </w:rPr>
            </w:pPr>
            <w:r w:rsidRPr="003A6F79">
              <w:rPr>
                <w:rFonts w:eastAsia="Calibri"/>
                <w:color w:val="000000" w:themeColor="text1"/>
                <w:szCs w:val="24"/>
              </w:rPr>
              <w:t>145</w:t>
            </w:r>
          </w:p>
        </w:tc>
      </w:tr>
      <w:tr w:rsidR="12411C98" w14:paraId="483ED763" w14:textId="77777777" w:rsidTr="3260C83D">
        <w:tc>
          <w:tcPr>
            <w:tcW w:w="3120" w:type="dxa"/>
          </w:tcPr>
          <w:p w14:paraId="01B38909" w14:textId="6272DAEB" w:rsidR="12411C98" w:rsidRPr="003A6F79" w:rsidRDefault="12411C98">
            <w:pPr>
              <w:rPr>
                <w:szCs w:val="24"/>
              </w:rPr>
            </w:pPr>
            <w:proofErr w:type="spellStart"/>
            <w:r w:rsidRPr="003A6F79">
              <w:rPr>
                <w:rFonts w:eastAsia="Calibri"/>
                <w:color w:val="000000" w:themeColor="text1"/>
                <w:szCs w:val="24"/>
              </w:rPr>
              <w:t>Westlands_Solar</w:t>
            </w:r>
            <w:proofErr w:type="spellEnd"/>
          </w:p>
        </w:tc>
        <w:tc>
          <w:tcPr>
            <w:tcW w:w="3120" w:type="dxa"/>
          </w:tcPr>
          <w:p w14:paraId="698F7B17" w14:textId="1148BBB1" w:rsidR="12411C98" w:rsidRPr="003A6F79" w:rsidRDefault="12411C98">
            <w:pPr>
              <w:rPr>
                <w:szCs w:val="24"/>
              </w:rPr>
            </w:pPr>
            <w:r w:rsidRPr="003A6F79">
              <w:rPr>
                <w:rFonts w:eastAsia="Calibri"/>
                <w:color w:val="000000" w:themeColor="text1"/>
                <w:szCs w:val="24"/>
              </w:rPr>
              <w:t>SPGE_Z4_CentralValleyAndLosBanos</w:t>
            </w:r>
          </w:p>
        </w:tc>
        <w:tc>
          <w:tcPr>
            <w:tcW w:w="2581" w:type="dxa"/>
          </w:tcPr>
          <w:p w14:paraId="07239450" w14:textId="26BB2F3A" w:rsidR="12411C98" w:rsidRPr="003A6F79" w:rsidRDefault="12411C98" w:rsidP="00A24A87">
            <w:pPr>
              <w:jc w:val="right"/>
              <w:rPr>
                <w:szCs w:val="24"/>
              </w:rPr>
            </w:pPr>
            <w:r w:rsidRPr="003A6F79">
              <w:rPr>
                <w:rFonts w:eastAsia="Calibri"/>
                <w:color w:val="000000" w:themeColor="text1"/>
                <w:szCs w:val="24"/>
              </w:rPr>
              <w:t>150</w:t>
            </w:r>
          </w:p>
        </w:tc>
      </w:tr>
      <w:tr w:rsidR="4E1893D1" w14:paraId="0C6552D5" w14:textId="77777777" w:rsidTr="4E1893D1">
        <w:tc>
          <w:tcPr>
            <w:tcW w:w="3120" w:type="dxa"/>
          </w:tcPr>
          <w:p w14:paraId="1CF43A08" w14:textId="14339985" w:rsidR="5134F6D7" w:rsidRDefault="5134F6D7" w:rsidP="4E1893D1">
            <w:pPr>
              <w:rPr>
                <w:rFonts w:eastAsia="Calibri"/>
                <w:color w:val="000000" w:themeColor="text1"/>
              </w:rPr>
            </w:pPr>
            <w:r w:rsidRPr="4E1893D1">
              <w:rPr>
                <w:rFonts w:eastAsia="Calibri"/>
                <w:color w:val="000000" w:themeColor="text1"/>
              </w:rPr>
              <w:t xml:space="preserve">Generic </w:t>
            </w:r>
            <w:r w:rsidR="4C2BBBEF" w:rsidRPr="4B1F0A78">
              <w:rPr>
                <w:rFonts w:eastAsia="Calibri"/>
                <w:color w:val="000000" w:themeColor="text1"/>
              </w:rPr>
              <w:t xml:space="preserve">Solar </w:t>
            </w:r>
            <w:r w:rsidRPr="4E1893D1">
              <w:rPr>
                <w:rFonts w:eastAsia="Calibri"/>
                <w:color w:val="000000" w:themeColor="text1"/>
              </w:rPr>
              <w:t>Resources</w:t>
            </w:r>
          </w:p>
        </w:tc>
        <w:tc>
          <w:tcPr>
            <w:tcW w:w="3120" w:type="dxa"/>
          </w:tcPr>
          <w:p w14:paraId="60BA010B" w14:textId="127AB516" w:rsidR="5134F6D7" w:rsidRDefault="5134F6D7" w:rsidP="4E1893D1">
            <w:pPr>
              <w:rPr>
                <w:rFonts w:eastAsia="Calibri"/>
                <w:color w:val="000000" w:themeColor="text1"/>
              </w:rPr>
            </w:pPr>
            <w:r w:rsidRPr="4E1893D1">
              <w:rPr>
                <w:rFonts w:eastAsia="Calibri"/>
                <w:color w:val="000000" w:themeColor="text1"/>
              </w:rPr>
              <w:t>N/A</w:t>
            </w:r>
          </w:p>
        </w:tc>
        <w:tc>
          <w:tcPr>
            <w:tcW w:w="2581" w:type="dxa"/>
          </w:tcPr>
          <w:p w14:paraId="14C94EC3" w14:textId="03E6EA41" w:rsidR="5134F6D7" w:rsidRDefault="5134F6D7" w:rsidP="4E1893D1">
            <w:pPr>
              <w:jc w:val="right"/>
              <w:rPr>
                <w:rFonts w:eastAsia="Calibri"/>
                <w:color w:val="000000" w:themeColor="text1"/>
              </w:rPr>
            </w:pPr>
            <w:r w:rsidRPr="4E1893D1">
              <w:rPr>
                <w:rFonts w:eastAsia="Calibri"/>
                <w:color w:val="000000" w:themeColor="text1"/>
              </w:rPr>
              <w:t>1,087</w:t>
            </w:r>
          </w:p>
        </w:tc>
      </w:tr>
      <w:tr w:rsidR="12411C98" w14:paraId="57A0DC6A" w14:textId="77777777" w:rsidTr="3260C83D">
        <w:tc>
          <w:tcPr>
            <w:tcW w:w="3120" w:type="dxa"/>
          </w:tcPr>
          <w:p w14:paraId="67E2F79E" w14:textId="7C199B9C" w:rsidR="12411C98" w:rsidRPr="003A6F79" w:rsidRDefault="12411C98">
            <w:pPr>
              <w:rPr>
                <w:szCs w:val="24"/>
              </w:rPr>
            </w:pPr>
            <w:r w:rsidRPr="003A6F79">
              <w:rPr>
                <w:rFonts w:eastAsia="Calibri"/>
                <w:color w:val="000000" w:themeColor="text1"/>
                <w:szCs w:val="24"/>
              </w:rPr>
              <w:t>Grand Total</w:t>
            </w:r>
          </w:p>
        </w:tc>
        <w:tc>
          <w:tcPr>
            <w:tcW w:w="3120" w:type="dxa"/>
          </w:tcPr>
          <w:p w14:paraId="229552A4" w14:textId="2AE8F7E3" w:rsidR="12411C98" w:rsidRPr="003A6F79" w:rsidRDefault="12411C98">
            <w:pPr>
              <w:rPr>
                <w:szCs w:val="24"/>
              </w:rPr>
            </w:pPr>
          </w:p>
        </w:tc>
        <w:tc>
          <w:tcPr>
            <w:tcW w:w="2581" w:type="dxa"/>
          </w:tcPr>
          <w:p w14:paraId="651C3526" w14:textId="01834A62" w:rsidR="12411C98" w:rsidRPr="003A6F79" w:rsidRDefault="12411C98" w:rsidP="00A24A87">
            <w:pPr>
              <w:jc w:val="right"/>
              <w:rPr>
                <w:szCs w:val="24"/>
              </w:rPr>
            </w:pPr>
            <w:r w:rsidRPr="003A6F79">
              <w:rPr>
                <w:rFonts w:eastAsia="Calibri"/>
                <w:color w:val="000000" w:themeColor="text1"/>
                <w:szCs w:val="24"/>
              </w:rPr>
              <w:t>3</w:t>
            </w:r>
            <w:r w:rsidR="00AF6803">
              <w:rPr>
                <w:rFonts w:eastAsia="Calibri"/>
                <w:color w:val="000000" w:themeColor="text1"/>
                <w:szCs w:val="24"/>
              </w:rPr>
              <w:t>,</w:t>
            </w:r>
            <w:r w:rsidRPr="003A6F79">
              <w:rPr>
                <w:rFonts w:eastAsia="Calibri"/>
                <w:color w:val="000000" w:themeColor="text1"/>
                <w:szCs w:val="24"/>
              </w:rPr>
              <w:t>40</w:t>
            </w:r>
            <w:r w:rsidR="00AF6803">
              <w:rPr>
                <w:rFonts w:eastAsia="Calibri"/>
                <w:color w:val="000000" w:themeColor="text1"/>
                <w:szCs w:val="24"/>
              </w:rPr>
              <w:t>7</w:t>
            </w:r>
          </w:p>
        </w:tc>
      </w:tr>
    </w:tbl>
    <w:p w14:paraId="31E8351B" w14:textId="77777777" w:rsidR="536A89F0" w:rsidRDefault="536A89F0" w:rsidP="00A24A87">
      <w:pPr>
        <w:ind w:left="0"/>
      </w:pPr>
    </w:p>
    <w:p w14:paraId="4A99C57D" w14:textId="42213BBD" w:rsidR="31688233" w:rsidRDefault="31688233" w:rsidP="6EADE052">
      <w:pPr>
        <w:ind w:left="0"/>
        <w:rPr>
          <w:color w:val="000000" w:themeColor="text1"/>
        </w:rPr>
      </w:pPr>
      <w:r>
        <w:t xml:space="preserve">Additionally, </w:t>
      </w:r>
      <w:r w:rsidR="7B47C5EE">
        <w:t xml:space="preserve">after accounting for </w:t>
      </w:r>
      <w:r w:rsidR="36E57A0B">
        <w:t xml:space="preserve">battery </w:t>
      </w:r>
      <w:r w:rsidR="7B47C5EE">
        <w:t xml:space="preserve">baseline reconciliation, </w:t>
      </w:r>
      <w:r w:rsidR="7076E6FF">
        <w:t xml:space="preserve">1,216 MW of </w:t>
      </w:r>
      <w:r w:rsidR="37FC6865">
        <w:t xml:space="preserve">new </w:t>
      </w:r>
      <w:r w:rsidR="0BBC27A8">
        <w:t xml:space="preserve">LSE </w:t>
      </w:r>
      <w:r w:rsidR="7076E6FF">
        <w:t xml:space="preserve">battery storage </w:t>
      </w:r>
      <w:r w:rsidR="1303E491">
        <w:t>contracts</w:t>
      </w:r>
      <w:r w:rsidR="7076E6FF">
        <w:t xml:space="preserve"> </w:t>
      </w:r>
      <w:r w:rsidR="00851B80">
        <w:t>were</w:t>
      </w:r>
      <w:r w:rsidR="7076E6FF">
        <w:t xml:space="preserve"> subtracted from the amount of battery storage contained in each of the portfolios described below. </w:t>
      </w:r>
      <w:r w:rsidR="4BA3276B">
        <w:t xml:space="preserve"> </w:t>
      </w:r>
      <w:r w:rsidR="4BA3276B" w:rsidRPr="6EADE052">
        <w:rPr>
          <w:color w:val="000000" w:themeColor="text1"/>
        </w:rPr>
        <w:t>Details of the baseline reconciliation for both non-battery and battery resources are available in Append</w:t>
      </w:r>
      <w:r w:rsidR="065C9B42" w:rsidRPr="6EADE052">
        <w:rPr>
          <w:color w:val="000000" w:themeColor="text1"/>
        </w:rPr>
        <w:t>ix</w:t>
      </w:r>
      <w:r w:rsidR="4BA3276B" w:rsidRPr="6EADE052">
        <w:rPr>
          <w:color w:val="000000" w:themeColor="text1"/>
        </w:rPr>
        <w:t xml:space="preserve"> </w:t>
      </w:r>
      <w:r w:rsidR="00D95DCB">
        <w:rPr>
          <w:color w:val="000000" w:themeColor="text1"/>
        </w:rPr>
        <w:fldChar w:fldCharType="begin"/>
      </w:r>
      <w:r w:rsidR="00D95DCB">
        <w:rPr>
          <w:color w:val="000000" w:themeColor="text1"/>
        </w:rPr>
        <w:instrText xml:space="preserve"> REF _Ref36486898 \r \h </w:instrText>
      </w:r>
      <w:r w:rsidR="00D95DCB">
        <w:rPr>
          <w:color w:val="000000" w:themeColor="text1"/>
        </w:rPr>
      </w:r>
      <w:r w:rsidR="00D95DCB">
        <w:rPr>
          <w:color w:val="000000" w:themeColor="text1"/>
        </w:rPr>
        <w:fldChar w:fldCharType="separate"/>
      </w:r>
      <w:r w:rsidR="003B7A14">
        <w:rPr>
          <w:color w:val="000000" w:themeColor="text1"/>
        </w:rPr>
        <w:t>G</w:t>
      </w:r>
      <w:r w:rsidR="00D95DCB">
        <w:rPr>
          <w:color w:val="000000" w:themeColor="text1"/>
        </w:rPr>
        <w:fldChar w:fldCharType="end"/>
      </w:r>
      <w:r w:rsidR="4BA3276B" w:rsidRPr="6EADE052">
        <w:rPr>
          <w:color w:val="000000" w:themeColor="text1"/>
        </w:rPr>
        <w:t xml:space="preserve">. </w:t>
      </w:r>
      <w:r w:rsidR="7737EC02" w:rsidRPr="6EADE052">
        <w:rPr>
          <w:color w:val="000000" w:themeColor="text1"/>
        </w:rPr>
        <w:t xml:space="preserve"> </w:t>
      </w:r>
    </w:p>
    <w:p w14:paraId="7FA40088" w14:textId="23846641" w:rsidR="008D5585" w:rsidRPr="000115B3" w:rsidRDefault="395FE110" w:rsidP="005169DA">
      <w:pPr>
        <w:pStyle w:val="Heading3"/>
      </w:pPr>
      <w:bookmarkStart w:id="36" w:name="_Ref60744642"/>
      <w:r w:rsidRPr="000115B3">
        <w:t xml:space="preserve"> </w:t>
      </w:r>
      <w:bookmarkStart w:id="37" w:name="_Toc63669594"/>
      <w:r w:rsidR="672856F2" w:rsidRPr="000115B3">
        <w:t>46 MMT with 2019 IEPR</w:t>
      </w:r>
      <w:bookmarkEnd w:id="36"/>
      <w:bookmarkEnd w:id="37"/>
    </w:p>
    <w:p w14:paraId="3703E8B2" w14:textId="5E69F946" w:rsidR="008D5585" w:rsidRPr="00C2696F" w:rsidRDefault="008D5585" w:rsidP="00EB0D4E">
      <w:pPr>
        <w:pStyle w:val="Heading4"/>
      </w:pPr>
      <w:r w:rsidRPr="00FD3165">
        <w:t>Objective and Rationale</w:t>
      </w:r>
    </w:p>
    <w:p w14:paraId="2C02BE8B" w14:textId="2CCA54AA" w:rsidR="008D5585" w:rsidRDefault="008D5585" w:rsidP="3260C83D">
      <w:pPr>
        <w:rPr>
          <w:shd w:val="clear" w:color="auto" w:fill="FFFFFF"/>
        </w:rPr>
      </w:pPr>
      <w:r>
        <w:rPr>
          <w:shd w:val="clear" w:color="auto" w:fill="FFFFFF"/>
        </w:rPr>
        <w:t>The objective of transmitting this portfolio to the CAISO for the TPP base case studies is to ensure that</w:t>
      </w:r>
      <w:r w:rsidRPr="00117003">
        <w:rPr>
          <w:shd w:val="clear" w:color="auto" w:fill="FFFFFF"/>
        </w:rPr>
        <w:t xml:space="preserve"> transmission planning and development aligns with resource planning and developmen</w:t>
      </w:r>
      <w:r>
        <w:rPr>
          <w:shd w:val="clear" w:color="auto" w:fill="FFFFFF"/>
        </w:rPr>
        <w:t>t.</w:t>
      </w:r>
      <w:r w:rsidR="2FDFB3A4">
        <w:rPr>
          <w:shd w:val="clear" w:color="auto" w:fill="FFFFFF"/>
        </w:rPr>
        <w:t xml:space="preserve"> </w:t>
      </w:r>
      <w:r w:rsidR="183ECD3B">
        <w:t xml:space="preserve">The design of this portfolio achieves this objective </w:t>
      </w:r>
      <w:r w:rsidR="183ECD3B" w:rsidRPr="057D115D">
        <w:rPr>
          <w:rFonts w:eastAsia="Garamond" w:cs="Garamond"/>
        </w:rPr>
        <w:t>by reflecting a possible lowest-cost achievement of the state’s greenhouse gas reduction goals as informed by IRP capacity expansion modeling, which in turn is used by LSEs to inform their individual planning efforts.</w:t>
      </w:r>
      <w:r w:rsidR="183ECD3B">
        <w:t xml:space="preserve"> </w:t>
      </w:r>
      <w:r w:rsidR="7CF26D49">
        <w:rPr>
          <w:shd w:val="clear" w:color="auto" w:fill="FFFFFF"/>
        </w:rPr>
        <w:t xml:space="preserve">In </w:t>
      </w:r>
      <w:r w:rsidR="7CF26D49" w:rsidRPr="0C79D6A3">
        <w:rPr>
          <w:rFonts w:eastAsia="Garamond" w:cs="Garamond"/>
        </w:rPr>
        <w:t>Decision 20-03-028</w:t>
      </w:r>
      <w:r w:rsidR="2FDFB3A4">
        <w:rPr>
          <w:shd w:val="clear" w:color="auto" w:fill="FFFFFF"/>
        </w:rPr>
        <w:t xml:space="preserve"> </w:t>
      </w:r>
      <w:r w:rsidR="688DDA88">
        <w:rPr>
          <w:shd w:val="clear" w:color="auto" w:fill="FFFFFF"/>
        </w:rPr>
        <w:t>t</w:t>
      </w:r>
      <w:r w:rsidR="2FDFB3A4">
        <w:t>he Commission adopt</w:t>
      </w:r>
      <w:r w:rsidR="12C2D8B5">
        <w:t>ed</w:t>
      </w:r>
      <w:r w:rsidR="2FDFB3A4">
        <w:t xml:space="preserve"> </w:t>
      </w:r>
      <w:r w:rsidR="66953E40">
        <w:t>a</w:t>
      </w:r>
      <w:r w:rsidR="2FDFB3A4">
        <w:t xml:space="preserve"> greenhouse gas </w:t>
      </w:r>
      <w:r w:rsidR="00AA3CB9">
        <w:t xml:space="preserve">(GHG) </w:t>
      </w:r>
      <w:r w:rsidR="2FDFB3A4">
        <w:t xml:space="preserve">emissions target for the electric sector of 46 </w:t>
      </w:r>
      <w:r w:rsidR="008F5EFC">
        <w:t>MMT</w:t>
      </w:r>
      <w:r w:rsidR="2FDFB3A4">
        <w:t xml:space="preserve"> in 2030</w:t>
      </w:r>
      <w:r w:rsidR="62AB7646">
        <w:t>. This</w:t>
      </w:r>
      <w:r w:rsidR="001C0FF1">
        <w:t xml:space="preserve"> 46 MMT with 2019 IEPR</w:t>
      </w:r>
      <w:r w:rsidR="62AB7646">
        <w:t xml:space="preserve"> portfolio is designed around that 2030 GHG </w:t>
      </w:r>
      <w:proofErr w:type="gramStart"/>
      <w:r w:rsidR="62AB7646">
        <w:t xml:space="preserve">target, </w:t>
      </w:r>
      <w:r w:rsidR="00203D75">
        <w:t>and</w:t>
      </w:r>
      <w:proofErr w:type="gramEnd"/>
      <w:r w:rsidR="00203D75">
        <w:t xml:space="preserve"> is named based on the</w:t>
      </w:r>
      <w:r w:rsidR="62AB7646">
        <w:t xml:space="preserve"> convention </w:t>
      </w:r>
      <w:r w:rsidR="003D6761">
        <w:t xml:space="preserve">of referring to </w:t>
      </w:r>
      <w:r w:rsidR="00080809">
        <w:t>that</w:t>
      </w:r>
      <w:r w:rsidR="003D6761">
        <w:t xml:space="preserve"> target</w:t>
      </w:r>
      <w:r w:rsidR="62AB7646">
        <w:t xml:space="preserve">. </w:t>
      </w:r>
      <w:r w:rsidR="12512B35">
        <w:t xml:space="preserve">However, because </w:t>
      </w:r>
      <w:r w:rsidR="44371CB8">
        <w:t xml:space="preserve">the resource planning </w:t>
      </w:r>
      <w:r w:rsidR="00CF74B4">
        <w:t>horizon</w:t>
      </w:r>
      <w:r w:rsidR="44371CB8">
        <w:t xml:space="preserve"> needed specifically for the 2021-2022 TPP </w:t>
      </w:r>
      <w:r w:rsidR="00CF74B4">
        <w:t>extends to</w:t>
      </w:r>
      <w:r w:rsidR="44371CB8">
        <w:t xml:space="preserve"> 2031, the emissions </w:t>
      </w:r>
      <w:r w:rsidR="7AC069CE">
        <w:t xml:space="preserve">of the portfolio in 2031 are </w:t>
      </w:r>
      <w:r w:rsidR="00520084">
        <w:t>lower than</w:t>
      </w:r>
      <w:r w:rsidR="7AC069CE">
        <w:t xml:space="preserve"> 46 MMT</w:t>
      </w:r>
      <w:r w:rsidR="00080809">
        <w:t>. This is</w:t>
      </w:r>
      <w:r w:rsidR="7AC069CE" w:rsidDel="00080809">
        <w:t xml:space="preserve"> </w:t>
      </w:r>
      <w:r w:rsidR="7AC069CE">
        <w:t xml:space="preserve">described in more </w:t>
      </w:r>
      <w:r w:rsidR="00080809">
        <w:t>detail</w:t>
      </w:r>
      <w:r w:rsidR="7AC069CE">
        <w:t xml:space="preserve"> </w:t>
      </w:r>
      <w:r w:rsidR="21A4CC11">
        <w:t>under the “Description”</w:t>
      </w:r>
      <w:r w:rsidR="00D55E18">
        <w:t xml:space="preserve"> section below.</w:t>
      </w:r>
      <w:r w:rsidR="7AC069CE">
        <w:t xml:space="preserve"> </w:t>
      </w:r>
    </w:p>
    <w:p w14:paraId="0054B816" w14:textId="77777777" w:rsidR="008D5585" w:rsidRDefault="008D5585" w:rsidP="008D5585">
      <w:pPr>
        <w:rPr>
          <w:shd w:val="clear" w:color="auto" w:fill="FFFFFF"/>
        </w:rPr>
      </w:pPr>
    </w:p>
    <w:p w14:paraId="58201ACF" w14:textId="4EC9F5CD" w:rsidR="008D5585" w:rsidRDefault="008D5585" w:rsidP="13A18B61">
      <w:r>
        <w:rPr>
          <w:shd w:val="clear" w:color="auto" w:fill="FFFFFF"/>
        </w:rPr>
        <w:t xml:space="preserve">The RESOLVE portfolio indicates the need for transmission upgrades to accommodate </w:t>
      </w:r>
      <w:r w:rsidR="631C5BF3">
        <w:rPr>
          <w:shd w:val="clear" w:color="auto" w:fill="FFFFFF"/>
        </w:rPr>
        <w:t>approximately 665 MW of</w:t>
      </w:r>
      <w:r w:rsidR="5510267C">
        <w:rPr>
          <w:shd w:val="clear" w:color="auto" w:fill="FFFFFF"/>
        </w:rPr>
        <w:t xml:space="preserve"> </w:t>
      </w:r>
      <w:r>
        <w:rPr>
          <w:shd w:val="clear" w:color="auto" w:fill="FFFFFF"/>
        </w:rPr>
        <w:t>resources</w:t>
      </w:r>
      <w:r w:rsidR="4DA56FF5">
        <w:rPr>
          <w:shd w:val="clear" w:color="auto" w:fill="FFFFFF"/>
        </w:rPr>
        <w:t xml:space="preserve"> selected in 2031 that could not be acco</w:t>
      </w:r>
      <w:r w:rsidR="4F0865D4">
        <w:rPr>
          <w:shd w:val="clear" w:color="auto" w:fill="FFFFFF"/>
        </w:rPr>
        <w:t>m</w:t>
      </w:r>
      <w:r w:rsidR="4DA56FF5">
        <w:rPr>
          <w:shd w:val="clear" w:color="auto" w:fill="FFFFFF"/>
        </w:rPr>
        <w:t xml:space="preserve">modated by the existing transmission system. </w:t>
      </w:r>
      <w:r>
        <w:rPr>
          <w:shd w:val="clear" w:color="auto" w:fill="FFFFFF"/>
        </w:rPr>
        <w:t xml:space="preserve"> However, RESOLVE is a system level </w:t>
      </w:r>
      <w:r w:rsidR="6B09F48A">
        <w:rPr>
          <w:shd w:val="clear" w:color="auto" w:fill="FFFFFF"/>
        </w:rPr>
        <w:t xml:space="preserve">capacity expansion </w:t>
      </w:r>
      <w:r>
        <w:rPr>
          <w:shd w:val="clear" w:color="auto" w:fill="FFFFFF"/>
        </w:rPr>
        <w:t>model with simplified transmission capability and cost assumptions.</w:t>
      </w:r>
      <w:r w:rsidR="7522086E">
        <w:rPr>
          <w:shd w:val="clear" w:color="auto" w:fill="FFFFFF"/>
        </w:rPr>
        <w:t xml:space="preserve"> </w:t>
      </w:r>
      <w:r w:rsidR="2E9B2F5F">
        <w:rPr>
          <w:shd w:val="clear" w:color="auto" w:fill="FFFFFF"/>
        </w:rPr>
        <w:t>As an input to the busbar mapping process the RESOLVE selected resources and their locations get evaluated based on interconnection feasibility, potential required transm</w:t>
      </w:r>
      <w:r w:rsidR="29144929">
        <w:rPr>
          <w:shd w:val="clear" w:color="auto" w:fill="FFFFFF"/>
        </w:rPr>
        <w:t>ission upgrades, and other criteria.</w:t>
      </w:r>
    </w:p>
    <w:p w14:paraId="5E302498" w14:textId="1CA51F7F" w:rsidR="008D5585" w:rsidRDefault="008D5585" w:rsidP="13A18B61"/>
    <w:p w14:paraId="6795A5D5" w14:textId="321CA078" w:rsidR="008D5585" w:rsidRDefault="29144929" w:rsidP="13A18B61">
      <w:r>
        <w:rPr>
          <w:shd w:val="clear" w:color="auto" w:fill="FFFFFF"/>
        </w:rPr>
        <w:t>However, CPUC staff cannot know for certain the</w:t>
      </w:r>
      <w:r w:rsidR="15B3DCF8">
        <w:rPr>
          <w:shd w:val="clear" w:color="auto" w:fill="FFFFFF"/>
        </w:rPr>
        <w:t xml:space="preserve"> transmission implications until they are studied by the CAISO in the TPP</w:t>
      </w:r>
      <w:r w:rsidR="0FF5F328">
        <w:t xml:space="preserve"> at actual busbar locations</w:t>
      </w:r>
      <w:r w:rsidR="15B3DCF8">
        <w:rPr>
          <w:shd w:val="clear" w:color="auto" w:fill="FFFFFF"/>
        </w:rPr>
        <w:t>.</w:t>
      </w:r>
      <w:r w:rsidR="008D5585">
        <w:rPr>
          <w:shd w:val="clear" w:color="auto" w:fill="FFFFFF"/>
        </w:rPr>
        <w:t xml:space="preserve"> For this reason, the CPUC will transmit this portfolio to the CAISO to conduct detailed transmission planning to assess the exact transmission needs. CAISO TPP results will indicate whether any </w:t>
      </w:r>
      <w:r w:rsidR="008D5585" w:rsidRPr="00117003">
        <w:rPr>
          <w:shd w:val="clear" w:color="auto" w:fill="FFFFFF"/>
        </w:rPr>
        <w:t>reliability</w:t>
      </w:r>
      <w:r w:rsidR="008D5585">
        <w:rPr>
          <w:shd w:val="clear" w:color="auto" w:fill="FFFFFF"/>
        </w:rPr>
        <w:t xml:space="preserve"> or policy-driven</w:t>
      </w:r>
      <w:r w:rsidR="008D5585" w:rsidRPr="00117003">
        <w:rPr>
          <w:shd w:val="clear" w:color="auto" w:fill="FFFFFF"/>
        </w:rPr>
        <w:t xml:space="preserve"> transmission upgrades are found necessary</w:t>
      </w:r>
      <w:r w:rsidR="008D5585">
        <w:rPr>
          <w:shd w:val="clear" w:color="auto" w:fill="FFFFFF"/>
        </w:rPr>
        <w:t>, and if so,</w:t>
      </w:r>
      <w:r w:rsidR="008D5585" w:rsidRPr="00117003">
        <w:rPr>
          <w:shd w:val="clear" w:color="auto" w:fill="FFFFFF"/>
        </w:rPr>
        <w:t xml:space="preserve"> </w:t>
      </w:r>
      <w:r w:rsidR="008D5585">
        <w:rPr>
          <w:shd w:val="clear" w:color="auto" w:fill="FFFFFF"/>
        </w:rPr>
        <w:t>those transmission upgrades may be recommended to the CAISO Board of Governors for approval</w:t>
      </w:r>
      <w:r w:rsidR="008D5585" w:rsidRPr="00117003">
        <w:rPr>
          <w:shd w:val="clear" w:color="auto" w:fill="FFFFFF"/>
        </w:rPr>
        <w:t xml:space="preserve">. </w:t>
      </w:r>
    </w:p>
    <w:p w14:paraId="58019CD7" w14:textId="7C53014E" w:rsidR="008D5585" w:rsidRDefault="008D5585" w:rsidP="13A18B61"/>
    <w:p w14:paraId="32EF1F93" w14:textId="2F504F71" w:rsidR="008D5585" w:rsidRDefault="008D5585" w:rsidP="13A18B61">
      <w:r>
        <w:rPr>
          <w:shd w:val="clear" w:color="auto" w:fill="FFFFFF"/>
        </w:rPr>
        <w:t xml:space="preserve">If any of the approved transmission upgrades are investments made specifically to accommodate the resource development future reflected by the CPUC in this portfolio, this portfolio will have </w:t>
      </w:r>
      <w:r>
        <w:rPr>
          <w:shd w:val="clear" w:color="auto" w:fill="FFFFFF"/>
        </w:rPr>
        <w:lastRenderedPageBreak/>
        <w:t xml:space="preserve">helped ensure that transmission and generation resources are developed concurrently. This should minimize risk of stranded generation assets later being discovered to be undeliverable to load due to a lack of available transmission capability. </w:t>
      </w:r>
    </w:p>
    <w:p w14:paraId="5DB6E9B9" w14:textId="5EAE8D7C" w:rsidR="008D5585" w:rsidRDefault="008D5585" w:rsidP="13A18B61"/>
    <w:p w14:paraId="656450EE" w14:textId="5BCC4D87" w:rsidR="008D5585" w:rsidRDefault="008D5585" w:rsidP="099CA948">
      <w:pPr>
        <w:rPr>
          <w:rFonts w:eastAsia="Garamond" w:cs="Garamond"/>
          <w:shd w:val="clear" w:color="auto" w:fill="FFFFFF"/>
        </w:rPr>
      </w:pPr>
      <w:r>
        <w:rPr>
          <w:shd w:val="clear" w:color="auto" w:fill="FFFFFF"/>
        </w:rPr>
        <w:t xml:space="preserve">To ensure this is a bidirectional minimization of ratepayer costs, the CPUC expects to receive information from the CAISO regarding which approved transmission projects are developed to accommodate policy-driven resource planning. </w:t>
      </w:r>
      <w:r w:rsidR="46C60E28">
        <w:t>(Typically</w:t>
      </w:r>
      <w:r w:rsidR="00FF2025">
        <w:t>,</w:t>
      </w:r>
      <w:r w:rsidR="46C60E28">
        <w:t xml:space="preserve"> the CAISO Transmission Plan clearly identifies the policy-driven projects). </w:t>
      </w:r>
      <w:r>
        <w:rPr>
          <w:shd w:val="clear" w:color="auto" w:fill="FFFFFF"/>
        </w:rPr>
        <w:t xml:space="preserve">The CPUC can then act accordingly to encourage the development of those resources </w:t>
      </w:r>
      <w:r w:rsidR="643933D0">
        <w:t xml:space="preserve">that can utilize the transmission capacity in order </w:t>
      </w:r>
      <w:r>
        <w:rPr>
          <w:shd w:val="clear" w:color="auto" w:fill="FFFFFF"/>
        </w:rPr>
        <w:t xml:space="preserve">to avoid stranded transmission assets. </w:t>
      </w:r>
      <w:r w:rsidR="2D6918D0" w:rsidRPr="099CA948">
        <w:rPr>
          <w:rFonts w:eastAsia="Garamond" w:cs="Garamond"/>
        </w:rPr>
        <w:t xml:space="preserve">Further, the CPUC’s transmittal here cannot </w:t>
      </w:r>
      <w:r w:rsidR="30267ECB" w:rsidRPr="099CA948">
        <w:rPr>
          <w:rFonts w:eastAsia="Garamond" w:cs="Garamond"/>
        </w:rPr>
        <w:t xml:space="preserve">be assumed to </w:t>
      </w:r>
      <w:r w:rsidR="2D6918D0" w:rsidRPr="099CA948">
        <w:rPr>
          <w:rFonts w:eastAsia="Garamond" w:cs="Garamond"/>
        </w:rPr>
        <w:t xml:space="preserve">prejudge </w:t>
      </w:r>
      <w:r w:rsidR="15EA78A4" w:rsidRPr="099CA948">
        <w:rPr>
          <w:rFonts w:eastAsia="Garamond" w:cs="Garamond"/>
        </w:rPr>
        <w:t xml:space="preserve">the outcome of </w:t>
      </w:r>
      <w:r w:rsidR="2D6918D0" w:rsidRPr="099CA948">
        <w:rPr>
          <w:rFonts w:eastAsia="Garamond" w:cs="Garamond"/>
        </w:rPr>
        <w:t>a future siting</w:t>
      </w:r>
      <w:r w:rsidR="5AEEF3F2" w:rsidRPr="099CA948">
        <w:rPr>
          <w:rFonts w:eastAsia="Garamond" w:cs="Garamond"/>
        </w:rPr>
        <w:t xml:space="preserve"> </w:t>
      </w:r>
      <w:r w:rsidR="65B1D08C" w:rsidRPr="099CA948">
        <w:rPr>
          <w:rFonts w:eastAsia="Garamond" w:cs="Garamond"/>
        </w:rPr>
        <w:t>A</w:t>
      </w:r>
      <w:r w:rsidR="2D6918D0" w:rsidRPr="099CA948">
        <w:rPr>
          <w:rFonts w:eastAsia="Garamond" w:cs="Garamond"/>
        </w:rPr>
        <w:t xml:space="preserve">pplication for a </w:t>
      </w:r>
      <w:r w:rsidR="3453E156" w:rsidRPr="099CA948">
        <w:rPr>
          <w:rFonts w:eastAsia="Garamond" w:cs="Garamond"/>
        </w:rPr>
        <w:t xml:space="preserve">specific </w:t>
      </w:r>
      <w:r w:rsidR="2D6918D0" w:rsidRPr="099CA948">
        <w:rPr>
          <w:rFonts w:eastAsia="Garamond" w:cs="Garamond"/>
        </w:rPr>
        <w:t xml:space="preserve">transmission </w:t>
      </w:r>
      <w:r w:rsidR="2AB2E333" w:rsidRPr="099CA948">
        <w:rPr>
          <w:rFonts w:eastAsia="Garamond" w:cs="Garamond"/>
        </w:rPr>
        <w:t>line</w:t>
      </w:r>
      <w:r w:rsidR="62919FBE" w:rsidRPr="099CA948">
        <w:rPr>
          <w:rFonts w:eastAsia="Garamond" w:cs="Garamond"/>
        </w:rPr>
        <w:t xml:space="preserve"> (e.g. a Certificate of Public Convenience and Necessity Proceeding). However, the CPUC’s transmittal here </w:t>
      </w:r>
      <w:r w:rsidR="69ACCF68" w:rsidRPr="099CA948">
        <w:rPr>
          <w:rFonts w:eastAsia="Garamond" w:cs="Garamond"/>
        </w:rPr>
        <w:t xml:space="preserve">of resource planning assumptions </w:t>
      </w:r>
      <w:r w:rsidR="37DBA559" w:rsidRPr="099CA948">
        <w:rPr>
          <w:rFonts w:eastAsia="Garamond" w:cs="Garamond"/>
        </w:rPr>
        <w:t xml:space="preserve">can be </w:t>
      </w:r>
      <w:r w:rsidR="2D6918D0" w:rsidRPr="099CA948">
        <w:rPr>
          <w:rFonts w:eastAsia="Garamond" w:cs="Garamond"/>
        </w:rPr>
        <w:t>consider</w:t>
      </w:r>
      <w:r w:rsidR="6DB3C10E" w:rsidRPr="099CA948">
        <w:rPr>
          <w:rFonts w:eastAsia="Garamond" w:cs="Garamond"/>
        </w:rPr>
        <w:t>ed</w:t>
      </w:r>
      <w:r w:rsidR="2D6918D0" w:rsidRPr="099CA948">
        <w:rPr>
          <w:rFonts w:eastAsia="Garamond" w:cs="Garamond"/>
        </w:rPr>
        <w:t xml:space="preserve"> </w:t>
      </w:r>
      <w:r w:rsidR="582D9D62" w:rsidRPr="099CA948">
        <w:rPr>
          <w:rFonts w:eastAsia="Garamond" w:cs="Garamond"/>
        </w:rPr>
        <w:t xml:space="preserve">in the need </w:t>
      </w:r>
      <w:r w:rsidR="0963887B" w:rsidRPr="099CA948">
        <w:rPr>
          <w:rFonts w:eastAsia="Garamond" w:cs="Garamond"/>
        </w:rPr>
        <w:t>de</w:t>
      </w:r>
      <w:r w:rsidR="582D9D62" w:rsidRPr="099CA948">
        <w:rPr>
          <w:rFonts w:eastAsia="Garamond" w:cs="Garamond"/>
        </w:rPr>
        <w:t xml:space="preserve">termination phase of the </w:t>
      </w:r>
      <w:r w:rsidR="2D6918D0" w:rsidRPr="099CA948">
        <w:rPr>
          <w:rFonts w:eastAsia="Garamond" w:cs="Garamond"/>
        </w:rPr>
        <w:t>CPUC</w:t>
      </w:r>
      <w:r w:rsidR="4B507E60" w:rsidRPr="099CA948">
        <w:rPr>
          <w:rFonts w:eastAsia="Garamond" w:cs="Garamond"/>
        </w:rPr>
        <w:t xml:space="preserve">’s consideration of any specifically proposed transmission project. </w:t>
      </w:r>
    </w:p>
    <w:p w14:paraId="1ACD3C07" w14:textId="65A8AAB0" w:rsidR="00CF65E5" w:rsidRDefault="00CF65E5" w:rsidP="00EB0D4E">
      <w:pPr>
        <w:pStyle w:val="Heading4"/>
      </w:pPr>
      <w:r>
        <w:t xml:space="preserve">Description </w:t>
      </w:r>
    </w:p>
    <w:p w14:paraId="71C1DC54" w14:textId="5D9046E7" w:rsidR="00CF65E5" w:rsidRDefault="00CF65E5" w:rsidP="00CF65E5">
      <w:pPr>
        <w:rPr>
          <w:shd w:val="clear" w:color="auto" w:fill="FFFFFF"/>
        </w:rPr>
      </w:pPr>
      <w:r w:rsidRPr="2A825700">
        <w:rPr>
          <w:shd w:val="clear" w:color="auto" w:fill="FFFFFF"/>
        </w:rPr>
        <w:t>For the planning year 2031, the portfolio comprises 1</w:t>
      </w:r>
      <w:r>
        <w:t>0</w:t>
      </w:r>
      <w:r w:rsidRPr="2A825700">
        <w:rPr>
          <w:shd w:val="clear" w:color="auto" w:fill="FFFFFF"/>
        </w:rPr>
        <w:t>,</w:t>
      </w:r>
      <w:r>
        <w:t>635</w:t>
      </w:r>
      <w:r w:rsidRPr="2A825700">
        <w:rPr>
          <w:shd w:val="clear" w:color="auto" w:fill="FFFFFF"/>
        </w:rPr>
        <w:t xml:space="preserve"> MW of </w:t>
      </w:r>
      <w:r w:rsidR="1A610871" w:rsidRPr="2A825700">
        <w:rPr>
          <w:shd w:val="clear" w:color="auto" w:fill="FFFFFF"/>
        </w:rPr>
        <w:t xml:space="preserve">new </w:t>
      </w:r>
      <w:r w:rsidRPr="2A825700">
        <w:rPr>
          <w:shd w:val="clear" w:color="auto" w:fill="FFFFFF"/>
        </w:rPr>
        <w:t>battery storage, 15,</w:t>
      </w:r>
      <w:r>
        <w:t>097</w:t>
      </w:r>
      <w:r w:rsidRPr="2A825700">
        <w:rPr>
          <w:shd w:val="clear" w:color="auto" w:fill="FFFFFF"/>
        </w:rPr>
        <w:t xml:space="preserve"> MW of new in-state renewable resources, and </w:t>
      </w:r>
      <w:r>
        <w:t>1,062</w:t>
      </w:r>
      <w:r w:rsidRPr="2A825700">
        <w:rPr>
          <w:shd w:val="clear" w:color="auto" w:fill="FFFFFF"/>
        </w:rPr>
        <w:t xml:space="preserve"> MW of new out-of-state (OOS) renewable resources on new OOS transmission, among other resources. </w:t>
      </w:r>
    </w:p>
    <w:p w14:paraId="4CDB3C93" w14:textId="11AFAB26" w:rsidR="00CF65E5" w:rsidRDefault="00CF65E5" w:rsidP="00CF65E5">
      <w:pPr>
        <w:rPr>
          <w:shd w:val="clear" w:color="auto" w:fill="FFFFFF"/>
        </w:rPr>
      </w:pPr>
    </w:p>
    <w:p w14:paraId="5338C39D" w14:textId="62FB9B55" w:rsidR="00CF65E5" w:rsidRDefault="60BD722C" w:rsidP="00EB0D4E">
      <w:pPr>
        <w:rPr>
          <w:shd w:val="clear" w:color="auto" w:fill="FFFFFF"/>
        </w:rPr>
      </w:pPr>
      <w:r w:rsidRPr="2A825700">
        <w:rPr>
          <w:shd w:val="clear" w:color="auto" w:fill="FFFFFF"/>
        </w:rPr>
        <w:t>Table</w:t>
      </w:r>
      <w:r w:rsidR="00CF65E5" w:rsidRPr="2A825700">
        <w:rPr>
          <w:shd w:val="clear" w:color="auto" w:fill="FFFFFF"/>
        </w:rPr>
        <w:t xml:space="preserve"> </w:t>
      </w:r>
      <w:r w:rsidR="209E0452" w:rsidRPr="2A825700">
        <w:rPr>
          <w:shd w:val="clear" w:color="auto" w:fill="FFFFFF"/>
        </w:rPr>
        <w:t>3</w:t>
      </w:r>
      <w:r w:rsidR="00CF65E5" w:rsidRPr="2A825700">
        <w:rPr>
          <w:shd w:val="clear" w:color="auto" w:fill="FFFFFF"/>
        </w:rPr>
        <w:t xml:space="preserve"> summarizes the resource build out in 2031, the resource planning year needed specifically for the 2021-2022 TPP. The GHG target modeled in 2031 was 44.1 MMT.</w:t>
      </w:r>
      <w:r w:rsidR="00CF65E5" w:rsidRPr="2A825700">
        <w:rPr>
          <w:rStyle w:val="FootnoteReference"/>
          <w:shd w:val="clear" w:color="auto" w:fill="FFFFFF"/>
        </w:rPr>
        <w:footnoteReference w:id="12"/>
      </w:r>
    </w:p>
    <w:p w14:paraId="532D8E06" w14:textId="393E6689" w:rsidR="00CF65E5" w:rsidRPr="00D52815" w:rsidRDefault="00CF65E5" w:rsidP="00A24A87">
      <w:pPr>
        <w:ind w:left="0"/>
      </w:pPr>
    </w:p>
    <w:p w14:paraId="6B8B29EB" w14:textId="607EEF95" w:rsidR="001C574A" w:rsidRDefault="001C574A" w:rsidP="00F47A13">
      <w:pPr>
        <w:pStyle w:val="Caption"/>
        <w:keepNext/>
      </w:pPr>
      <w:r>
        <w:t xml:space="preserve">Table </w:t>
      </w:r>
      <w:r>
        <w:fldChar w:fldCharType="begin"/>
      </w:r>
      <w:r>
        <w:instrText>SEQ Table \* ARABIC</w:instrText>
      </w:r>
      <w:r>
        <w:fldChar w:fldCharType="separate"/>
      </w:r>
      <w:r w:rsidR="001D72D3">
        <w:rPr>
          <w:noProof/>
        </w:rPr>
        <w:t>3</w:t>
      </w:r>
      <w:r>
        <w:fldChar w:fldCharType="end"/>
      </w:r>
      <w:r w:rsidR="003E569E">
        <w:t>.</w:t>
      </w:r>
      <w:r>
        <w:t xml:space="preserve"> </w:t>
      </w:r>
      <w:r w:rsidRPr="00B02F38">
        <w:t>Capacity Additions in 2031 in the 46 MMT with 2019 IEPR Portfolio</w:t>
      </w:r>
    </w:p>
    <w:p w14:paraId="4E8C2705" w14:textId="5E9AB8D0" w:rsidR="00CF65E5" w:rsidRDefault="47E0F8D1" w:rsidP="00BE1D0A">
      <w:r>
        <w:rPr>
          <w:noProof/>
        </w:rPr>
        <w:drawing>
          <wp:inline distT="0" distB="0" distL="0" distR="0" wp14:anchorId="482A6B45" wp14:editId="140E31D7">
            <wp:extent cx="2691623" cy="3083441"/>
            <wp:effectExtent l="0" t="0" r="1270" b="3175"/>
            <wp:docPr id="781253678" name="Picture 78125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11036" cy="3105679"/>
                    </a:xfrm>
                    <a:prstGeom prst="rect">
                      <a:avLst/>
                    </a:prstGeom>
                  </pic:spPr>
                </pic:pic>
              </a:graphicData>
            </a:graphic>
          </wp:inline>
        </w:drawing>
      </w:r>
      <w:r w:rsidR="00CF65E5">
        <w:rPr>
          <w:shd w:val="clear" w:color="auto" w:fill="FFFFFF"/>
        </w:rPr>
        <w:br w:type="textWrapping" w:clear="all"/>
      </w:r>
    </w:p>
    <w:p w14:paraId="5481A9CE" w14:textId="0DCEAFFB" w:rsidR="008D5585" w:rsidRDefault="00E61FAC" w:rsidP="008D5585">
      <w:pPr>
        <w:rPr>
          <w:shd w:val="clear" w:color="auto" w:fill="FFFFFF"/>
        </w:rPr>
      </w:pPr>
      <w:r>
        <w:lastRenderedPageBreak/>
        <w:t xml:space="preserve">This portfolio </w:t>
      </w:r>
      <w:r w:rsidR="008D5585">
        <w:rPr>
          <w:shd w:val="clear" w:color="auto" w:fill="FFFFFF"/>
        </w:rPr>
        <w:t xml:space="preserve">meets the RESOLVE 15% Planning Reserve Margin (PRM) constraint </w:t>
      </w:r>
      <w:r w:rsidR="00E36DFC">
        <w:t>and additionally contains</w:t>
      </w:r>
      <w:r w:rsidR="008D5585">
        <w:rPr>
          <w:shd w:val="clear" w:color="auto" w:fill="FFFFFF"/>
        </w:rPr>
        <w:t xml:space="preserve"> the 2 GW calibration adjustment added in 2026 and later years</w:t>
      </w:r>
      <w:r w:rsidR="00E36DFC">
        <w:t xml:space="preserve">. The loss of load expectation (LOLE) study </w:t>
      </w:r>
      <w:r w:rsidR="0059068F">
        <w:t xml:space="preserve">results </w:t>
      </w:r>
      <w:proofErr w:type="gramStart"/>
      <w:r w:rsidR="0059068F">
        <w:t>i</w:t>
      </w:r>
      <w:r w:rsidR="00295082">
        <w:t>nclude</w:t>
      </w:r>
      <w:proofErr w:type="gramEnd"/>
      <w:r w:rsidR="00295082">
        <w:t xml:space="preserve"> a </w:t>
      </w:r>
      <w:r w:rsidR="00533DAD">
        <w:t xml:space="preserve">0.10 LOLE in 2026 and a </w:t>
      </w:r>
      <w:r w:rsidR="001B7965">
        <w:t>0.</w:t>
      </w:r>
      <w:r w:rsidR="099DDDC6">
        <w:t>064</w:t>
      </w:r>
      <w:r w:rsidR="001B7965">
        <w:t xml:space="preserve"> LOLE in 2031</w:t>
      </w:r>
      <w:r w:rsidR="00347A21">
        <w:t>, indicating that this is a reliable portfolio.</w:t>
      </w:r>
    </w:p>
    <w:p w14:paraId="6F644545" w14:textId="77777777" w:rsidR="536A89F0" w:rsidRDefault="536A89F0"/>
    <w:p w14:paraId="50348538" w14:textId="7F89BBCD" w:rsidR="2E3FEE58" w:rsidRDefault="2E3FEE58" w:rsidP="252CA429">
      <w:r>
        <w:t xml:space="preserve">The inputs </w:t>
      </w:r>
      <w:r w:rsidR="00704B5E">
        <w:t>to the mapping process</w:t>
      </w:r>
      <w:r>
        <w:t xml:space="preserve"> for this portfolio are summarized in</w:t>
      </w:r>
      <w:r w:rsidR="00F60953">
        <w:t xml:space="preserve"> </w:t>
      </w:r>
      <w:r w:rsidR="264B5773">
        <w:t xml:space="preserve">Table </w:t>
      </w:r>
      <w:r w:rsidR="00653ED1">
        <w:t>4</w:t>
      </w:r>
      <w:r w:rsidR="00F60953">
        <w:t xml:space="preserve"> </w:t>
      </w:r>
      <w:r>
        <w:t>below.</w:t>
      </w:r>
      <w:r w:rsidR="00F60953">
        <w:t xml:space="preserve"> </w:t>
      </w:r>
      <w:r w:rsidR="0C331C6E">
        <w:t>The inputs</w:t>
      </w:r>
      <w:r w:rsidR="030F200F">
        <w:t xml:space="preserve"> started</w:t>
      </w:r>
      <w:r w:rsidR="7A030218">
        <w:t xml:space="preserve"> with the RESOLVE selected resources</w:t>
      </w:r>
      <w:r w:rsidR="00C2F7AF">
        <w:t>, the</w:t>
      </w:r>
      <w:r w:rsidR="666BB4E0">
        <w:t>n</w:t>
      </w:r>
      <w:r w:rsidR="00C2F7AF">
        <w:t xml:space="preserve"> </w:t>
      </w:r>
      <w:r w:rsidR="0DBDC2C6">
        <w:t xml:space="preserve">applied the </w:t>
      </w:r>
      <w:r w:rsidR="00C2F7AF">
        <w:t>baseline reconciliati</w:t>
      </w:r>
      <w:r w:rsidR="70E63617">
        <w:t xml:space="preserve">on </w:t>
      </w:r>
      <w:r w:rsidR="2A24F192">
        <w:t xml:space="preserve">described in the </w:t>
      </w:r>
      <w:r w:rsidR="006E3DEF">
        <w:fldChar w:fldCharType="begin"/>
      </w:r>
      <w:r w:rsidR="006E3DEF">
        <w:instrText xml:space="preserve"> REF _Ref36201141 \h </w:instrText>
      </w:r>
      <w:r w:rsidR="006E3DEF">
        <w:fldChar w:fldCharType="separate"/>
      </w:r>
      <w:r w:rsidR="006E3DEF" w:rsidRPr="005D72D3">
        <w:t>Inputs</w:t>
      </w:r>
      <w:r w:rsidR="006E3DEF">
        <w:fldChar w:fldCharType="end"/>
      </w:r>
      <w:r w:rsidR="006E3DEF">
        <w:t xml:space="preserve"> </w:t>
      </w:r>
      <w:r w:rsidR="2A24F192">
        <w:t>above, to</w:t>
      </w:r>
      <w:r w:rsidR="70E63617">
        <w:t xml:space="preserve"> account for the new baseline contracted resources.</w:t>
      </w:r>
      <w:r w:rsidR="37A4D027">
        <w:t xml:space="preserve"> </w:t>
      </w:r>
      <w:r w:rsidR="70E3C126">
        <w:t>The result</w:t>
      </w:r>
      <w:r w:rsidR="0578B615">
        <w:t>ing</w:t>
      </w:r>
      <w:r w:rsidR="70E3C126">
        <w:t xml:space="preserve"> </w:t>
      </w:r>
      <w:r w:rsidR="37A4D027">
        <w:t>adjusted selected resources for the first round of busbar mapping for this portfolio amount</w:t>
      </w:r>
      <w:r w:rsidR="26C327D7">
        <w:t>ed</w:t>
      </w:r>
      <w:r w:rsidR="37A4D027">
        <w:t xml:space="preserve"> to 11,700 MW of solar resources, 2,943 MW of in-state wind, 1,062 MW of out-of-state wind, 9,419 MW of battery storage, and 627 MW of pumped hydro storage resources. </w:t>
      </w:r>
      <w:r w:rsidR="00F60953">
        <w:t xml:space="preserve">Further details of </w:t>
      </w:r>
      <w:r w:rsidR="00704B5E">
        <w:t xml:space="preserve">these </w:t>
      </w:r>
      <w:r w:rsidR="00F60953">
        <w:t>are available in</w:t>
      </w:r>
      <w:r w:rsidR="00C41340">
        <w:t xml:space="preserve"> </w:t>
      </w:r>
      <w:r w:rsidR="45726124">
        <w:t xml:space="preserve">Appendix </w:t>
      </w:r>
      <w:r w:rsidR="00D95DCB">
        <w:fldChar w:fldCharType="begin"/>
      </w:r>
      <w:r w:rsidR="00D95DCB">
        <w:instrText xml:space="preserve"> REF _Ref36122216 \r \h </w:instrText>
      </w:r>
      <w:r w:rsidR="00D95DCB">
        <w:fldChar w:fldCharType="separate"/>
      </w:r>
      <w:r w:rsidR="002829AA">
        <w:t>D</w:t>
      </w:r>
      <w:r w:rsidR="00D95DCB">
        <w:fldChar w:fldCharType="end"/>
      </w:r>
      <w:r w:rsidR="00F60953">
        <w:t>.</w:t>
      </w:r>
      <w:r>
        <w:t xml:space="preserve"> </w:t>
      </w:r>
    </w:p>
    <w:p w14:paraId="7ACA4C4F" w14:textId="6CDAB2A5" w:rsidR="2E3FEE58" w:rsidRDefault="2E3FEE58"/>
    <w:p w14:paraId="1193EC06" w14:textId="77777777" w:rsidR="536A89F0" w:rsidRDefault="536A89F0"/>
    <w:p w14:paraId="0E598724" w14:textId="2103557F" w:rsidR="00C94E39" w:rsidRDefault="00C94E39" w:rsidP="005169DA">
      <w:pPr>
        <w:pStyle w:val="Caption"/>
        <w:keepNext/>
      </w:pPr>
      <w:r>
        <w:lastRenderedPageBreak/>
        <w:t xml:space="preserve">Table </w:t>
      </w:r>
      <w:r w:rsidR="00F02B49">
        <w:fldChar w:fldCharType="begin"/>
      </w:r>
      <w:r w:rsidR="00F02B49">
        <w:instrText xml:space="preserve"> SEQ Table \* ARABIC </w:instrText>
      </w:r>
      <w:r w:rsidR="00F02B49">
        <w:fldChar w:fldCharType="separate"/>
      </w:r>
      <w:r w:rsidR="001D72D3">
        <w:rPr>
          <w:noProof/>
        </w:rPr>
        <w:t>4</w:t>
      </w:r>
      <w:r w:rsidR="00F02B49">
        <w:rPr>
          <w:noProof/>
        </w:rPr>
        <w:fldChar w:fldCharType="end"/>
      </w:r>
      <w:r>
        <w:t xml:space="preserve">. </w:t>
      </w:r>
      <w:r w:rsidRPr="00C94E39">
        <w:t>All resources selected in the 46 MMT portfolio (2031 cumulative)</w:t>
      </w:r>
    </w:p>
    <w:p w14:paraId="5C047217" w14:textId="2DD7F053" w:rsidR="536A89F0" w:rsidRDefault="069535EF" w:rsidP="5A501B9C">
      <w:r>
        <w:rPr>
          <w:noProof/>
        </w:rPr>
        <w:drawing>
          <wp:inline distT="0" distB="0" distL="0" distR="0" wp14:anchorId="4AE98DEA" wp14:editId="31969D6E">
            <wp:extent cx="4572000" cy="5876926"/>
            <wp:effectExtent l="0" t="0" r="0" b="0"/>
            <wp:docPr id="1710919756" name="Picture 171091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919756"/>
                    <pic:cNvPicPr/>
                  </pic:nvPicPr>
                  <pic:blipFill>
                    <a:blip r:embed="rId16">
                      <a:extLst>
                        <a:ext uri="{28A0092B-C50C-407E-A947-70E740481C1C}">
                          <a14:useLocalDpi xmlns:a14="http://schemas.microsoft.com/office/drawing/2010/main" val="0"/>
                        </a:ext>
                      </a:extLst>
                    </a:blip>
                    <a:stretch>
                      <a:fillRect/>
                    </a:stretch>
                  </pic:blipFill>
                  <pic:spPr>
                    <a:xfrm>
                      <a:off x="0" y="0"/>
                      <a:ext cx="4572000" cy="5876926"/>
                    </a:xfrm>
                    <a:prstGeom prst="rect">
                      <a:avLst/>
                    </a:prstGeom>
                  </pic:spPr>
                </pic:pic>
              </a:graphicData>
            </a:graphic>
          </wp:inline>
        </w:drawing>
      </w:r>
    </w:p>
    <w:p w14:paraId="763BEC7C" w14:textId="4D49BFC6" w:rsidR="3260C83D" w:rsidRDefault="3260C83D" w:rsidP="3260C83D"/>
    <w:p w14:paraId="0069F7E8" w14:textId="27EEBC8E" w:rsidR="4E1893D1" w:rsidRDefault="4E1893D1" w:rsidP="4E1893D1"/>
    <w:p w14:paraId="2B094ACD" w14:textId="1A89D1C7" w:rsidR="2E3FEE58" w:rsidRPr="000115B3" w:rsidRDefault="48858D11" w:rsidP="000115B3">
      <w:pPr>
        <w:pStyle w:val="Heading3"/>
      </w:pPr>
      <w:r w:rsidRPr="000115B3">
        <w:t xml:space="preserve"> </w:t>
      </w:r>
      <w:bookmarkStart w:id="38" w:name="_Ref60744675"/>
      <w:bookmarkStart w:id="39" w:name="_Toc63669595"/>
      <w:r w:rsidR="672856F2" w:rsidRPr="000115B3">
        <w:t>38 MMT with 2019 IEPR</w:t>
      </w:r>
      <w:bookmarkEnd w:id="38"/>
      <w:bookmarkEnd w:id="39"/>
    </w:p>
    <w:p w14:paraId="7E43972B" w14:textId="0D76F096" w:rsidR="001B4773" w:rsidRPr="00C2696F" w:rsidRDefault="001B4773" w:rsidP="00EB0D4E">
      <w:pPr>
        <w:pStyle w:val="Heading4"/>
      </w:pPr>
      <w:r w:rsidRPr="00FD3165">
        <w:t>Objective and Rationale</w:t>
      </w:r>
    </w:p>
    <w:p w14:paraId="051F1CF5" w14:textId="0DA7556D" w:rsidR="001B4773" w:rsidRDefault="001B4773" w:rsidP="005169DA">
      <w:pPr>
        <w:spacing w:after="120"/>
        <w:rPr>
          <w:shd w:val="clear" w:color="auto" w:fill="FFFFFF"/>
        </w:rPr>
      </w:pPr>
      <w:r>
        <w:rPr>
          <w:shd w:val="clear" w:color="auto" w:fill="FFFFFF"/>
        </w:rPr>
        <w:t xml:space="preserve">The objective for the transmittal of this portfolio to the CAISO for the </w:t>
      </w:r>
      <w:r w:rsidR="006B785C">
        <w:rPr>
          <w:shd w:val="clear" w:color="auto" w:fill="FFFFFF"/>
        </w:rPr>
        <w:t>2</w:t>
      </w:r>
      <w:r w:rsidR="104903E0">
        <w:rPr>
          <w:shd w:val="clear" w:color="auto" w:fill="FFFFFF"/>
        </w:rPr>
        <w:t>02</w:t>
      </w:r>
      <w:r w:rsidR="006B785C">
        <w:rPr>
          <w:shd w:val="clear" w:color="auto" w:fill="FFFFFF"/>
        </w:rPr>
        <w:t>1-</w:t>
      </w:r>
      <w:r w:rsidR="4789E27C">
        <w:rPr>
          <w:shd w:val="clear" w:color="auto" w:fill="FFFFFF"/>
        </w:rPr>
        <w:t>20</w:t>
      </w:r>
      <w:r w:rsidR="006B785C">
        <w:rPr>
          <w:shd w:val="clear" w:color="auto" w:fill="FFFFFF"/>
        </w:rPr>
        <w:t xml:space="preserve">22 </w:t>
      </w:r>
      <w:r>
        <w:rPr>
          <w:shd w:val="clear" w:color="auto" w:fill="FFFFFF"/>
        </w:rPr>
        <w:t xml:space="preserve">TPP as a policy-driven sensitivity is </w:t>
      </w:r>
      <w:r w:rsidR="006B785C">
        <w:rPr>
          <w:shd w:val="clear" w:color="auto" w:fill="FFFFFF"/>
        </w:rPr>
        <w:t xml:space="preserve">to </w:t>
      </w:r>
      <w:r>
        <w:rPr>
          <w:shd w:val="clear" w:color="auto" w:fill="FFFFFF"/>
        </w:rPr>
        <w:t>understand the</w:t>
      </w:r>
      <w:r w:rsidRPr="00437712">
        <w:rPr>
          <w:shd w:val="clear" w:color="auto" w:fill="FFFFFF"/>
        </w:rPr>
        <w:t xml:space="preserve"> transmission implications</w:t>
      </w:r>
      <w:r>
        <w:rPr>
          <w:shd w:val="clear" w:color="auto" w:fill="FFFFFF"/>
        </w:rPr>
        <w:t xml:space="preserve"> under a 38 MMT resource planning future</w:t>
      </w:r>
      <w:r w:rsidR="006B785C">
        <w:rPr>
          <w:shd w:val="clear" w:color="auto" w:fill="FFFFFF"/>
        </w:rPr>
        <w:t>, one not previously studied in the TPP</w:t>
      </w:r>
      <w:r>
        <w:rPr>
          <w:shd w:val="clear" w:color="auto" w:fill="FFFFFF"/>
        </w:rPr>
        <w:t>,</w:t>
      </w:r>
      <w:r w:rsidRPr="00437712">
        <w:rPr>
          <w:shd w:val="clear" w:color="auto" w:fill="FFFFFF"/>
        </w:rPr>
        <w:t xml:space="preserve"> </w:t>
      </w:r>
      <w:r w:rsidR="006B785C">
        <w:rPr>
          <w:shd w:val="clear" w:color="auto" w:fill="FFFFFF"/>
        </w:rPr>
        <w:t>and to</w:t>
      </w:r>
      <w:r w:rsidRPr="00437712">
        <w:rPr>
          <w:shd w:val="clear" w:color="auto" w:fill="FFFFFF"/>
        </w:rPr>
        <w:t xml:space="preserve"> inform future </w:t>
      </w:r>
      <w:r>
        <w:rPr>
          <w:shd w:val="clear" w:color="auto" w:fill="FFFFFF"/>
        </w:rPr>
        <w:t>CPUC decision-making to</w:t>
      </w:r>
      <w:r w:rsidRPr="00437712">
        <w:rPr>
          <w:shd w:val="clear" w:color="auto" w:fill="FFFFFF"/>
        </w:rPr>
        <w:t xml:space="preserve"> drive resource planning</w:t>
      </w:r>
      <w:r>
        <w:rPr>
          <w:shd w:val="clear" w:color="auto" w:fill="FFFFFF"/>
        </w:rPr>
        <w:t xml:space="preserve"> and development. The design of this portfolio best achieves this by closely reflecting the most recent 38 MMT portfolio included</w:t>
      </w:r>
      <w:r>
        <w:t xml:space="preserve"> </w:t>
      </w:r>
      <w:r w:rsidR="431C2132">
        <w:t>as planning guidance for LSEs</w:t>
      </w:r>
      <w:r>
        <w:rPr>
          <w:shd w:val="clear" w:color="auto" w:fill="FFFFFF"/>
        </w:rPr>
        <w:t xml:space="preserve"> in D.20-03-028 but updated to the most recent</w:t>
      </w:r>
      <w:r w:rsidR="3E82E82A">
        <w:t xml:space="preserve">ly adopted IEPR </w:t>
      </w:r>
      <w:r>
        <w:rPr>
          <w:shd w:val="clear" w:color="auto" w:fill="FFFFFF"/>
        </w:rPr>
        <w:t>load forecast.</w:t>
      </w:r>
      <w:r w:rsidRPr="00117003">
        <w:rPr>
          <w:shd w:val="clear" w:color="auto" w:fill="FFFFFF"/>
        </w:rPr>
        <w:t xml:space="preserve"> </w:t>
      </w:r>
      <w:r>
        <w:rPr>
          <w:shd w:val="clear" w:color="auto" w:fill="FFFFFF"/>
        </w:rPr>
        <w:lastRenderedPageBreak/>
        <w:t xml:space="preserve">The TPP assessment results produced could be used to inform future IRP modeling inputs, assumptions, or scenarios. </w:t>
      </w:r>
      <w:r w:rsidR="5BAA4203">
        <w:rPr>
          <w:shd w:val="clear" w:color="auto" w:fill="FFFFFF"/>
        </w:rPr>
        <w:t>B</w:t>
      </w:r>
      <w:r w:rsidR="7E5A51B0">
        <w:t xml:space="preserve">ecause the resource planning year needed specifically for the 2021-2022 TPP is 2031, the emissions of the portfolio in 2031 are </w:t>
      </w:r>
      <w:r w:rsidR="008F312E">
        <w:t xml:space="preserve">lower than </w:t>
      </w:r>
      <w:r w:rsidR="7E5A51B0">
        <w:t xml:space="preserve">the </w:t>
      </w:r>
      <w:r w:rsidR="003319B5">
        <w:t>38</w:t>
      </w:r>
      <w:r w:rsidR="73756AD3">
        <w:t xml:space="preserve"> </w:t>
      </w:r>
      <w:r w:rsidR="7E5A51B0">
        <w:t xml:space="preserve">MMT as described in more </w:t>
      </w:r>
      <w:r w:rsidR="68883FF1">
        <w:t xml:space="preserve">detail </w:t>
      </w:r>
      <w:r w:rsidR="7E5A51B0">
        <w:t>under the “Description”</w:t>
      </w:r>
      <w:r w:rsidR="66834019">
        <w:t xml:space="preserve"> </w:t>
      </w:r>
      <w:r w:rsidR="3991A55D">
        <w:t>section below.</w:t>
      </w:r>
      <w:r w:rsidR="66834019">
        <w:t xml:space="preserve"> The portfolio naming convention reflects the 2030 GHG </w:t>
      </w:r>
      <w:r w:rsidR="16A5F6CC">
        <w:t xml:space="preserve">target as that is the primary policy driven planning year. </w:t>
      </w:r>
    </w:p>
    <w:p w14:paraId="3271FAA7" w14:textId="112DF4B0" w:rsidR="001B4773" w:rsidRDefault="001B4773" w:rsidP="00B50168">
      <w:pPr>
        <w:rPr>
          <w:shd w:val="clear" w:color="auto" w:fill="FFFFFF"/>
        </w:rPr>
      </w:pPr>
      <w:r>
        <w:t xml:space="preserve">Furthermore, the CAISO could use this policy-driven sensitivity portfolio to determine which identified base case upgrades or alternatives are “least regrets” under a lower GHG target resource planning future. </w:t>
      </w:r>
    </w:p>
    <w:p w14:paraId="5DA4DDED" w14:textId="218A4126" w:rsidR="003E1DD1" w:rsidRDefault="003E1DD1" w:rsidP="00EB0D4E">
      <w:pPr>
        <w:pStyle w:val="Heading4"/>
        <w:rPr>
          <w:shd w:val="clear" w:color="auto" w:fill="FFFFFF"/>
        </w:rPr>
      </w:pPr>
      <w:r>
        <w:t>Description</w:t>
      </w:r>
    </w:p>
    <w:p w14:paraId="724334DE" w14:textId="70403AE6" w:rsidR="00F16F6B" w:rsidRDefault="00FB000A" w:rsidP="005169DA">
      <w:pPr>
        <w:spacing w:after="120"/>
      </w:pPr>
      <w:r w:rsidRPr="12411C98">
        <w:rPr>
          <w:shd w:val="clear" w:color="auto" w:fill="FFFFFF"/>
        </w:rPr>
        <w:t xml:space="preserve">For the planning year 2031, the </w:t>
      </w:r>
      <w:r w:rsidR="00F16F6B">
        <w:rPr>
          <w:shd w:val="clear" w:color="auto" w:fill="FFFFFF"/>
        </w:rPr>
        <w:t>38 MMT</w:t>
      </w:r>
      <w:r w:rsidRPr="12411C98">
        <w:rPr>
          <w:shd w:val="clear" w:color="auto" w:fill="FFFFFF"/>
        </w:rPr>
        <w:t xml:space="preserve"> portfolio comprises 19,928 MW of new in-state renewable resources, 3,000 MW of OOS renewable resources, and 10,663 MW of battery storage, among other resources</w:t>
      </w:r>
      <w:r>
        <w:rPr>
          <w:shd w:val="clear" w:color="auto" w:fill="FFFFFF"/>
        </w:rPr>
        <w:t>. Table 5</w:t>
      </w:r>
      <w:r w:rsidR="003E1DD1" w:rsidRPr="03332FD4">
        <w:rPr>
          <w:shd w:val="clear" w:color="auto" w:fill="FFFFFF"/>
        </w:rPr>
        <w:t xml:space="preserve"> summarizes the resource build out in 2031, the resource planning year needed specifically for the 2021-2022 TPP. The GHG target modeled in 2031 was 36.4 MMT.</w:t>
      </w:r>
      <w:r w:rsidR="003E1DD1" w:rsidRPr="03332FD4">
        <w:rPr>
          <w:rStyle w:val="FootnoteReference"/>
          <w:shd w:val="clear" w:color="auto" w:fill="FFFFFF"/>
        </w:rPr>
        <w:footnoteReference w:id="13"/>
      </w:r>
      <w:r w:rsidR="0053158E">
        <w:rPr>
          <w:shd w:val="clear" w:color="auto" w:fill="FFFFFF"/>
        </w:rPr>
        <w:t xml:space="preserve"> </w:t>
      </w:r>
    </w:p>
    <w:p w14:paraId="531E53FF" w14:textId="41C27CC4" w:rsidR="00F16F6B" w:rsidRDefault="0053158E" w:rsidP="00FB000A">
      <w:r>
        <w:t>The inputs to the mapping process for this portfolio are summarized in Table 6</w:t>
      </w:r>
      <w:r w:rsidR="00F16F6B">
        <w:t>.</w:t>
      </w:r>
      <w:r w:rsidR="00D97D70">
        <w:t xml:space="preserve"> </w:t>
      </w:r>
      <w:r w:rsidR="307DE9E3">
        <w:t xml:space="preserve">The inputs started with the RESOLVE selected resources, then applied the baseline reconciliation described in the Inputs </w:t>
      </w:r>
      <w:r w:rsidR="002829AA">
        <w:t xml:space="preserve">section </w:t>
      </w:r>
      <w:r w:rsidR="002829AA">
        <w:fldChar w:fldCharType="begin"/>
      </w:r>
      <w:r w:rsidR="002829AA">
        <w:instrText xml:space="preserve"> REF _Ref36201141 \r \h </w:instrText>
      </w:r>
      <w:r w:rsidR="002829AA">
        <w:fldChar w:fldCharType="separate"/>
      </w:r>
      <w:r w:rsidR="002829AA">
        <w:t>4</w:t>
      </w:r>
      <w:r w:rsidR="002829AA">
        <w:fldChar w:fldCharType="end"/>
      </w:r>
      <w:r w:rsidR="307DE9E3">
        <w:t xml:space="preserve"> above, to account for the new baseline contracted resources. The resulting adjusted selected resources for the first round of busbar mapping for this portfolio amounted to </w:t>
      </w:r>
      <w:r w:rsidR="5457A5EF">
        <w:t>13,816</w:t>
      </w:r>
      <w:r w:rsidR="307DE9E3">
        <w:t xml:space="preserve"> MW of solar resources, </w:t>
      </w:r>
      <w:r w:rsidR="0464F32A">
        <w:t>4,955</w:t>
      </w:r>
      <w:r w:rsidR="307DE9E3">
        <w:t xml:space="preserve"> MW of in-state wind, </w:t>
      </w:r>
      <w:r w:rsidR="22568D91">
        <w:t>3,000</w:t>
      </w:r>
      <w:r w:rsidR="307DE9E3">
        <w:t xml:space="preserve"> MW of out-of-state wind</w:t>
      </w:r>
      <w:r w:rsidR="783161FB">
        <w:t>, 105 MW of geothermal</w:t>
      </w:r>
      <w:r w:rsidR="307DE9E3">
        <w:t>, 9,4</w:t>
      </w:r>
      <w:r w:rsidR="009830A7">
        <w:t>47</w:t>
      </w:r>
      <w:r w:rsidR="307DE9E3">
        <w:t xml:space="preserve"> MW of battery storage, and </w:t>
      </w:r>
      <w:r w:rsidR="7E97F85F">
        <w:t>1,843</w:t>
      </w:r>
      <w:r w:rsidR="307DE9E3">
        <w:t xml:space="preserve"> MW of pumped hydro storage resources.</w:t>
      </w:r>
      <w:r w:rsidR="00D97D70">
        <w:t xml:space="preserve"> Further details of these are available in </w:t>
      </w:r>
      <w:r w:rsidR="187BD917">
        <w:t xml:space="preserve">Appendix </w:t>
      </w:r>
      <w:r w:rsidR="00D95DCB">
        <w:fldChar w:fldCharType="begin"/>
      </w:r>
      <w:r w:rsidR="00D95DCB">
        <w:instrText xml:space="preserve"> REF _Ref36123900 \r \h </w:instrText>
      </w:r>
      <w:r w:rsidR="00D95DCB">
        <w:fldChar w:fldCharType="separate"/>
      </w:r>
      <w:r w:rsidR="003B7A14">
        <w:t>E</w:t>
      </w:r>
      <w:r w:rsidR="00D95DCB">
        <w:fldChar w:fldCharType="end"/>
      </w:r>
      <w:r w:rsidR="002829AA">
        <w:t>.</w:t>
      </w:r>
    </w:p>
    <w:p w14:paraId="2D9FAA24" w14:textId="77777777" w:rsidR="001C574A" w:rsidRDefault="001C574A" w:rsidP="00F16F6B">
      <w:pPr>
        <w:rPr>
          <w:shd w:val="clear" w:color="auto" w:fill="FFFFFF"/>
        </w:rPr>
      </w:pPr>
    </w:p>
    <w:p w14:paraId="1CA119B3" w14:textId="0E3969F4" w:rsidR="00C94E39" w:rsidRDefault="00C94E39" w:rsidP="005169DA">
      <w:pPr>
        <w:pStyle w:val="Caption"/>
        <w:keepNext/>
      </w:pPr>
      <w:r>
        <w:t xml:space="preserve">Table </w:t>
      </w:r>
      <w:r w:rsidR="00F02B49">
        <w:fldChar w:fldCharType="begin"/>
      </w:r>
      <w:r w:rsidR="00F02B49">
        <w:instrText xml:space="preserve"> SEQ Table \* ARABIC </w:instrText>
      </w:r>
      <w:r w:rsidR="00F02B49">
        <w:fldChar w:fldCharType="separate"/>
      </w:r>
      <w:r w:rsidR="001D72D3">
        <w:rPr>
          <w:noProof/>
        </w:rPr>
        <w:t>5</w:t>
      </w:r>
      <w:r w:rsidR="00F02B49">
        <w:rPr>
          <w:noProof/>
        </w:rPr>
        <w:fldChar w:fldCharType="end"/>
      </w:r>
      <w:r>
        <w:t xml:space="preserve">. </w:t>
      </w:r>
      <w:r w:rsidRPr="00C94E39">
        <w:t>Capacity Additions in 2031 in the 38 MMT with 2019 IEPR Portfolio</w:t>
      </w:r>
    </w:p>
    <w:p w14:paraId="06C2A078" w14:textId="6AC4B992" w:rsidR="003E1DD1" w:rsidRPr="005169DA" w:rsidRDefault="7180E932" w:rsidP="005169DA">
      <w:r>
        <w:rPr>
          <w:noProof/>
        </w:rPr>
        <w:drawing>
          <wp:inline distT="0" distB="0" distL="0" distR="0" wp14:anchorId="0A7071DF" wp14:editId="6B47F287">
            <wp:extent cx="2700670" cy="3084046"/>
            <wp:effectExtent l="0" t="0" r="4445" b="2540"/>
            <wp:docPr id="740290060" name="Picture 74029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290060"/>
                    <pic:cNvPicPr/>
                  </pic:nvPicPr>
                  <pic:blipFill>
                    <a:blip r:embed="rId17">
                      <a:extLst>
                        <a:ext uri="{28A0092B-C50C-407E-A947-70E740481C1C}">
                          <a14:useLocalDpi xmlns:a14="http://schemas.microsoft.com/office/drawing/2010/main" val="0"/>
                        </a:ext>
                      </a:extLst>
                    </a:blip>
                    <a:stretch>
                      <a:fillRect/>
                    </a:stretch>
                  </pic:blipFill>
                  <pic:spPr>
                    <a:xfrm>
                      <a:off x="0" y="0"/>
                      <a:ext cx="2700670" cy="3084046"/>
                    </a:xfrm>
                    <a:prstGeom prst="rect">
                      <a:avLst/>
                    </a:prstGeom>
                  </pic:spPr>
                </pic:pic>
              </a:graphicData>
            </a:graphic>
          </wp:inline>
        </w:drawing>
      </w:r>
    </w:p>
    <w:p w14:paraId="2695000D" w14:textId="15D3862F" w:rsidR="00C94E39" w:rsidRDefault="00C94E39" w:rsidP="005169DA">
      <w:pPr>
        <w:pStyle w:val="Caption"/>
        <w:keepNext/>
      </w:pPr>
      <w:r>
        <w:lastRenderedPageBreak/>
        <w:t xml:space="preserve">Table </w:t>
      </w:r>
      <w:r w:rsidR="00F02B49">
        <w:fldChar w:fldCharType="begin"/>
      </w:r>
      <w:r w:rsidR="00F02B49">
        <w:instrText xml:space="preserve"> SEQ Table \* ARABIC </w:instrText>
      </w:r>
      <w:r w:rsidR="00F02B49">
        <w:fldChar w:fldCharType="separate"/>
      </w:r>
      <w:r w:rsidR="001D72D3">
        <w:rPr>
          <w:noProof/>
        </w:rPr>
        <w:t>6</w:t>
      </w:r>
      <w:r w:rsidR="00F02B49">
        <w:rPr>
          <w:noProof/>
        </w:rPr>
        <w:fldChar w:fldCharType="end"/>
      </w:r>
      <w:r>
        <w:t xml:space="preserve">. </w:t>
      </w:r>
      <w:r w:rsidRPr="00C94E39">
        <w:t>All resources selected in the 38 MMT portfolio (2031 cumulative)</w:t>
      </w:r>
    </w:p>
    <w:p w14:paraId="3CE344A4" w14:textId="7638AFE6" w:rsidR="00735AD2" w:rsidRDefault="3269D636" w:rsidP="057D115D">
      <w:r>
        <w:rPr>
          <w:noProof/>
        </w:rPr>
        <w:drawing>
          <wp:inline distT="0" distB="0" distL="0" distR="0" wp14:anchorId="021BEB37" wp14:editId="5D17CFF1">
            <wp:extent cx="4572000" cy="5876926"/>
            <wp:effectExtent l="0" t="0" r="0" b="0"/>
            <wp:docPr id="346900149" name="Picture 3469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00149"/>
                    <pic:cNvPicPr/>
                  </pic:nvPicPr>
                  <pic:blipFill>
                    <a:blip r:embed="rId18">
                      <a:extLst>
                        <a:ext uri="{28A0092B-C50C-407E-A947-70E740481C1C}">
                          <a14:useLocalDpi xmlns:a14="http://schemas.microsoft.com/office/drawing/2010/main" val="0"/>
                        </a:ext>
                      </a:extLst>
                    </a:blip>
                    <a:stretch>
                      <a:fillRect/>
                    </a:stretch>
                  </pic:blipFill>
                  <pic:spPr>
                    <a:xfrm>
                      <a:off x="0" y="0"/>
                      <a:ext cx="4572000" cy="5876926"/>
                    </a:xfrm>
                    <a:prstGeom prst="rect">
                      <a:avLst/>
                    </a:prstGeom>
                  </pic:spPr>
                </pic:pic>
              </a:graphicData>
            </a:graphic>
          </wp:inline>
        </w:drawing>
      </w:r>
    </w:p>
    <w:p w14:paraId="6B612E7F" w14:textId="63CF5B91" w:rsidR="00735AD2" w:rsidRDefault="00735AD2" w:rsidP="00A24A87"/>
    <w:p w14:paraId="72AD8737" w14:textId="0F129A27" w:rsidR="00E32FB0" w:rsidRPr="000115B3" w:rsidRDefault="0D461879" w:rsidP="000115B3">
      <w:pPr>
        <w:pStyle w:val="Heading3"/>
      </w:pPr>
      <w:bookmarkStart w:id="40" w:name="_Ref60744732"/>
      <w:bookmarkStart w:id="41" w:name="_Toc63669596"/>
      <w:r w:rsidRPr="000115B3">
        <w:t xml:space="preserve">Offshore Wind </w:t>
      </w:r>
      <w:r w:rsidR="420EF0FA" w:rsidRPr="000115B3">
        <w:t>Portfolio</w:t>
      </w:r>
      <w:bookmarkEnd w:id="40"/>
      <w:bookmarkEnd w:id="41"/>
    </w:p>
    <w:p w14:paraId="77CCCE8C" w14:textId="29CF184F" w:rsidR="00E32FB0" w:rsidRDefault="00E32FB0" w:rsidP="00EB0D4E">
      <w:pPr>
        <w:pStyle w:val="Heading4"/>
      </w:pPr>
      <w:r w:rsidRPr="00A24A87">
        <w:t>Objective</w:t>
      </w:r>
    </w:p>
    <w:p w14:paraId="383A644E" w14:textId="77777777" w:rsidR="00CA0E1D" w:rsidRPr="00F45AD2" w:rsidRDefault="00CA0E1D" w:rsidP="00CA0E1D">
      <w:pPr>
        <w:rPr>
          <w:rFonts w:ascii="Times New Roman" w:eastAsia="Times New Roman" w:hAnsi="Times New Roman" w:cs="Times New Roman"/>
        </w:rPr>
      </w:pPr>
      <w:r w:rsidRPr="00F45AD2">
        <w:rPr>
          <w:rFonts w:eastAsia="Times New Roman" w:cs="Times New Roman"/>
          <w:color w:val="000000"/>
          <w:bdr w:val="none" w:sz="0" w:space="0" w:color="auto" w:frame="1"/>
        </w:rPr>
        <w:t>The objective of transmitting th</w:t>
      </w:r>
      <w:r>
        <w:rPr>
          <w:rFonts w:eastAsia="Times New Roman" w:cs="Times New Roman"/>
          <w:color w:val="000000"/>
          <w:bdr w:val="none" w:sz="0" w:space="0" w:color="auto" w:frame="1"/>
        </w:rPr>
        <w:t xml:space="preserve">e </w:t>
      </w:r>
      <w:r w:rsidRPr="00F45AD2">
        <w:rPr>
          <w:rFonts w:eastAsia="Times New Roman" w:cs="Times New Roman"/>
          <w:color w:val="000000"/>
          <w:bdr w:val="none" w:sz="0" w:space="0" w:color="auto" w:frame="1"/>
        </w:rPr>
        <w:t xml:space="preserve">“Offshore Wind </w:t>
      </w:r>
      <w:r>
        <w:rPr>
          <w:rFonts w:eastAsia="Times New Roman" w:cs="Times New Roman"/>
          <w:color w:val="000000"/>
          <w:bdr w:val="none" w:sz="0" w:space="0" w:color="auto" w:frame="1"/>
        </w:rPr>
        <w:t xml:space="preserve">Policy-Driven </w:t>
      </w:r>
      <w:r w:rsidRPr="00F45AD2">
        <w:rPr>
          <w:rFonts w:eastAsia="Times New Roman" w:cs="Times New Roman"/>
          <w:color w:val="000000"/>
          <w:bdr w:val="none" w:sz="0" w:space="0" w:color="auto" w:frame="1"/>
        </w:rPr>
        <w:t>Sensitivity Portfolio”</w:t>
      </w:r>
      <w:r>
        <w:rPr>
          <w:rFonts w:ascii="Times New Roman" w:eastAsia="Times New Roman" w:hAnsi="Times New Roman" w:cs="Times New Roman"/>
        </w:rPr>
        <w:t xml:space="preserve"> </w:t>
      </w:r>
      <w:r w:rsidRPr="00F45AD2">
        <w:rPr>
          <w:rFonts w:eastAsia="Times New Roman" w:cs="Times New Roman"/>
          <w:color w:val="000000"/>
          <w:bdr w:val="none" w:sz="0" w:space="0" w:color="auto" w:frame="1"/>
        </w:rPr>
        <w:t>to the CAISO for the TPP is</w:t>
      </w:r>
      <w:r>
        <w:rPr>
          <w:rFonts w:eastAsia="Times New Roman" w:cs="Times New Roman"/>
          <w:color w:val="000000"/>
          <w:bdr w:val="none" w:sz="0" w:space="0" w:color="auto" w:frame="1"/>
        </w:rPr>
        <w:t xml:space="preserve"> </w:t>
      </w:r>
      <w:r w:rsidRPr="00F45AD2">
        <w:rPr>
          <w:rFonts w:eastAsia="Times New Roman" w:cs="Times New Roman"/>
          <w:color w:val="000000"/>
          <w:bdr w:val="none" w:sz="0" w:space="0" w:color="auto" w:frame="1"/>
        </w:rPr>
        <w:t>to improve transmission assumptions relevant to offshore wind for the benefit of future IRP modeling</w:t>
      </w:r>
    </w:p>
    <w:p w14:paraId="75625D97" w14:textId="77777777" w:rsidR="00E32FB0" w:rsidRDefault="00E32FB0" w:rsidP="00E32FB0"/>
    <w:p w14:paraId="59AD6D47" w14:textId="00CB2C52" w:rsidR="00E32FB0" w:rsidRDefault="00E32FB0" w:rsidP="00E32FB0">
      <w:r>
        <w:t xml:space="preserve">CPUC </w:t>
      </w:r>
      <w:r w:rsidR="00812669">
        <w:t>s</w:t>
      </w:r>
      <w:r>
        <w:t xml:space="preserve">taff plan to improve the quality of the data used in modeling offshore wind resources in the CPUC IRP RESOLVE model. For future IRP modeling, </w:t>
      </w:r>
      <w:r w:rsidR="00812669">
        <w:t xml:space="preserve">CPUC </w:t>
      </w:r>
      <w:r>
        <w:t xml:space="preserve">staff plan to use the </w:t>
      </w:r>
      <w:r>
        <w:lastRenderedPageBreak/>
        <w:t>ongoing 2020 NREL California offshore wind study,</w:t>
      </w:r>
      <w:r>
        <w:rPr>
          <w:rStyle w:val="FootnoteReference"/>
        </w:rPr>
        <w:footnoteReference w:id="14"/>
      </w:r>
      <w:r>
        <w:t xml:space="preserve"> when completed, to update resource costs and generation profile data in RESOLVE. This updated information will pertain to five specific areas: Diablo Canyon, Morro Bay, Humboldt, Cape Mendocino, and Del Norte. </w:t>
      </w:r>
      <w:r w:rsidR="00812669">
        <w:t>CPUC s</w:t>
      </w:r>
      <w:r>
        <w:t>taff will also need to update inputs and assumptions on the cost of the bulk transmission system required to deliver resources from these areas to load. In the current CPUC IRP inputs and assumptions, transmission deliverability data is based on a CAISO whitepaper.</w:t>
      </w:r>
      <w:r>
        <w:rPr>
          <w:rStyle w:val="FootnoteReference"/>
        </w:rPr>
        <w:footnoteReference w:id="15"/>
      </w:r>
      <w:r>
        <w:t xml:space="preserve"> However, for three of the five resource areas – Humboldt, Cape Mendocino, and Del Norte – the CAISO whitepaper does not contain any transmission deliverability information. In order for CPUC </w:t>
      </w:r>
      <w:r w:rsidR="00741E22">
        <w:t>s</w:t>
      </w:r>
      <w:r>
        <w:t xml:space="preserve">taff to use the RESOLVE model to consider offshore wind in all five areas in the future, the CPUC needs additional information about transmission upgrade costs. This TPP policy-driven sensitivity resource portfolio is designed with the objective of CAISO producing the required information that will be used to update RESOLVE inputs. </w:t>
      </w:r>
    </w:p>
    <w:p w14:paraId="6D462DB5" w14:textId="77777777" w:rsidR="00E32FB0" w:rsidRDefault="00E32FB0" w:rsidP="00E32FB0"/>
    <w:p w14:paraId="72C1462E" w14:textId="5F856D25" w:rsidR="00E059E9" w:rsidRPr="003050FE" w:rsidRDefault="00E32FB0" w:rsidP="003050FE">
      <w:r>
        <w:t xml:space="preserve">The aim is that the outputs produced will be long-lasting and can be used to study a wide range of futures, including </w:t>
      </w:r>
      <w:r w:rsidR="5544631E">
        <w:t>cases that reflect the SB 100 2045 policy goal</w:t>
      </w:r>
      <w:r>
        <w:t xml:space="preserve"> and high electrification futures. </w:t>
      </w:r>
      <w:r w:rsidR="00741E22">
        <w:t>CPUC s</w:t>
      </w:r>
      <w:r>
        <w:t>taff strive to eliminate the need to include limits on the quantity of a resource type that can be selected in the optimization due to a lack of inputs.</w:t>
      </w:r>
    </w:p>
    <w:p w14:paraId="34F7E863" w14:textId="3A410DB3" w:rsidR="00E32FB0" w:rsidRDefault="00E32FB0" w:rsidP="00EB0D4E">
      <w:pPr>
        <w:pStyle w:val="Heading4"/>
      </w:pPr>
      <w:r w:rsidRPr="00B33880">
        <w:t>Portfolio Development</w:t>
      </w:r>
    </w:p>
    <w:p w14:paraId="259B00A6" w14:textId="77777777" w:rsidR="00E32FB0" w:rsidRDefault="00E32FB0" w:rsidP="00E32FB0">
      <w:r>
        <w:t>The offshore wind sensitivity portfolio was developed using the following assumptions in RESOLVE:</w:t>
      </w:r>
    </w:p>
    <w:p w14:paraId="46749C3F" w14:textId="4FB54AE2" w:rsidR="00E32FB0" w:rsidRDefault="00E32FB0" w:rsidP="00E32FB0">
      <w:pPr>
        <w:pStyle w:val="ListParagraph"/>
        <w:numPr>
          <w:ilvl w:val="0"/>
          <w:numId w:val="70"/>
        </w:numPr>
        <w:contextualSpacing/>
        <w:rPr>
          <w:rFonts w:eastAsiaTheme="minorEastAsia"/>
        </w:rPr>
      </w:pPr>
      <w:r w:rsidRPr="76F9710C">
        <w:rPr>
          <w:rFonts w:eastAsiaTheme="minorEastAsia"/>
        </w:rPr>
        <w:t>Force in the following quantities of FD offshore wind in 2030 in each area based on resource potential limits:</w:t>
      </w:r>
      <w:r w:rsidRPr="76F9710C">
        <w:rPr>
          <w:rStyle w:val="FootnoteReference"/>
          <w:rFonts w:eastAsiaTheme="minorEastAsia"/>
        </w:rPr>
        <w:t xml:space="preserve"> </w:t>
      </w:r>
      <w:r w:rsidRPr="76F9710C">
        <w:rPr>
          <w:rStyle w:val="FootnoteReference"/>
          <w:rFonts w:eastAsiaTheme="minorEastAsia"/>
        </w:rPr>
        <w:footnoteReference w:id="16"/>
      </w:r>
    </w:p>
    <w:p w14:paraId="029B02B8" w14:textId="77777777" w:rsidR="00E32FB0" w:rsidRPr="00546D77" w:rsidRDefault="00E32FB0" w:rsidP="00E32FB0">
      <w:pPr>
        <w:pStyle w:val="ListParagraph"/>
        <w:numPr>
          <w:ilvl w:val="1"/>
          <w:numId w:val="70"/>
        </w:numPr>
        <w:contextualSpacing/>
        <w:rPr>
          <w:rFonts w:eastAsiaTheme="minorEastAsia"/>
        </w:rPr>
      </w:pPr>
      <w:r w:rsidRPr="00546D77">
        <w:t>Humboldt: 1.6 GW</w:t>
      </w:r>
    </w:p>
    <w:p w14:paraId="0FC3FA8E" w14:textId="77777777" w:rsidR="00E32FB0" w:rsidRPr="00546D77" w:rsidRDefault="00E32FB0" w:rsidP="00E32FB0">
      <w:pPr>
        <w:pStyle w:val="ListParagraph"/>
        <w:numPr>
          <w:ilvl w:val="1"/>
          <w:numId w:val="70"/>
        </w:numPr>
        <w:contextualSpacing/>
        <w:rPr>
          <w:rFonts w:eastAsiaTheme="minorEastAsia"/>
        </w:rPr>
      </w:pPr>
      <w:r>
        <w:t>Diablo Canyon: 4.3 GW</w:t>
      </w:r>
    </w:p>
    <w:p w14:paraId="6C6FC56B" w14:textId="77777777" w:rsidR="00E32FB0" w:rsidRPr="00546D77" w:rsidRDefault="00E32FB0" w:rsidP="00E32FB0">
      <w:pPr>
        <w:pStyle w:val="ListParagraph"/>
        <w:numPr>
          <w:ilvl w:val="1"/>
          <w:numId w:val="70"/>
        </w:numPr>
        <w:contextualSpacing/>
        <w:rPr>
          <w:rFonts w:eastAsiaTheme="minorEastAsia"/>
        </w:rPr>
      </w:pPr>
      <w:r>
        <w:t>Morro Bay: 2.4 GW</w:t>
      </w:r>
    </w:p>
    <w:p w14:paraId="16F594AE" w14:textId="2E4200D8" w:rsidR="00E32FB0" w:rsidRDefault="00E32FB0" w:rsidP="00E32FB0">
      <w:pPr>
        <w:pStyle w:val="ListParagraph"/>
        <w:numPr>
          <w:ilvl w:val="0"/>
          <w:numId w:val="70"/>
        </w:numPr>
        <w:contextualSpacing/>
      </w:pPr>
      <w:r>
        <w:t>Assume Diablo Canyon Nuclear Plant retirement</w:t>
      </w:r>
      <w:r w:rsidR="5868A295">
        <w:t>, but without its transmission deliverability being made available to any candidate resources, including offshore wind</w:t>
      </w:r>
      <w:r w:rsidR="0EC93B96">
        <w:t>. This is</w:t>
      </w:r>
      <w:r w:rsidR="5868A295">
        <w:t xml:space="preserve"> consistent with </w:t>
      </w:r>
      <w:r w:rsidR="7C425EA1">
        <w:t xml:space="preserve">the treatment of transmission deliverability associated </w:t>
      </w:r>
      <w:r w:rsidR="307AEF8D">
        <w:t>with all units retiring in RESOLVE.</w:t>
      </w:r>
      <w:r w:rsidR="003F1631">
        <w:rPr>
          <w:rStyle w:val="FootnoteReference"/>
        </w:rPr>
        <w:footnoteReference w:id="17"/>
      </w:r>
    </w:p>
    <w:p w14:paraId="6655A5F5" w14:textId="77777777" w:rsidR="00E32FB0" w:rsidRDefault="00E32FB0" w:rsidP="00E32FB0">
      <w:pPr>
        <w:pStyle w:val="ListParagraph"/>
        <w:numPr>
          <w:ilvl w:val="0"/>
          <w:numId w:val="70"/>
        </w:numPr>
        <w:contextualSpacing/>
      </w:pPr>
      <w:r>
        <w:t>Optimize the remainder of the portfolio using a 30 MMT target</w:t>
      </w:r>
    </w:p>
    <w:p w14:paraId="1169E9C4" w14:textId="55455E63" w:rsidR="00E32FB0" w:rsidRDefault="00E32FB0" w:rsidP="00EB0D4E">
      <w:pPr>
        <w:pStyle w:val="ListParagraph"/>
        <w:numPr>
          <w:ilvl w:val="0"/>
          <w:numId w:val="70"/>
        </w:numPr>
        <w:contextualSpacing/>
      </w:pPr>
      <w:r>
        <w:t xml:space="preserve">Maintain PRM and other RESOLVE constraints </w:t>
      </w:r>
    </w:p>
    <w:p w14:paraId="6DD22E2A" w14:textId="2F8BFF4E" w:rsidR="00E32FB0" w:rsidRDefault="00E32FB0" w:rsidP="00EB0D4E">
      <w:pPr>
        <w:pStyle w:val="Heading4"/>
        <w:rPr>
          <w:shd w:val="clear" w:color="auto" w:fill="FFFFFF"/>
        </w:rPr>
      </w:pPr>
      <w:r w:rsidRPr="00B33880">
        <w:t>Portfolio D</w:t>
      </w:r>
      <w:r>
        <w:t>escription:</w:t>
      </w:r>
    </w:p>
    <w:p w14:paraId="5FCCE4CC" w14:textId="37C9BE0A" w:rsidR="00E32FB0" w:rsidRDefault="00E32FB0" w:rsidP="00A24A87">
      <w:r w:rsidRPr="12411C98">
        <w:rPr>
          <w:shd w:val="clear" w:color="auto" w:fill="FFFFFF"/>
        </w:rPr>
        <w:t>For the planning year 2031, the offshore wind sensitivity portfolio comprises 23,5</w:t>
      </w:r>
      <w:r w:rsidR="13843BC3" w:rsidRPr="12411C98">
        <w:rPr>
          <w:shd w:val="clear" w:color="auto" w:fill="FFFFFF"/>
        </w:rPr>
        <w:t>55</w:t>
      </w:r>
      <w:r w:rsidRPr="12411C98">
        <w:rPr>
          <w:shd w:val="clear" w:color="auto" w:fill="FFFFFF"/>
        </w:rPr>
        <w:t xml:space="preserve"> MW of new in-state renewables of which 8,351 MW are offshore wind resources, per the objective of the portfolio. Additionally, the portfolio comprises 3,000 MW of OOS renewable resources and </w:t>
      </w:r>
      <w:r w:rsidR="765A1D10" w:rsidRPr="12411C98">
        <w:rPr>
          <w:shd w:val="clear" w:color="auto" w:fill="FFFFFF"/>
        </w:rPr>
        <w:t>8,820</w:t>
      </w:r>
      <w:r w:rsidRPr="12411C98">
        <w:rPr>
          <w:shd w:val="clear" w:color="auto" w:fill="FFFFFF"/>
        </w:rPr>
        <w:t xml:space="preserve"> MW of battery storage among other resources. </w:t>
      </w:r>
    </w:p>
    <w:p w14:paraId="63966D75" w14:textId="1CF21C64" w:rsidR="00E059E9" w:rsidRDefault="00E059E9" w:rsidP="00A24A87"/>
    <w:p w14:paraId="6C5746BF" w14:textId="1F1123F8" w:rsidR="00E059E9" w:rsidRDefault="00E059E9" w:rsidP="00D95DCB">
      <w:pPr>
        <w:pStyle w:val="paragraph"/>
        <w:spacing w:before="0" w:beforeAutospacing="0" w:after="0" w:afterAutospacing="0"/>
        <w:ind w:left="360"/>
        <w:textAlignment w:val="baseline"/>
        <w:rPr>
          <w:rFonts w:ascii="Segoe UI" w:hAnsi="Segoe UI" w:cs="Segoe UI"/>
          <w:sz w:val="18"/>
          <w:szCs w:val="18"/>
        </w:rPr>
      </w:pPr>
      <w:r>
        <w:rPr>
          <w:rStyle w:val="normaltextrun"/>
          <w:rFonts w:ascii="Garamond" w:hAnsi="Garamond" w:cs="Segoe UI"/>
        </w:rPr>
        <w:t xml:space="preserve">In addition to the 8.3 GW of offshore wind resources, which CAISO will use to conduct the policy-driven sensitivity assessments including a power flow study, deliverability assessment, and production cost modeling, the CAISO will also conduct an “outlook” assessment focusing on a longer timeframe to accommodate remaining offshore wind resource potential including 6.2 GW at Cape Mendocino and 6.6 GW at Del Norte, totaling 21.1 GW of offshore wind resources. This outlook assessment will aim to ensure that </w:t>
      </w:r>
      <w:r w:rsidR="00D96FDE">
        <w:rPr>
          <w:rStyle w:val="normaltextrun"/>
          <w:rFonts w:ascii="Garamond" w:hAnsi="Garamond" w:cs="Segoe UI"/>
        </w:rPr>
        <w:t xml:space="preserve">the inputs obtained pertinent to </w:t>
      </w:r>
      <w:r>
        <w:rPr>
          <w:rStyle w:val="normaltextrun"/>
          <w:rFonts w:ascii="Garamond" w:hAnsi="Garamond" w:cs="Segoe UI"/>
        </w:rPr>
        <w:t xml:space="preserve">transmission development for early offshore wind resources </w:t>
      </w:r>
      <w:r w:rsidR="00D96FDE">
        <w:rPr>
          <w:rStyle w:val="normaltextrun"/>
          <w:rFonts w:ascii="Garamond" w:hAnsi="Garamond" w:cs="Segoe UI"/>
        </w:rPr>
        <w:t>reflect a</w:t>
      </w:r>
      <w:r>
        <w:rPr>
          <w:rStyle w:val="normaltextrun"/>
          <w:rFonts w:ascii="Garamond" w:hAnsi="Garamond" w:cs="Segoe UI"/>
        </w:rPr>
        <w:t xml:space="preserve"> “least regrets”</w:t>
      </w:r>
      <w:r w:rsidR="00D96FDE">
        <w:rPr>
          <w:rStyle w:val="normaltextrun"/>
          <w:rFonts w:ascii="Garamond" w:hAnsi="Garamond" w:cs="Segoe UI"/>
        </w:rPr>
        <w:t xml:space="preserve"> approach</w:t>
      </w:r>
      <w:r>
        <w:rPr>
          <w:rStyle w:val="normaltextrun"/>
          <w:rFonts w:ascii="Garamond" w:hAnsi="Garamond" w:cs="Segoe UI"/>
        </w:rPr>
        <w:t>. The objective is to identify how transmission development can be planned within the 2031 timeframe to accommodate further potential offshore wind development in the 2045 timeframe. </w:t>
      </w:r>
      <w:r>
        <w:rPr>
          <w:rStyle w:val="eop"/>
          <w:rFonts w:ascii="Garamond" w:hAnsi="Garamond" w:cs="Segoe UI"/>
        </w:rPr>
        <w:t> </w:t>
      </w:r>
    </w:p>
    <w:p w14:paraId="0F37D79C" w14:textId="3C803182" w:rsidR="00E059E9" w:rsidRDefault="00E059E9" w:rsidP="00A24A87">
      <w:pPr>
        <w:rPr>
          <w:shd w:val="clear" w:color="auto" w:fill="FFFFFF"/>
        </w:rPr>
      </w:pPr>
    </w:p>
    <w:p w14:paraId="1CF8213E" w14:textId="24F8BCC5" w:rsidR="00D95DCB" w:rsidRPr="00D95DCB" w:rsidRDefault="00D95DCB" w:rsidP="00D95DCB">
      <w:r>
        <w:rPr>
          <w:shd w:val="clear" w:color="auto" w:fill="FFFFFF"/>
        </w:rPr>
        <w:t>Table 7</w:t>
      </w:r>
      <w:r w:rsidRPr="12411C98">
        <w:rPr>
          <w:shd w:val="clear" w:color="auto" w:fill="FFFFFF"/>
        </w:rPr>
        <w:t xml:space="preserve"> summarizes the resource build out in 2031.</w:t>
      </w:r>
      <w:r w:rsidRPr="0053158E">
        <w:t xml:space="preserve"> </w:t>
      </w:r>
      <w:r>
        <w:t xml:space="preserve">The inputs to the mapping process for this portfolio are summarized in Table 8. </w:t>
      </w:r>
      <w:r w:rsidR="2B117EA9">
        <w:t xml:space="preserve">The inputs started with the RESOLVE selected resources, then applied the baseline reconciliation described in the </w:t>
      </w:r>
      <w:r w:rsidR="006E3DEF">
        <w:fldChar w:fldCharType="begin"/>
      </w:r>
      <w:r w:rsidR="006E3DEF">
        <w:instrText xml:space="preserve"> REF _Ref36201141 \h </w:instrText>
      </w:r>
      <w:r w:rsidR="006E3DEF">
        <w:fldChar w:fldCharType="separate"/>
      </w:r>
      <w:r w:rsidR="006E3DEF" w:rsidRPr="005D72D3">
        <w:t>Inputs</w:t>
      </w:r>
      <w:r w:rsidR="006E3DEF">
        <w:fldChar w:fldCharType="end"/>
      </w:r>
      <w:r w:rsidR="006E3DEF">
        <w:t xml:space="preserve"> </w:t>
      </w:r>
      <w:r w:rsidR="2B117EA9">
        <w:t xml:space="preserve">subsection above, to account for the new baseline contracted resources. The resulting adjusted selected resources for the first round of busbar mapping for this portfolio amounted to 9,807 MW of solar resources, 4,689 MW of in-state wind, </w:t>
      </w:r>
      <w:r w:rsidR="6F98C81C">
        <w:t>3,000</w:t>
      </w:r>
      <w:r w:rsidR="2B117EA9">
        <w:t xml:space="preserve"> MW of out-of-state wind,</w:t>
      </w:r>
      <w:r w:rsidR="0C11E8DE">
        <w:t xml:space="preserve"> 8,351 MW of offshore wind,</w:t>
      </w:r>
      <w:r w:rsidR="2B117EA9">
        <w:t xml:space="preserve"> </w:t>
      </w:r>
      <w:r w:rsidR="40690C36">
        <w:t>7,604</w:t>
      </w:r>
      <w:r w:rsidR="2B117EA9">
        <w:t xml:space="preserve"> MW of battery storage, and </w:t>
      </w:r>
      <w:r w:rsidR="653F0E30">
        <w:t>1,613</w:t>
      </w:r>
      <w:r w:rsidR="2B117EA9">
        <w:t xml:space="preserve"> MW of pumped hydro storage resources. </w:t>
      </w:r>
      <w:r>
        <w:t xml:space="preserve">Further details of these are available in Appendix </w:t>
      </w:r>
      <w:r>
        <w:fldChar w:fldCharType="begin"/>
      </w:r>
      <w:r>
        <w:instrText xml:space="preserve"> REF _Ref60744033 \r \h </w:instrText>
      </w:r>
      <w:r>
        <w:fldChar w:fldCharType="separate"/>
      </w:r>
      <w:r w:rsidR="002829AA">
        <w:t>F</w:t>
      </w:r>
      <w:r>
        <w:fldChar w:fldCharType="end"/>
      </w:r>
      <w:r>
        <w:t>.</w:t>
      </w:r>
    </w:p>
    <w:p w14:paraId="4E9AB644" w14:textId="77777777" w:rsidR="005D72D3" w:rsidRDefault="005D72D3" w:rsidP="00A24A87">
      <w:pPr>
        <w:pStyle w:val="Caption"/>
        <w:keepNext/>
        <w:ind w:left="0"/>
      </w:pPr>
    </w:p>
    <w:p w14:paraId="094304AF" w14:textId="777786BD" w:rsidR="00C94E39" w:rsidRDefault="00C94E39" w:rsidP="005169DA">
      <w:pPr>
        <w:pStyle w:val="Caption"/>
        <w:keepNext/>
      </w:pPr>
      <w:r>
        <w:t xml:space="preserve">Table </w:t>
      </w:r>
      <w:r w:rsidR="00F02B49">
        <w:fldChar w:fldCharType="begin"/>
      </w:r>
      <w:r w:rsidR="00F02B49">
        <w:instrText xml:space="preserve"> SEQ Table \* ARABIC </w:instrText>
      </w:r>
      <w:r w:rsidR="00F02B49">
        <w:fldChar w:fldCharType="separate"/>
      </w:r>
      <w:r w:rsidR="001D72D3">
        <w:rPr>
          <w:noProof/>
        </w:rPr>
        <w:t>7</w:t>
      </w:r>
      <w:r w:rsidR="00F02B49">
        <w:rPr>
          <w:noProof/>
        </w:rPr>
        <w:fldChar w:fldCharType="end"/>
      </w:r>
      <w:r>
        <w:t xml:space="preserve">. </w:t>
      </w:r>
      <w:r w:rsidRPr="00C94E39">
        <w:t>Capacity Additions in 2031 in the Offshore Wind Portfolio (Sensitivity #2)</w:t>
      </w:r>
    </w:p>
    <w:p w14:paraId="52724634" w14:textId="55A2CDE1" w:rsidR="00E32FB0" w:rsidRDefault="272E3E9A" w:rsidP="7956503B">
      <w:r>
        <w:rPr>
          <w:noProof/>
        </w:rPr>
        <w:drawing>
          <wp:inline distT="0" distB="0" distL="0" distR="0" wp14:anchorId="1A8AFED6" wp14:editId="0D6EA589">
            <wp:extent cx="3009900" cy="3429000"/>
            <wp:effectExtent l="0" t="0" r="0" b="0"/>
            <wp:docPr id="1521812790" name="Picture 152181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812790"/>
                    <pic:cNvPicPr/>
                  </pic:nvPicPr>
                  <pic:blipFill>
                    <a:blip r:embed="rId19">
                      <a:extLst>
                        <a:ext uri="{28A0092B-C50C-407E-A947-70E740481C1C}">
                          <a14:useLocalDpi xmlns:a14="http://schemas.microsoft.com/office/drawing/2010/main" val="0"/>
                        </a:ext>
                      </a:extLst>
                    </a:blip>
                    <a:stretch>
                      <a:fillRect/>
                    </a:stretch>
                  </pic:blipFill>
                  <pic:spPr>
                    <a:xfrm>
                      <a:off x="0" y="0"/>
                      <a:ext cx="3009900" cy="3429000"/>
                    </a:xfrm>
                    <a:prstGeom prst="rect">
                      <a:avLst/>
                    </a:prstGeom>
                  </pic:spPr>
                </pic:pic>
              </a:graphicData>
            </a:graphic>
          </wp:inline>
        </w:drawing>
      </w:r>
    </w:p>
    <w:p w14:paraId="763949E5" w14:textId="77777777" w:rsidR="00A86ADA" w:rsidRDefault="00A86ADA" w:rsidP="00E32FB0"/>
    <w:p w14:paraId="5BBD86F3" w14:textId="767C37DA" w:rsidR="00C94E39" w:rsidRDefault="00C94E39" w:rsidP="005169DA">
      <w:pPr>
        <w:pStyle w:val="Caption"/>
        <w:keepNext/>
      </w:pPr>
      <w:r>
        <w:lastRenderedPageBreak/>
        <w:t xml:space="preserve">Table </w:t>
      </w:r>
      <w:r w:rsidR="00F02B49">
        <w:fldChar w:fldCharType="begin"/>
      </w:r>
      <w:r w:rsidR="00F02B49">
        <w:instrText xml:space="preserve"> SEQ Table \* ARABIC </w:instrText>
      </w:r>
      <w:r w:rsidR="00F02B49">
        <w:fldChar w:fldCharType="separate"/>
      </w:r>
      <w:r w:rsidR="001D72D3">
        <w:rPr>
          <w:noProof/>
        </w:rPr>
        <w:t>8</w:t>
      </w:r>
      <w:r w:rsidR="00F02B49">
        <w:rPr>
          <w:noProof/>
        </w:rPr>
        <w:fldChar w:fldCharType="end"/>
      </w:r>
      <w:r>
        <w:t xml:space="preserve">. </w:t>
      </w:r>
      <w:r w:rsidRPr="00C94E39">
        <w:t>All resources selected in the Offshore wind portfolio (2031 cumulative)</w:t>
      </w:r>
    </w:p>
    <w:p w14:paraId="776878AF" w14:textId="458EFD6C" w:rsidR="77E596D0" w:rsidRDefault="69878F2B" w:rsidP="057D115D">
      <w:pPr>
        <w:spacing w:after="160" w:line="259" w:lineRule="auto"/>
        <w:ind w:left="0"/>
      </w:pPr>
      <w:r>
        <w:rPr>
          <w:noProof/>
        </w:rPr>
        <w:drawing>
          <wp:inline distT="0" distB="0" distL="0" distR="0" wp14:anchorId="5600B472" wp14:editId="32BBB419">
            <wp:extent cx="4572000" cy="5876926"/>
            <wp:effectExtent l="0" t="0" r="0" b="0"/>
            <wp:docPr id="651672342" name="Picture 65167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672342"/>
                    <pic:cNvPicPr/>
                  </pic:nvPicPr>
                  <pic:blipFill>
                    <a:blip r:embed="rId20">
                      <a:extLst>
                        <a:ext uri="{28A0092B-C50C-407E-A947-70E740481C1C}">
                          <a14:useLocalDpi xmlns:a14="http://schemas.microsoft.com/office/drawing/2010/main" val="0"/>
                        </a:ext>
                      </a:extLst>
                    </a:blip>
                    <a:stretch>
                      <a:fillRect/>
                    </a:stretch>
                  </pic:blipFill>
                  <pic:spPr>
                    <a:xfrm>
                      <a:off x="0" y="0"/>
                      <a:ext cx="4572000" cy="5876926"/>
                    </a:xfrm>
                    <a:prstGeom prst="rect">
                      <a:avLst/>
                    </a:prstGeom>
                  </pic:spPr>
                </pic:pic>
              </a:graphicData>
            </a:graphic>
          </wp:inline>
        </w:drawing>
      </w:r>
    </w:p>
    <w:p w14:paraId="6047AA07" w14:textId="31957764" w:rsidR="00957612" w:rsidRDefault="00957612">
      <w:pPr>
        <w:spacing w:after="160" w:line="259" w:lineRule="auto"/>
        <w:ind w:left="0"/>
      </w:pPr>
      <w:r>
        <w:br w:type="page"/>
      </w:r>
    </w:p>
    <w:p w14:paraId="3E4B82EC" w14:textId="3BE17FCE" w:rsidR="009B2A1D" w:rsidRDefault="007D43BD" w:rsidP="00DD54CE">
      <w:pPr>
        <w:pStyle w:val="Heading2"/>
      </w:pPr>
      <w:bookmarkStart w:id="42" w:name="_Toc63666812"/>
      <w:bookmarkStart w:id="43" w:name="_Ref32335212"/>
      <w:bookmarkStart w:id="44" w:name="_Toc63669597"/>
      <w:bookmarkEnd w:id="0"/>
      <w:bookmarkEnd w:id="2"/>
      <w:bookmarkEnd w:id="3"/>
      <w:bookmarkEnd w:id="4"/>
      <w:bookmarkEnd w:id="5"/>
      <w:bookmarkEnd w:id="6"/>
      <w:bookmarkEnd w:id="26"/>
      <w:bookmarkEnd w:id="42"/>
      <w:bookmarkEnd w:id="19"/>
      <w:bookmarkEnd w:id="18"/>
      <w:bookmarkEnd w:id="17"/>
      <w:bookmarkEnd w:id="16"/>
      <w:bookmarkEnd w:id="15"/>
      <w:bookmarkEnd w:id="14"/>
      <w:bookmarkEnd w:id="13"/>
      <w:bookmarkEnd w:id="12"/>
      <w:bookmarkEnd w:id="11"/>
      <w:bookmarkEnd w:id="10"/>
      <w:r>
        <w:lastRenderedPageBreak/>
        <w:t xml:space="preserve">Busbar Mapping </w:t>
      </w:r>
      <w:r w:rsidR="00D8439F">
        <w:t>Methodology</w:t>
      </w:r>
      <w:r>
        <w:t xml:space="preserve"> Improvements</w:t>
      </w:r>
      <w:bookmarkEnd w:id="43"/>
      <w:bookmarkEnd w:id="44"/>
    </w:p>
    <w:p w14:paraId="304FA15A" w14:textId="18101293" w:rsidR="00D8439F" w:rsidRDefault="00D8439F" w:rsidP="005169DA">
      <w:pPr>
        <w:spacing w:after="240"/>
        <w:ind w:left="0"/>
      </w:pPr>
      <w:r>
        <w:t xml:space="preserve">Staff from the </w:t>
      </w:r>
      <w:r w:rsidR="00F002DA">
        <w:t xml:space="preserve">two </w:t>
      </w:r>
      <w:r>
        <w:t xml:space="preserve">agencies </w:t>
      </w:r>
      <w:r w:rsidR="00F002DA">
        <w:t xml:space="preserve">and the CAISO </w:t>
      </w:r>
      <w:r w:rsidR="003C3F88">
        <w:t>completed</w:t>
      </w:r>
      <w:r>
        <w:t xml:space="preserve"> the steps described in the </w:t>
      </w:r>
      <w:r w:rsidR="00DB56F1">
        <w:t>“</w:t>
      </w:r>
      <w:r w:rsidR="00CE2391">
        <w:t>CPUC Staff Proposal</w:t>
      </w:r>
      <w:r w:rsidR="00434FB8">
        <w:t>:</w:t>
      </w:r>
      <w:r w:rsidR="00CE2391">
        <w:t xml:space="preserve"> </w:t>
      </w:r>
      <w:r w:rsidR="00732627">
        <w:t>Methodology for Resource-to-Busbar Mapping</w:t>
      </w:r>
      <w:r w:rsidR="477F9A87">
        <w:t xml:space="preserve"> and Assumptions for the 2021-2022 TPP</w:t>
      </w:r>
      <w:r w:rsidR="00AC7BCB">
        <w:t xml:space="preserve">, </w:t>
      </w:r>
      <w:r w:rsidR="003844A4">
        <w:t xml:space="preserve">October </w:t>
      </w:r>
      <w:r w:rsidR="7FBDE954">
        <w:t>23</w:t>
      </w:r>
      <w:r w:rsidR="00E07522">
        <w:t>,</w:t>
      </w:r>
      <w:r w:rsidR="003844A4">
        <w:t xml:space="preserve"> 20</w:t>
      </w:r>
      <w:r w:rsidR="71E2BDDE">
        <w:t>20</w:t>
      </w:r>
      <w:r w:rsidR="00DB56F1">
        <w:t>”</w:t>
      </w:r>
      <w:r w:rsidR="00732627">
        <w:t xml:space="preserve"> (</w:t>
      </w:r>
      <w:r w:rsidR="00E07522">
        <w:t>Staff Proposal</w:t>
      </w:r>
      <w:r w:rsidR="00732627">
        <w:t>)</w:t>
      </w:r>
      <w:r>
        <w:t>, except where improvements were identified</w:t>
      </w:r>
      <w:r w:rsidR="00732627">
        <w:t>,</w:t>
      </w:r>
      <w:r>
        <w:t xml:space="preserve"> as summarized here. The full</w:t>
      </w:r>
      <w:r w:rsidR="00732627">
        <w:t>,</w:t>
      </w:r>
      <w:r>
        <w:t xml:space="preserve"> updated </w:t>
      </w:r>
      <w:r w:rsidR="00732627">
        <w:t>M</w:t>
      </w:r>
      <w:r>
        <w:t xml:space="preserve">ethodology is </w:t>
      </w:r>
      <w:r w:rsidR="00732627">
        <w:t>available as a separate document (</w:t>
      </w:r>
      <w:r w:rsidR="007F6986">
        <w:t xml:space="preserve">see </w:t>
      </w:r>
      <w:r w:rsidR="00732627">
        <w:t>Appendi</w:t>
      </w:r>
      <w:r w:rsidR="007F6986">
        <w:t xml:space="preserve">x </w:t>
      </w:r>
      <w:r w:rsidR="00554815">
        <w:fldChar w:fldCharType="begin"/>
      </w:r>
      <w:r w:rsidR="00554815">
        <w:instrText xml:space="preserve"> REF _Ref59457393 \r \h </w:instrText>
      </w:r>
      <w:r w:rsidR="00554815">
        <w:fldChar w:fldCharType="separate"/>
      </w:r>
      <w:r w:rsidR="003B7A14">
        <w:t>A</w:t>
      </w:r>
      <w:r w:rsidR="00554815">
        <w:fldChar w:fldCharType="end"/>
      </w:r>
      <w:r w:rsidR="00732627">
        <w:t>)</w:t>
      </w:r>
      <w:r>
        <w:t xml:space="preserve">. </w:t>
      </w:r>
    </w:p>
    <w:p w14:paraId="4171BCFC" w14:textId="7A829732" w:rsidR="002829AA" w:rsidRDefault="002829AA" w:rsidP="005169DA">
      <w:pPr>
        <w:pStyle w:val="Caption"/>
        <w:keepNext/>
      </w:pPr>
      <w:r>
        <w:t xml:space="preserve">Figure </w:t>
      </w:r>
      <w:r w:rsidR="00F02B49">
        <w:fldChar w:fldCharType="begin"/>
      </w:r>
      <w:r w:rsidR="00F02B49">
        <w:instrText xml:space="preserve"> SEQ Figure \* ARABIC </w:instrText>
      </w:r>
      <w:r w:rsidR="00F02B49">
        <w:fldChar w:fldCharType="separate"/>
      </w:r>
      <w:r>
        <w:rPr>
          <w:noProof/>
        </w:rPr>
        <w:t>4</w:t>
      </w:r>
      <w:r w:rsidR="00F02B49">
        <w:rPr>
          <w:noProof/>
        </w:rPr>
        <w:fldChar w:fldCharType="end"/>
      </w:r>
      <w:r>
        <w:t xml:space="preserve">. </w:t>
      </w:r>
      <w:r w:rsidRPr="002829AA">
        <w:t>Flowchart of the 2021-2022 TPP busbar mapping process</w:t>
      </w:r>
    </w:p>
    <w:p w14:paraId="29BC956A" w14:textId="2DFE7D14" w:rsidR="00D8439F" w:rsidRDefault="02076F3A" w:rsidP="00D8439F">
      <w:pPr>
        <w:ind w:left="0"/>
      </w:pPr>
      <w:r>
        <w:rPr>
          <w:noProof/>
        </w:rPr>
        <w:drawing>
          <wp:inline distT="0" distB="0" distL="0" distR="0" wp14:anchorId="1762B039" wp14:editId="62DDEC2A">
            <wp:extent cx="5943600" cy="2933700"/>
            <wp:effectExtent l="0" t="0" r="0" b="0"/>
            <wp:docPr id="1089656098" name="Picture 108965609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656098"/>
                    <pic:cNvPicPr/>
                  </pic:nvPicPr>
                  <pic:blipFill>
                    <a:blip r:embed="rId21">
                      <a:extLst>
                        <a:ext uri="{28A0092B-C50C-407E-A947-70E740481C1C}">
                          <a14:useLocalDpi xmlns:a14="http://schemas.microsoft.com/office/drawing/2010/main" val="0"/>
                        </a:ext>
                      </a:extLst>
                    </a:blip>
                    <a:stretch>
                      <a:fillRect/>
                    </a:stretch>
                  </pic:blipFill>
                  <pic:spPr>
                    <a:xfrm>
                      <a:off x="0" y="0"/>
                      <a:ext cx="5943600" cy="2933700"/>
                    </a:xfrm>
                    <a:prstGeom prst="rect">
                      <a:avLst/>
                    </a:prstGeom>
                  </pic:spPr>
                </pic:pic>
              </a:graphicData>
            </a:graphic>
          </wp:inline>
        </w:drawing>
      </w:r>
    </w:p>
    <w:p w14:paraId="21A5CBCC" w14:textId="77777777" w:rsidR="00D8439F" w:rsidRDefault="00D8439F" w:rsidP="00D8439F">
      <w:pPr>
        <w:ind w:left="0"/>
      </w:pPr>
    </w:p>
    <w:p w14:paraId="44CE3E53" w14:textId="0167E989" w:rsidR="00854D0C" w:rsidRDefault="2D3546EE" w:rsidP="00D8439F">
      <w:pPr>
        <w:ind w:left="0"/>
      </w:pPr>
      <w:r>
        <w:t xml:space="preserve">Improvements </w:t>
      </w:r>
      <w:r w:rsidR="6B7779D6">
        <w:t>to the Staff Proposal</w:t>
      </w:r>
      <w:r w:rsidR="1DAB2442">
        <w:t xml:space="preserve"> </w:t>
      </w:r>
      <w:r w:rsidR="5609D905">
        <w:t xml:space="preserve">were informed by </w:t>
      </w:r>
      <w:r w:rsidR="52C0785C">
        <w:t>s</w:t>
      </w:r>
      <w:r w:rsidR="66A80B75">
        <w:t>takeholder feedback</w:t>
      </w:r>
      <w:r w:rsidR="2AD0F626">
        <w:t>, recommendations from the CEC and CAISO,</w:t>
      </w:r>
      <w:r w:rsidR="66A80B75">
        <w:t xml:space="preserve"> </w:t>
      </w:r>
      <w:r w:rsidR="636A8C7A">
        <w:t xml:space="preserve">and staff’s experience </w:t>
      </w:r>
      <w:r w:rsidR="3547BF35">
        <w:t xml:space="preserve">during implementation of the </w:t>
      </w:r>
      <w:r w:rsidR="0299A99A">
        <w:t xml:space="preserve">busbar mapping </w:t>
      </w:r>
      <w:r w:rsidR="3547BF35">
        <w:t>process</w:t>
      </w:r>
      <w:r w:rsidR="518372C2">
        <w:t xml:space="preserve">, </w:t>
      </w:r>
      <w:r w:rsidR="71D99640">
        <w:t xml:space="preserve">as </w:t>
      </w:r>
      <w:r w:rsidR="66A80B75">
        <w:t>summarized below</w:t>
      </w:r>
      <w:r w:rsidR="4BAA3B7E">
        <w:t>.</w:t>
      </w:r>
      <w:r w:rsidR="3837A744">
        <w:t xml:space="preserve"> </w:t>
      </w:r>
    </w:p>
    <w:p w14:paraId="45739CC6" w14:textId="114AB20E" w:rsidR="4C64417F" w:rsidRDefault="0FBCCD10" w:rsidP="00A24A87">
      <w:pPr>
        <w:pStyle w:val="Heading4"/>
      </w:pPr>
      <w:r>
        <w:t>Non-Battery Busbar Mapping Steps</w:t>
      </w:r>
    </w:p>
    <w:p w14:paraId="1CAF3C6D" w14:textId="0C070E6B" w:rsidR="4C64417F" w:rsidRDefault="0FBCCD10" w:rsidP="40A5FC40">
      <w:pPr>
        <w:pStyle w:val="ListParagraph"/>
        <w:numPr>
          <w:ilvl w:val="0"/>
          <w:numId w:val="116"/>
        </w:numPr>
        <w:rPr>
          <w:rFonts w:asciiTheme="minorHAnsi" w:eastAsiaTheme="minorEastAsia" w:hAnsiTheme="minorHAnsi" w:cstheme="minorBidi"/>
        </w:rPr>
      </w:pPr>
      <w:r>
        <w:t>CPUC – Step #2 line 5 now includes language that makes exceptions for substations associated wit</w:t>
      </w:r>
      <w:r w:rsidR="47BF5F5A">
        <w:t>h remote resources where the only available buses are of lower voltage</w:t>
      </w:r>
    </w:p>
    <w:p w14:paraId="09AB4804" w14:textId="135F0447" w:rsidR="40A5FC40" w:rsidRDefault="12A71DA4" w:rsidP="00E542FD">
      <w:pPr>
        <w:pStyle w:val="Heading4"/>
      </w:pPr>
      <w:r>
        <w:t>Busbar Mapping Criteria</w:t>
      </w:r>
    </w:p>
    <w:p w14:paraId="4E040412" w14:textId="724F3D21" w:rsidR="00916BF2" w:rsidRDefault="00916BF2">
      <w:pPr>
        <w:pStyle w:val="ListParagraph"/>
        <w:numPr>
          <w:ilvl w:val="0"/>
          <w:numId w:val="11"/>
        </w:numPr>
      </w:pPr>
      <w:r>
        <w:t xml:space="preserve">“Distance to </w:t>
      </w:r>
      <w:r w:rsidR="00D63F55">
        <w:t>transmission” language reflects the allowance for exceptions of lower voltages.</w:t>
      </w:r>
    </w:p>
    <w:p w14:paraId="30B6704F" w14:textId="6E9E67E1" w:rsidR="00695231" w:rsidRDefault="00695231">
      <w:pPr>
        <w:pStyle w:val="ListParagraph"/>
        <w:numPr>
          <w:ilvl w:val="0"/>
          <w:numId w:val="11"/>
        </w:numPr>
      </w:pPr>
      <w:r>
        <w:t xml:space="preserve">“Commercial interest” </w:t>
      </w:r>
      <w:r w:rsidR="3A961F1B">
        <w:t>language now reflects consideration of projects in advanced stages of development identified through stakeholder comments</w:t>
      </w:r>
    </w:p>
    <w:p w14:paraId="62837E2E" w14:textId="718CB207" w:rsidR="00C61A3D" w:rsidRDefault="004555DE">
      <w:pPr>
        <w:pStyle w:val="ListParagraph"/>
        <w:numPr>
          <w:ilvl w:val="0"/>
          <w:numId w:val="11"/>
        </w:numPr>
      </w:pPr>
      <w:r>
        <w:t>“</w:t>
      </w:r>
      <w:r w:rsidR="00C61A3D">
        <w:t xml:space="preserve">Consistency with prior </w:t>
      </w:r>
      <w:r w:rsidR="00EE388E">
        <w:t>year</w:t>
      </w:r>
      <w:r>
        <w:t>”</w:t>
      </w:r>
      <w:r w:rsidR="00483C90">
        <w:t xml:space="preserve"> </w:t>
      </w:r>
      <w:r w:rsidR="18AA6DF3">
        <w:t xml:space="preserve">now focuses on </w:t>
      </w:r>
      <w:r w:rsidR="18AA6DF3" w:rsidRPr="5CA33C60">
        <w:rPr>
          <w:u w:val="single"/>
        </w:rPr>
        <w:t>reductions</w:t>
      </w:r>
      <w:r w:rsidR="18AA6DF3">
        <w:t xml:space="preserve"> in selected resources assigned to a zone</w:t>
      </w:r>
      <w:r w:rsidR="604CBA47">
        <w:t xml:space="preserve"> from the </w:t>
      </w:r>
      <w:r w:rsidR="30CE8367">
        <w:t>previous to the</w:t>
      </w:r>
      <w:r w:rsidR="604CBA47">
        <w:t xml:space="preserve"> current year’s mapping</w:t>
      </w:r>
      <w:r w:rsidR="18AA6DF3">
        <w:t>.</w:t>
      </w:r>
    </w:p>
    <w:p w14:paraId="7061BE4E" w14:textId="0A7DD135" w:rsidR="00C61A3D" w:rsidRDefault="32D0392F" w:rsidP="40A5FC40">
      <w:pPr>
        <w:pStyle w:val="Heading4"/>
      </w:pPr>
      <w:r>
        <w:t>Implementation of the Busbar Mapping Criteria</w:t>
      </w:r>
    </w:p>
    <w:p w14:paraId="71476A6D" w14:textId="0D746357" w:rsidR="00B077B1" w:rsidRDefault="33CC4355" w:rsidP="40A5FC40">
      <w:pPr>
        <w:pStyle w:val="ListParagraph"/>
        <w:numPr>
          <w:ilvl w:val="0"/>
          <w:numId w:val="11"/>
        </w:numPr>
      </w:pPr>
      <w:r>
        <w:t xml:space="preserve">For out-of-state resources, </w:t>
      </w:r>
      <w:r w:rsidR="731C9901">
        <w:t xml:space="preserve">review of distance to transmission </w:t>
      </w:r>
      <w:r>
        <w:t xml:space="preserve">was </w:t>
      </w:r>
      <w:r w:rsidR="47B4E535">
        <w:t>remov</w:t>
      </w:r>
      <w:r>
        <w:t>ed</w:t>
      </w:r>
    </w:p>
    <w:p w14:paraId="27EEA0A2" w14:textId="1F8D2FC4" w:rsidR="00C14DB8" w:rsidRDefault="209A7C9D" w:rsidP="00A24A87">
      <w:pPr>
        <w:pStyle w:val="ListParagraph"/>
        <w:numPr>
          <w:ilvl w:val="0"/>
          <w:numId w:val="11"/>
        </w:numPr>
      </w:pPr>
      <w:r>
        <w:t>For available low-value land area, one additional criterion was added “</w:t>
      </w:r>
      <w:proofErr w:type="spellStart"/>
      <w:r>
        <w:t>Irreplacability</w:t>
      </w:r>
      <w:proofErr w:type="spellEnd"/>
      <w:r>
        <w:t xml:space="preserve">” </w:t>
      </w:r>
    </w:p>
    <w:p w14:paraId="10CFADE4" w14:textId="653D981B" w:rsidR="00C81FE0" w:rsidRPr="00C81FE0" w:rsidRDefault="0A2027E2" w:rsidP="00A24A87">
      <w:pPr>
        <w:pStyle w:val="Heading4"/>
      </w:pPr>
      <w:r w:rsidRPr="00A24A87">
        <w:lastRenderedPageBreak/>
        <w:t xml:space="preserve">Battery </w:t>
      </w:r>
      <w:r w:rsidR="1DD9D089" w:rsidRPr="00A24A87">
        <w:t xml:space="preserve">Mapping </w:t>
      </w:r>
      <w:r w:rsidR="093EBB82" w:rsidRPr="00A24A87">
        <w:t>Policy Objective #1: Minimizing Ratepayer Costs</w:t>
      </w:r>
    </w:p>
    <w:p w14:paraId="5F311D4F" w14:textId="2538D0E0" w:rsidR="00955DF3" w:rsidRDefault="6D81320C" w:rsidP="00C81FE0">
      <w:r>
        <w:t>“Increasing the amount of co-located battery resources</w:t>
      </w:r>
      <w:r w:rsidR="0FA8D4A9">
        <w:t xml:space="preserve">” </w:t>
      </w:r>
      <w:r w:rsidR="557B12B0">
        <w:t xml:space="preserve">language </w:t>
      </w:r>
      <w:r w:rsidR="0FA8D4A9">
        <w:t>has b</w:t>
      </w:r>
      <w:r>
        <w:t>e</w:t>
      </w:r>
      <w:r w:rsidR="0FA8D4A9">
        <w:t>en updated to reference the definition of a “co-located resource”. It also clarifies the</w:t>
      </w:r>
      <w:r w:rsidR="7790D54E">
        <w:t xml:space="preserve"> benefits of co-location and the treatment of t</w:t>
      </w:r>
      <w:r w:rsidR="39CF9872">
        <w:t xml:space="preserve">he FD status of the solar resource when it is co-located with battery resources. </w:t>
      </w:r>
      <w:r w:rsidR="527DCB8D">
        <w:t>Finally,</w:t>
      </w:r>
      <w:r w:rsidR="39CF9872">
        <w:t xml:space="preserve"> it explains the rationale for this treatment of FD status</w:t>
      </w:r>
      <w:r w:rsidR="37AC1F77">
        <w:t>.</w:t>
      </w:r>
    </w:p>
    <w:p w14:paraId="382AF42B" w14:textId="07189925" w:rsidR="00955DF3" w:rsidRDefault="4EF48128" w:rsidP="40A5FC40">
      <w:pPr>
        <w:pStyle w:val="Heading4"/>
        <w:rPr>
          <w:rFonts w:asciiTheme="minorHAnsi" w:eastAsiaTheme="minorEastAsia" w:hAnsiTheme="minorHAnsi" w:cstheme="minorBidi"/>
        </w:rPr>
      </w:pPr>
      <w:r>
        <w:t>Battery Mapping Steps</w:t>
      </w:r>
    </w:p>
    <w:p w14:paraId="3B898DF8" w14:textId="40E1BC41" w:rsidR="00955DF3" w:rsidRDefault="6019ADEC" w:rsidP="40A5FC40">
      <w:pPr>
        <w:rPr>
          <w:rFonts w:asciiTheme="minorHAnsi" w:eastAsiaTheme="minorEastAsia" w:hAnsiTheme="minorHAnsi" w:cstheme="minorBidi"/>
        </w:rPr>
      </w:pPr>
      <w:r>
        <w:t xml:space="preserve">Based on feedback from stakeholders and recommendations from the CAISO </w:t>
      </w:r>
      <w:r w:rsidR="25D38FB8">
        <w:t>t</w:t>
      </w:r>
      <w:r w:rsidR="3CBCCD1C">
        <w:t xml:space="preserve">he battery mapping steps have been </w:t>
      </w:r>
      <w:r w:rsidR="1500506D">
        <w:t xml:space="preserve">updated. </w:t>
      </w:r>
    </w:p>
    <w:p w14:paraId="7778A571" w14:textId="398C43D3" w:rsidR="00955DF3" w:rsidRPr="005169DA" w:rsidRDefault="0E49FEB0" w:rsidP="005169DA">
      <w:pPr>
        <w:pStyle w:val="ListParagraph"/>
        <w:numPr>
          <w:ilvl w:val="0"/>
          <w:numId w:val="21"/>
        </w:numPr>
        <w:ind w:left="720"/>
        <w:rPr>
          <w:rFonts w:asciiTheme="minorHAnsi" w:eastAsiaTheme="minorEastAsia" w:hAnsiTheme="minorHAnsi" w:cstheme="minorBidi"/>
          <w:szCs w:val="24"/>
        </w:rPr>
      </w:pPr>
      <w:r w:rsidRPr="005169DA">
        <w:rPr>
          <w:szCs w:val="24"/>
        </w:rPr>
        <w:t>The order of the mapping now reflects the identification of the FD resources allocated</w:t>
      </w:r>
      <w:r w:rsidR="6D9B61DB" w:rsidRPr="005169DA">
        <w:rPr>
          <w:szCs w:val="24"/>
        </w:rPr>
        <w:t xml:space="preserve"> to substation using results of the non-battery busbar mapping and the new CAISO transmission deliverability methodology for solar.</w:t>
      </w:r>
    </w:p>
    <w:p w14:paraId="3F35CC31" w14:textId="2AA5BC6C" w:rsidR="0059629C" w:rsidRPr="005169DA" w:rsidRDefault="00B130B1" w:rsidP="005169DA">
      <w:pPr>
        <w:pStyle w:val="ListParagraph"/>
        <w:numPr>
          <w:ilvl w:val="0"/>
          <w:numId w:val="21"/>
        </w:numPr>
        <w:ind w:left="720"/>
        <w:rPr>
          <w:rFonts w:asciiTheme="minorHAnsi" w:eastAsiaTheme="minorEastAsia" w:hAnsiTheme="minorHAnsi" w:cstheme="minorBidi"/>
          <w:szCs w:val="24"/>
        </w:rPr>
      </w:pPr>
      <w:r w:rsidRPr="005169DA">
        <w:rPr>
          <w:szCs w:val="24"/>
        </w:rPr>
        <w:t>Upda</w:t>
      </w:r>
      <w:r w:rsidR="006F33FB" w:rsidRPr="005169DA">
        <w:rPr>
          <w:szCs w:val="24"/>
        </w:rPr>
        <w:t xml:space="preserve">ted </w:t>
      </w:r>
      <w:r w:rsidRPr="005169DA">
        <w:rPr>
          <w:szCs w:val="24"/>
        </w:rPr>
        <w:t xml:space="preserve">substation voltage limit </w:t>
      </w:r>
      <w:r w:rsidR="0098054D" w:rsidRPr="005169DA">
        <w:rPr>
          <w:szCs w:val="24"/>
        </w:rPr>
        <w:t xml:space="preserve">from 230 kV </w:t>
      </w:r>
      <w:r w:rsidRPr="005169DA">
        <w:rPr>
          <w:szCs w:val="24"/>
        </w:rPr>
        <w:t>to</w:t>
      </w:r>
      <w:r w:rsidR="002F220B" w:rsidRPr="005169DA">
        <w:rPr>
          <w:szCs w:val="24"/>
        </w:rPr>
        <w:t xml:space="preserve"> 161 kV</w:t>
      </w:r>
      <w:r w:rsidR="0098054D" w:rsidRPr="005169DA">
        <w:rPr>
          <w:szCs w:val="24"/>
        </w:rPr>
        <w:t xml:space="preserve"> or unless otherwise stated in the non-battery mapping.</w:t>
      </w:r>
    </w:p>
    <w:p w14:paraId="7C309546" w14:textId="712EEBA9" w:rsidR="6492EFE5" w:rsidRPr="005169DA" w:rsidRDefault="6492EFE5" w:rsidP="005169DA">
      <w:pPr>
        <w:pStyle w:val="ListParagraph"/>
        <w:numPr>
          <w:ilvl w:val="0"/>
          <w:numId w:val="21"/>
        </w:numPr>
        <w:ind w:left="720"/>
        <w:rPr>
          <w:szCs w:val="24"/>
        </w:rPr>
      </w:pPr>
      <w:r w:rsidRPr="005169DA">
        <w:rPr>
          <w:szCs w:val="24"/>
        </w:rPr>
        <w:t>Removes the 60% limit on battery capacity when co-located with solar resources</w:t>
      </w:r>
    </w:p>
    <w:p w14:paraId="5DFBFE3A" w14:textId="0D314F7B" w:rsidR="00955DF3" w:rsidRPr="005169DA" w:rsidRDefault="6D9B61DB" w:rsidP="005169DA">
      <w:pPr>
        <w:pStyle w:val="ListParagraph"/>
        <w:numPr>
          <w:ilvl w:val="0"/>
          <w:numId w:val="21"/>
        </w:numPr>
        <w:ind w:left="720"/>
        <w:rPr>
          <w:szCs w:val="24"/>
        </w:rPr>
      </w:pPr>
      <w:r w:rsidRPr="005169DA">
        <w:rPr>
          <w:szCs w:val="24"/>
        </w:rPr>
        <w:t xml:space="preserve">The language for </w:t>
      </w:r>
      <w:r w:rsidR="4A787F05" w:rsidRPr="005169DA">
        <w:rPr>
          <w:szCs w:val="24"/>
        </w:rPr>
        <w:t>Local Capacity Requirement (</w:t>
      </w:r>
      <w:r w:rsidRPr="005169DA">
        <w:rPr>
          <w:szCs w:val="24"/>
        </w:rPr>
        <w:t>LCR</w:t>
      </w:r>
      <w:r w:rsidR="4B919B34" w:rsidRPr="005169DA">
        <w:rPr>
          <w:szCs w:val="24"/>
        </w:rPr>
        <w:t>)</w:t>
      </w:r>
      <w:r w:rsidRPr="005169DA">
        <w:rPr>
          <w:szCs w:val="24"/>
        </w:rPr>
        <w:t xml:space="preserve"> Area </w:t>
      </w:r>
      <w:r w:rsidR="5555A196" w:rsidRPr="005169DA">
        <w:rPr>
          <w:szCs w:val="24"/>
        </w:rPr>
        <w:t>identification</w:t>
      </w:r>
      <w:r w:rsidRPr="005169DA">
        <w:rPr>
          <w:szCs w:val="24"/>
        </w:rPr>
        <w:t xml:space="preserve"> provides more clarity on the 4-hour battery storage duration limits at LCR areas</w:t>
      </w:r>
      <w:r w:rsidR="76E6DD26" w:rsidRPr="005169DA">
        <w:rPr>
          <w:szCs w:val="24"/>
        </w:rPr>
        <w:t xml:space="preserve"> and explains how resources can be mapped beyond this limit</w:t>
      </w:r>
      <w:r w:rsidR="24CF196D" w:rsidRPr="005169DA">
        <w:rPr>
          <w:szCs w:val="24"/>
        </w:rPr>
        <w:t>.</w:t>
      </w:r>
    </w:p>
    <w:p w14:paraId="61E49484" w14:textId="0B66B7BB" w:rsidR="00955DF3" w:rsidRPr="005169DA" w:rsidRDefault="76E6DD26" w:rsidP="005169DA">
      <w:pPr>
        <w:pStyle w:val="ListParagraph"/>
        <w:numPr>
          <w:ilvl w:val="0"/>
          <w:numId w:val="21"/>
        </w:numPr>
        <w:ind w:left="720"/>
        <w:rPr>
          <w:szCs w:val="24"/>
        </w:rPr>
      </w:pPr>
      <w:r w:rsidRPr="005169DA">
        <w:rPr>
          <w:szCs w:val="24"/>
        </w:rPr>
        <w:t>Includes the consideration of curtailment</w:t>
      </w:r>
      <w:r w:rsidR="56DB081C" w:rsidRPr="005169DA">
        <w:rPr>
          <w:szCs w:val="24"/>
        </w:rPr>
        <w:t xml:space="preserve"> as an additional substation characteristic</w:t>
      </w:r>
      <w:r w:rsidR="341CC7D2" w:rsidRPr="005169DA">
        <w:rPr>
          <w:szCs w:val="24"/>
        </w:rPr>
        <w:t>.</w:t>
      </w:r>
    </w:p>
    <w:p w14:paraId="634F1841" w14:textId="5512DA6E" w:rsidR="00955DF3" w:rsidRPr="005169DA" w:rsidRDefault="56DB081C" w:rsidP="005169DA">
      <w:pPr>
        <w:pStyle w:val="ListParagraph"/>
        <w:numPr>
          <w:ilvl w:val="0"/>
          <w:numId w:val="21"/>
        </w:numPr>
        <w:ind w:left="720"/>
        <w:rPr>
          <w:szCs w:val="24"/>
        </w:rPr>
      </w:pPr>
      <w:r w:rsidRPr="005169DA">
        <w:rPr>
          <w:szCs w:val="24"/>
        </w:rPr>
        <w:t>Reorders the mapping priority to begin with stand-alone resources t</w:t>
      </w:r>
      <w:r w:rsidR="2C47776B" w:rsidRPr="005169DA">
        <w:rPr>
          <w:szCs w:val="24"/>
        </w:rPr>
        <w:t>o</w:t>
      </w:r>
      <w:r w:rsidRPr="005169DA">
        <w:rPr>
          <w:szCs w:val="24"/>
        </w:rPr>
        <w:t xml:space="preserve"> </w:t>
      </w:r>
      <w:r w:rsidR="387C1806" w:rsidRPr="005169DA">
        <w:rPr>
          <w:szCs w:val="24"/>
        </w:rPr>
        <w:t xml:space="preserve">maximize the utilization of siting in </w:t>
      </w:r>
      <w:r w:rsidR="24B41051" w:rsidRPr="005169DA">
        <w:rPr>
          <w:szCs w:val="24"/>
        </w:rPr>
        <w:t xml:space="preserve">LCR </w:t>
      </w:r>
      <w:r w:rsidR="3F245739" w:rsidRPr="005169DA">
        <w:rPr>
          <w:szCs w:val="24"/>
        </w:rPr>
        <w:t>a</w:t>
      </w:r>
      <w:r w:rsidR="718543EA" w:rsidRPr="005169DA">
        <w:rPr>
          <w:szCs w:val="24"/>
        </w:rPr>
        <w:t xml:space="preserve">reas, </w:t>
      </w:r>
      <w:r w:rsidR="12441BF3" w:rsidRPr="005169DA">
        <w:rPr>
          <w:szCs w:val="24"/>
        </w:rPr>
        <w:t>Disadvantaged Communities (</w:t>
      </w:r>
      <w:r w:rsidR="24B41051" w:rsidRPr="005169DA">
        <w:rPr>
          <w:szCs w:val="24"/>
        </w:rPr>
        <w:t>DACs</w:t>
      </w:r>
      <w:r w:rsidR="165AEC15" w:rsidRPr="005169DA">
        <w:rPr>
          <w:szCs w:val="24"/>
        </w:rPr>
        <w:t>)</w:t>
      </w:r>
      <w:r w:rsidR="24B41051" w:rsidRPr="005169DA">
        <w:rPr>
          <w:szCs w:val="24"/>
        </w:rPr>
        <w:t xml:space="preserve"> and non-attainment status areas</w:t>
      </w:r>
      <w:r w:rsidR="2DBCA6A4" w:rsidRPr="005169DA">
        <w:rPr>
          <w:szCs w:val="24"/>
        </w:rPr>
        <w:t>.</w:t>
      </w:r>
    </w:p>
    <w:p w14:paraId="38E0935B" w14:textId="74B4AB35" w:rsidR="00955DF3" w:rsidRPr="005169DA" w:rsidRDefault="24B41051" w:rsidP="005169DA">
      <w:pPr>
        <w:pStyle w:val="ListParagraph"/>
        <w:numPr>
          <w:ilvl w:val="0"/>
          <w:numId w:val="21"/>
        </w:numPr>
        <w:ind w:left="720"/>
        <w:rPr>
          <w:rFonts w:asciiTheme="minorHAnsi" w:eastAsiaTheme="minorEastAsia" w:hAnsiTheme="minorHAnsi" w:cstheme="minorBidi"/>
          <w:szCs w:val="24"/>
        </w:rPr>
      </w:pPr>
      <w:r w:rsidRPr="005169DA">
        <w:rPr>
          <w:szCs w:val="24"/>
        </w:rPr>
        <w:t>Co-location mapping</w:t>
      </w:r>
      <w:r w:rsidR="52CA3F67" w:rsidRPr="005169DA">
        <w:rPr>
          <w:szCs w:val="24"/>
        </w:rPr>
        <w:t xml:space="preserve"> </w:t>
      </w:r>
      <w:r w:rsidR="66BC86EE" w:rsidRPr="005169DA">
        <w:rPr>
          <w:szCs w:val="24"/>
        </w:rPr>
        <w:t xml:space="preserve">now </w:t>
      </w:r>
      <w:r w:rsidR="52CA3F67" w:rsidRPr="005169DA">
        <w:rPr>
          <w:szCs w:val="24"/>
        </w:rPr>
        <w:t>occurs</w:t>
      </w:r>
      <w:r w:rsidRPr="005169DA">
        <w:rPr>
          <w:szCs w:val="24"/>
        </w:rPr>
        <w:t xml:space="preserve"> after </w:t>
      </w:r>
      <w:r w:rsidR="7269DA11" w:rsidRPr="005169DA">
        <w:rPr>
          <w:szCs w:val="24"/>
        </w:rPr>
        <w:t xml:space="preserve">the </w:t>
      </w:r>
      <w:r w:rsidRPr="005169DA">
        <w:rPr>
          <w:szCs w:val="24"/>
        </w:rPr>
        <w:t xml:space="preserve">stand-alone storage resources have </w:t>
      </w:r>
      <w:r w:rsidR="1695BF8C" w:rsidRPr="005169DA">
        <w:rPr>
          <w:szCs w:val="24"/>
        </w:rPr>
        <w:t>been mapped.</w:t>
      </w:r>
      <w:r w:rsidRPr="005169DA">
        <w:rPr>
          <w:szCs w:val="24"/>
        </w:rPr>
        <w:t xml:space="preserve"> </w:t>
      </w:r>
      <w:r w:rsidR="620DCA71" w:rsidRPr="005169DA">
        <w:rPr>
          <w:szCs w:val="24"/>
        </w:rPr>
        <w:t>In addition, the FD status of the solar resources at the substations is transferred to the battery resources</w:t>
      </w:r>
      <w:r w:rsidR="46A8E96A" w:rsidRPr="005169DA">
        <w:rPr>
          <w:szCs w:val="24"/>
        </w:rPr>
        <w:t>.</w:t>
      </w:r>
      <w:r w:rsidR="6AB76F45" w:rsidRPr="005169DA">
        <w:rPr>
          <w:szCs w:val="24"/>
        </w:rPr>
        <w:t xml:space="preserve"> This provides the benefit of </w:t>
      </w:r>
      <w:r w:rsidR="0C447793" w:rsidRPr="005169DA">
        <w:rPr>
          <w:szCs w:val="24"/>
        </w:rPr>
        <w:t>remaining under</w:t>
      </w:r>
      <w:r w:rsidR="6AB76F45" w:rsidRPr="005169DA">
        <w:rPr>
          <w:szCs w:val="24"/>
        </w:rPr>
        <w:t xml:space="preserve"> the FD limit at the substation</w:t>
      </w:r>
      <w:r w:rsidR="418EFE81" w:rsidRPr="005169DA">
        <w:rPr>
          <w:szCs w:val="24"/>
        </w:rPr>
        <w:t xml:space="preserve">, </w:t>
      </w:r>
      <w:r w:rsidR="342374A8" w:rsidRPr="005169DA">
        <w:rPr>
          <w:szCs w:val="24"/>
        </w:rPr>
        <w:t>prevent</w:t>
      </w:r>
      <w:r w:rsidR="418EFE81" w:rsidRPr="005169DA">
        <w:rPr>
          <w:szCs w:val="24"/>
        </w:rPr>
        <w:t>ing any exceedances</w:t>
      </w:r>
      <w:r w:rsidR="6AB76F45" w:rsidRPr="005169DA">
        <w:rPr>
          <w:szCs w:val="24"/>
        </w:rPr>
        <w:t>. It also maximizes the utilization of the FD status of the substation and the capacity value that can be provided</w:t>
      </w:r>
      <w:r w:rsidR="32A3D89A" w:rsidRPr="005169DA">
        <w:rPr>
          <w:szCs w:val="24"/>
        </w:rPr>
        <w:t>. Essentially, a</w:t>
      </w:r>
      <w:r w:rsidR="6AB76F45" w:rsidRPr="005169DA">
        <w:rPr>
          <w:szCs w:val="24"/>
        </w:rPr>
        <w:t xml:space="preserve"> co-located </w:t>
      </w:r>
      <w:r w:rsidR="3AC8812A" w:rsidRPr="005169DA">
        <w:rPr>
          <w:szCs w:val="24"/>
        </w:rPr>
        <w:t xml:space="preserve">solar + storage </w:t>
      </w:r>
      <w:r w:rsidR="6AB76F45" w:rsidRPr="005169DA">
        <w:rPr>
          <w:szCs w:val="24"/>
        </w:rPr>
        <w:t xml:space="preserve">resource is able to provide more </w:t>
      </w:r>
      <w:r w:rsidR="45F6E330" w:rsidRPr="005169DA">
        <w:rPr>
          <w:szCs w:val="24"/>
        </w:rPr>
        <w:t>capacity</w:t>
      </w:r>
      <w:r w:rsidR="6AB76F45" w:rsidRPr="005169DA">
        <w:rPr>
          <w:szCs w:val="24"/>
        </w:rPr>
        <w:t xml:space="preserve"> value than a stand-alone solar or </w:t>
      </w:r>
      <w:r w:rsidR="2FAF8BC4" w:rsidRPr="005169DA">
        <w:rPr>
          <w:szCs w:val="24"/>
        </w:rPr>
        <w:t xml:space="preserve">stand-alone </w:t>
      </w:r>
      <w:r w:rsidR="6AB76F45" w:rsidRPr="005169DA">
        <w:rPr>
          <w:szCs w:val="24"/>
        </w:rPr>
        <w:t>battery resource</w:t>
      </w:r>
      <w:r w:rsidR="46A8E96A" w:rsidRPr="005169DA">
        <w:rPr>
          <w:szCs w:val="24"/>
        </w:rPr>
        <w:t>.</w:t>
      </w:r>
    </w:p>
    <w:p w14:paraId="40610D73" w14:textId="31C71D25" w:rsidR="00955DF3" w:rsidRDefault="46A8E96A" w:rsidP="005169DA">
      <w:pPr>
        <w:pStyle w:val="ListParagraph"/>
        <w:numPr>
          <w:ilvl w:val="0"/>
          <w:numId w:val="21"/>
        </w:numPr>
        <w:ind w:left="720"/>
      </w:pPr>
      <w:r w:rsidRPr="005169DA">
        <w:rPr>
          <w:szCs w:val="24"/>
        </w:rPr>
        <w:t xml:space="preserve">Finally, it allows for the manual allocation of batteries based on </w:t>
      </w:r>
      <w:r w:rsidR="36EAFAFD" w:rsidRPr="005169DA">
        <w:rPr>
          <w:szCs w:val="24"/>
        </w:rPr>
        <w:t>further interaction with the non-battery busbar mapping and previous TPP busbar mapping analysis study results.</w:t>
      </w:r>
      <w:r w:rsidR="76E6DD26">
        <w:br/>
      </w:r>
    </w:p>
    <w:p w14:paraId="0EB4B4D4" w14:textId="362DEC2B" w:rsidR="00AB04A7" w:rsidRPr="00AF5E65" w:rsidRDefault="5C841765" w:rsidP="00A24A87">
      <w:r w:rsidRPr="40A5FC40">
        <w:rPr>
          <w:rStyle w:val="Heading4Char"/>
        </w:rPr>
        <w:t xml:space="preserve">Thermal </w:t>
      </w:r>
      <w:r w:rsidR="716BCCDB" w:rsidRPr="40A5FC40">
        <w:rPr>
          <w:rStyle w:val="Heading4Char"/>
        </w:rPr>
        <w:t xml:space="preserve">Generator </w:t>
      </w:r>
      <w:r w:rsidRPr="40A5FC40">
        <w:rPr>
          <w:rStyle w:val="Heading4Char"/>
        </w:rPr>
        <w:t>Retirement</w:t>
      </w:r>
      <w:r w:rsidR="7A0CA685" w:rsidRPr="40A5FC40">
        <w:rPr>
          <w:rStyle w:val="Heading4Char"/>
        </w:rPr>
        <w:t xml:space="preserve"> Assumption</w:t>
      </w:r>
      <w:r w:rsidR="00955DF3" w:rsidRPr="40A5FC40">
        <w:rPr>
          <w:rStyle w:val="Heading4Char"/>
        </w:rPr>
        <w:t>s</w:t>
      </w:r>
      <w:r w:rsidR="005F2F75">
        <w:br/>
      </w:r>
      <w:r w:rsidR="70E75559">
        <w:t xml:space="preserve">The language has been updated to reflect that biomass </w:t>
      </w:r>
      <w:r w:rsidR="6BE510CA">
        <w:t>is not considered for retirement.</w:t>
      </w:r>
      <w:r w:rsidR="00F038D7">
        <w:rPr>
          <w:color w:val="2B579A"/>
          <w:shd w:val="clear" w:color="auto" w:fill="E6E6E6"/>
        </w:rPr>
        <w:fldChar w:fldCharType="begin"/>
      </w:r>
      <w:r w:rsidR="00F038D7">
        <w:instrText xml:space="preserve"> REF _Ref32431952 \r \h </w:instrText>
      </w:r>
      <w:r w:rsidR="00F038D7">
        <w:rPr>
          <w:color w:val="2B579A"/>
          <w:shd w:val="clear" w:color="auto" w:fill="E6E6E6"/>
        </w:rPr>
      </w:r>
      <w:r w:rsidR="00F038D7">
        <w:rPr>
          <w:color w:val="2B579A"/>
          <w:shd w:val="clear" w:color="auto" w:fill="E6E6E6"/>
        </w:rPr>
        <w:fldChar w:fldCharType="separate"/>
      </w:r>
      <w:r w:rsidR="003B7A14">
        <w:t>9</w:t>
      </w:r>
      <w:r w:rsidR="00F038D7">
        <w:rPr>
          <w:color w:val="2B579A"/>
          <w:shd w:val="clear" w:color="auto" w:fill="E6E6E6"/>
        </w:rPr>
        <w:fldChar w:fldCharType="end"/>
      </w:r>
    </w:p>
    <w:p w14:paraId="6FE71CC7" w14:textId="77777777" w:rsidR="00957612" w:rsidRDefault="00957612">
      <w:pPr>
        <w:spacing w:after="160" w:line="259" w:lineRule="auto"/>
        <w:ind w:left="0"/>
        <w:rPr>
          <w:rFonts w:ascii="Century Gothic" w:eastAsia="Times New Roman" w:hAnsi="Century Gothic" w:cstheme="majorBidi"/>
          <w:color w:val="2F5496" w:themeColor="accent1" w:themeShade="BF"/>
          <w:sz w:val="26"/>
          <w:szCs w:val="26"/>
        </w:rPr>
      </w:pPr>
      <w:bookmarkStart w:id="45" w:name="_Ref36390140"/>
      <w:bookmarkStart w:id="46" w:name="_Ref32137443"/>
      <w:r>
        <w:br w:type="page"/>
      </w:r>
    </w:p>
    <w:p w14:paraId="679ACC2F" w14:textId="4AA9D1EC" w:rsidR="00CC5872" w:rsidRDefault="00B056C8" w:rsidP="00DD54CE">
      <w:pPr>
        <w:pStyle w:val="Heading2"/>
      </w:pPr>
      <w:bookmarkStart w:id="47" w:name="_Toc63669598"/>
      <w:r>
        <w:lastRenderedPageBreak/>
        <w:t>Analysis</w:t>
      </w:r>
      <w:bookmarkEnd w:id="45"/>
      <w:bookmarkEnd w:id="47"/>
    </w:p>
    <w:p w14:paraId="0EA8C602" w14:textId="48C6D996" w:rsidR="006C572B" w:rsidRDefault="00CC5872" w:rsidP="005169DA">
      <w:pPr>
        <w:spacing w:after="120"/>
        <w:ind w:left="0"/>
      </w:pPr>
      <w:r>
        <w:t xml:space="preserve">This </w:t>
      </w:r>
      <w:r w:rsidR="00F579B6">
        <w:t xml:space="preserve">section </w:t>
      </w:r>
      <w:r>
        <w:t>details the analysis</w:t>
      </w:r>
      <w:r w:rsidR="647B7C6E">
        <w:t xml:space="preserve"> and iterative mapping process</w:t>
      </w:r>
      <w:r>
        <w:t xml:space="preserve"> performed to reach the </w:t>
      </w:r>
      <w:proofErr w:type="gramStart"/>
      <w:r>
        <w:t>final results</w:t>
      </w:r>
      <w:proofErr w:type="gramEnd"/>
      <w:r>
        <w:t xml:space="preserve"> in </w:t>
      </w:r>
      <w:r w:rsidR="008A1BAF">
        <w:t xml:space="preserve">Section </w:t>
      </w:r>
      <w:r>
        <w:fldChar w:fldCharType="begin"/>
      </w:r>
      <w:r>
        <w:instrText xml:space="preserve"> REF _Ref36100630 \r \h </w:instrText>
      </w:r>
      <w:r>
        <w:fldChar w:fldCharType="separate"/>
      </w:r>
      <w:r w:rsidR="003B7A14">
        <w:t>7</w:t>
      </w:r>
      <w:r>
        <w:fldChar w:fldCharType="end"/>
      </w:r>
      <w:r>
        <w:t>.</w:t>
      </w:r>
      <w:r w:rsidR="00C6185C">
        <w:t xml:space="preserve"> </w:t>
      </w:r>
      <w:r w:rsidR="0F88CDE9">
        <w:t xml:space="preserve">Each of the subsections </w:t>
      </w:r>
      <w:r w:rsidR="00C6185C">
        <w:t>below</w:t>
      </w:r>
      <w:r w:rsidR="0F88CDE9">
        <w:t xml:space="preserve"> first discus</w:t>
      </w:r>
      <w:r w:rsidR="066C7850">
        <w:t>s</w:t>
      </w:r>
      <w:r w:rsidR="0F88CDE9">
        <w:t xml:space="preserve"> analysis of the non-battery resources</w:t>
      </w:r>
      <w:r w:rsidR="4FF81E49">
        <w:t xml:space="preserve"> and follow with the analysis of the battery resources. For the non-battery resources s</w:t>
      </w:r>
      <w:r w:rsidR="607DD434">
        <w:t xml:space="preserve">taff </w:t>
      </w:r>
      <w:r w:rsidR="1E24ADAA">
        <w:t xml:space="preserve">use </w:t>
      </w:r>
      <w:r w:rsidR="6E7A8DD4">
        <w:t xml:space="preserve">a </w:t>
      </w:r>
      <w:r w:rsidR="5B69659D">
        <w:t>“</w:t>
      </w:r>
      <w:r w:rsidR="6E7A8DD4">
        <w:t>dashboard</w:t>
      </w:r>
      <w:r w:rsidR="5B69659D">
        <w:t>”</w:t>
      </w:r>
      <w:r w:rsidR="607DD434">
        <w:t xml:space="preserve"> </w:t>
      </w:r>
      <w:r w:rsidR="1C5A563F">
        <w:t>to</w:t>
      </w:r>
      <w:r w:rsidR="14B298B8">
        <w:t xml:space="preserve"> </w:t>
      </w:r>
      <w:r w:rsidR="1C5A563F">
        <w:t xml:space="preserve">identify </w:t>
      </w:r>
      <w:r w:rsidR="14B298B8">
        <w:t xml:space="preserve">whether busbar allocations </w:t>
      </w:r>
      <w:r w:rsidR="439E0514">
        <w:t xml:space="preserve">of a particular round of </w:t>
      </w:r>
      <w:r w:rsidR="6CBE0755">
        <w:t xml:space="preserve">mapping of a portfolio </w:t>
      </w:r>
      <w:r w:rsidR="14B298B8">
        <w:t>comply with the five key criteria</w:t>
      </w:r>
      <w:r w:rsidR="1A2D1299">
        <w:t xml:space="preserve"> </w:t>
      </w:r>
      <w:r w:rsidR="797E75C4">
        <w:t>described</w:t>
      </w:r>
      <w:r w:rsidR="1A2D1299">
        <w:t xml:space="preserve"> in the Methodology (see Appendix A)</w:t>
      </w:r>
      <w:r w:rsidR="390A1285">
        <w:t>.</w:t>
      </w:r>
      <w:r w:rsidR="14B298B8">
        <w:t xml:space="preserve"> </w:t>
      </w:r>
      <w:r w:rsidR="2D48A790">
        <w:t xml:space="preserve">This informs whether </w:t>
      </w:r>
      <w:r w:rsidR="65AC6F60">
        <w:t>changes to</w:t>
      </w:r>
      <w:r w:rsidR="74BB4F4D">
        <w:t xml:space="preserve"> the allocation </w:t>
      </w:r>
      <w:r w:rsidR="75B1D67E">
        <w:t xml:space="preserve">may be required. </w:t>
      </w:r>
      <w:r>
        <w:fldChar w:fldCharType="begin"/>
      </w:r>
      <w:r>
        <w:instrText xml:space="preserve"> REF _Ref59457393 \r \h </w:instrText>
      </w:r>
      <w:r>
        <w:fldChar w:fldCharType="separate"/>
      </w:r>
      <w:r w:rsidR="003B7A14">
        <w:t>A</w:t>
      </w:r>
      <w:r>
        <w:fldChar w:fldCharType="end"/>
      </w:r>
      <w:r w:rsidR="14B298B8">
        <w:t xml:space="preserve">. </w:t>
      </w:r>
      <w:r w:rsidR="4A15BA07">
        <w:t xml:space="preserve"> For the battery resources </w:t>
      </w:r>
      <w:r w:rsidR="00F61F2F">
        <w:t>CPUC</w:t>
      </w:r>
      <w:r w:rsidR="4A15BA07">
        <w:t xml:space="preserve"> staff apply the methodology</w:t>
      </w:r>
      <w:r w:rsidR="6565154E">
        <w:t xml:space="preserve"> and analyze it through the lens of achievement of policy objectives, interaction with the non-battery resources, and transmission implications. </w:t>
      </w:r>
      <w:r w:rsidR="08E3A293">
        <w:t xml:space="preserve">Unlike the non-battery mapping which builds on the locational information reported in the resource selection results from the RESOLVE optimization, </w:t>
      </w:r>
      <w:r w:rsidR="478887C4">
        <w:t xml:space="preserve">battery resources do not have any locational assignments. </w:t>
      </w:r>
      <w:r w:rsidR="361B2496">
        <w:t>Accordingly</w:t>
      </w:r>
      <w:r w:rsidR="0766263F">
        <w:t>,</w:t>
      </w:r>
      <w:r w:rsidR="25586C85">
        <w:t xml:space="preserve"> the battery mapping analysis for each portfolio begins from a neutral position without needing to</w:t>
      </w:r>
      <w:r w:rsidR="7449EB64">
        <w:t xml:space="preserve"> make adjustments due to the application of the considerations in the methodo</w:t>
      </w:r>
      <w:r w:rsidR="67B9CCBD">
        <w:t>logy.</w:t>
      </w:r>
      <w:r w:rsidR="155FBC53">
        <w:t xml:space="preserve"> </w:t>
      </w:r>
    </w:p>
    <w:p w14:paraId="4E1F1AC5" w14:textId="0BCD444C" w:rsidR="006C572B" w:rsidRDefault="155FBC53" w:rsidP="00EC135C">
      <w:pPr>
        <w:spacing w:after="120"/>
        <w:ind w:left="0"/>
      </w:pPr>
      <w:r>
        <w:t xml:space="preserve">The analysis discussion for each portfolio is </w:t>
      </w:r>
      <w:r w:rsidR="04CCA328">
        <w:t>divided</w:t>
      </w:r>
      <w:r>
        <w:t xml:space="preserve"> into </w:t>
      </w:r>
      <w:r w:rsidR="7AD3A55A">
        <w:t xml:space="preserve">a discussion of each </w:t>
      </w:r>
      <w:r>
        <w:t xml:space="preserve">round of mapping. </w:t>
      </w:r>
      <w:r w:rsidR="2B34C95D">
        <w:t>For each round, t</w:t>
      </w:r>
      <w:r w:rsidR="38A2B4F5">
        <w:t>he analysis</w:t>
      </w:r>
      <w:r w:rsidR="15947B0F">
        <w:t xml:space="preserve"> below</w:t>
      </w:r>
      <w:r w:rsidR="38A2B4F5">
        <w:t xml:space="preserve"> </w:t>
      </w:r>
      <w:r w:rsidR="274243AB">
        <w:t>first notes the compliance with</w:t>
      </w:r>
      <w:r w:rsidR="3006D4A4">
        <w:t xml:space="preserve"> the</w:t>
      </w:r>
      <w:r w:rsidR="274243AB">
        <w:t xml:space="preserve"> criteria</w:t>
      </w:r>
      <w:r w:rsidR="3451955E">
        <w:t xml:space="preserve"> established in the Methodology</w:t>
      </w:r>
      <w:r w:rsidR="2B0F5FB4">
        <w:t xml:space="preserve"> for the mapped </w:t>
      </w:r>
      <w:r w:rsidR="02043C5F">
        <w:t>resources</w:t>
      </w:r>
      <w:r w:rsidR="3451955E">
        <w:t xml:space="preserve"> via a summary dashboard</w:t>
      </w:r>
      <w:r w:rsidR="0DC1A3B5">
        <w:t>.</w:t>
      </w:r>
      <w:r w:rsidR="696AE5E4">
        <w:t xml:space="preserve"> Staff then discuss what changes to the reallocation need to be made in the next round of mapping to better comply with the criteria and to </w:t>
      </w:r>
      <w:r w:rsidR="1A809763">
        <w:t xml:space="preserve">better achieve </w:t>
      </w:r>
      <w:r w:rsidR="696AE5E4">
        <w:t>policy objecti</w:t>
      </w:r>
      <w:r w:rsidR="3A3B29FE">
        <w:t>ves. The results of the last round of mapping after which CPUC staff</w:t>
      </w:r>
      <w:r w:rsidR="1172047C">
        <w:t xml:space="preserve"> determine no further mapping is necessary are discussed in the Results, Section 7.</w:t>
      </w:r>
    </w:p>
    <w:p w14:paraId="0D1697ED" w14:textId="5C9D1ADC" w:rsidR="13A18B61" w:rsidRPr="000115B3" w:rsidRDefault="32236E9B" w:rsidP="000115B3">
      <w:pPr>
        <w:pStyle w:val="Heading3"/>
      </w:pPr>
      <w:bookmarkStart w:id="48" w:name="_Ref59129863"/>
      <w:bookmarkStart w:id="49" w:name="_Toc63669599"/>
      <w:r w:rsidRPr="000115B3">
        <w:t>46 MMT with 2019 IEPR Portfolio</w:t>
      </w:r>
      <w:bookmarkEnd w:id="48"/>
      <w:bookmarkEnd w:id="49"/>
    </w:p>
    <w:p w14:paraId="2CAF18FA" w14:textId="0A8E0691" w:rsidR="18730886" w:rsidRDefault="18730886" w:rsidP="00182462">
      <w:pPr>
        <w:spacing w:after="160" w:line="259" w:lineRule="auto"/>
        <w:rPr>
          <w:rFonts w:eastAsia="Garamond" w:cs="Garamond"/>
          <w:b/>
          <w:bCs/>
          <w:color w:val="000000" w:themeColor="text1"/>
        </w:rPr>
      </w:pPr>
      <w:r w:rsidRPr="0C79D6A3">
        <w:rPr>
          <w:rFonts w:eastAsia="Garamond" w:cs="Garamond"/>
          <w:b/>
          <w:bCs/>
          <w:color w:val="000000" w:themeColor="text1"/>
        </w:rPr>
        <w:t>Round 1 Mapping</w:t>
      </w:r>
      <w:r w:rsidR="61B8A045" w:rsidRPr="0C79D6A3">
        <w:rPr>
          <w:rFonts w:eastAsia="Garamond" w:cs="Garamond"/>
          <w:b/>
          <w:bCs/>
          <w:color w:val="000000" w:themeColor="text1"/>
        </w:rPr>
        <w:t xml:space="preserve"> Analysis</w:t>
      </w:r>
    </w:p>
    <w:p w14:paraId="2549DD4A" w14:textId="65D93C01" w:rsidR="791A00DB" w:rsidRPr="00A24A87" w:rsidRDefault="791A00DB" w:rsidP="099CA948">
      <w:pPr>
        <w:spacing w:after="160" w:line="259" w:lineRule="auto"/>
        <w:rPr>
          <w:rFonts w:eastAsia="Garamond" w:cs="Garamond"/>
          <w:color w:val="000000" w:themeColor="text1"/>
        </w:rPr>
      </w:pPr>
      <w:r w:rsidRPr="00A24A87">
        <w:rPr>
          <w:rFonts w:eastAsia="Garamond" w:cs="Garamond"/>
          <w:color w:val="000000" w:themeColor="text1"/>
        </w:rPr>
        <w:t xml:space="preserve">Starting with the RESOLVE-selected non-battery resources identified in Section </w:t>
      </w:r>
      <w:r w:rsidR="00F040BF">
        <w:rPr>
          <w:rFonts w:eastAsia="Garamond" w:cs="Garamond"/>
          <w:color w:val="000000" w:themeColor="text1"/>
        </w:rPr>
        <w:fldChar w:fldCharType="begin"/>
      </w:r>
      <w:r w:rsidR="00F040BF">
        <w:rPr>
          <w:rFonts w:eastAsia="Garamond" w:cs="Garamond"/>
          <w:color w:val="000000" w:themeColor="text1"/>
        </w:rPr>
        <w:instrText xml:space="preserve"> REF _Ref60744642 \r \h </w:instrText>
      </w:r>
      <w:r w:rsidR="00F040BF">
        <w:rPr>
          <w:rFonts w:eastAsia="Garamond" w:cs="Garamond"/>
          <w:color w:val="000000" w:themeColor="text1"/>
        </w:rPr>
      </w:r>
      <w:r w:rsidR="00F040BF">
        <w:rPr>
          <w:rFonts w:eastAsia="Garamond" w:cs="Garamond"/>
          <w:color w:val="000000" w:themeColor="text1"/>
        </w:rPr>
        <w:fldChar w:fldCharType="separate"/>
      </w:r>
      <w:r w:rsidR="003B7A14">
        <w:rPr>
          <w:rFonts w:eastAsia="Garamond" w:cs="Garamond"/>
          <w:color w:val="000000" w:themeColor="text1"/>
        </w:rPr>
        <w:t>4.1</w:t>
      </w:r>
      <w:r w:rsidR="00F040BF">
        <w:rPr>
          <w:rFonts w:eastAsia="Garamond" w:cs="Garamond"/>
          <w:color w:val="000000" w:themeColor="text1"/>
        </w:rPr>
        <w:fldChar w:fldCharType="end"/>
      </w:r>
      <w:r w:rsidRPr="00A24A87">
        <w:rPr>
          <w:rFonts w:eastAsia="Garamond" w:cs="Garamond"/>
          <w:color w:val="000000" w:themeColor="text1"/>
        </w:rPr>
        <w:t xml:space="preserve">, above, CEC staff mapped these resources in accordance with the Methodology, and demonstrated reasonable compliance with criteria 1 (distance to transmission of appropriate voltage), 3a (available land area), 3b (high environmental impacts), 4 (commercial interest), and 5 (consistency with prior year’s mapping) as shown in Table </w:t>
      </w:r>
      <w:r w:rsidR="004A1A78">
        <w:rPr>
          <w:rFonts w:eastAsia="Garamond" w:cs="Garamond"/>
          <w:color w:val="000000" w:themeColor="text1"/>
        </w:rPr>
        <w:t>9</w:t>
      </w:r>
      <w:r w:rsidRPr="00A24A87">
        <w:rPr>
          <w:rFonts w:eastAsia="Garamond" w:cs="Garamond"/>
          <w:color w:val="000000" w:themeColor="text1"/>
        </w:rPr>
        <w:t xml:space="preserve"> below. Note compliance with criterion 5 was assessed with reference to the February 2020 busbar allocations of the 2019 RSP Policy-driven Sensitivity Portfolio 1 described in the 2020-2021 TPP Report Release 2. Storage resources, both batteries and pumped hydro storage, were not mapped during Round 1 so are not included in Table </w:t>
      </w:r>
      <w:r w:rsidR="004A1A78">
        <w:rPr>
          <w:rFonts w:eastAsia="Garamond" w:cs="Garamond"/>
          <w:color w:val="000000" w:themeColor="text1"/>
        </w:rPr>
        <w:t>9</w:t>
      </w:r>
      <w:r w:rsidRPr="00A24A87">
        <w:rPr>
          <w:rFonts w:eastAsia="Garamond" w:cs="Garamond"/>
          <w:color w:val="000000" w:themeColor="text1"/>
        </w:rPr>
        <w:t xml:space="preserve"> or accounted for in the transmission capability limits (criterion 2). They are mapped during Round 2.</w:t>
      </w:r>
    </w:p>
    <w:p w14:paraId="51F57706" w14:textId="547BCD97" w:rsidR="13A18B61" w:rsidRDefault="13A18B61" w:rsidP="13A18B61"/>
    <w:p w14:paraId="7F60D4AD" w14:textId="77777777" w:rsidR="00F921D2" w:rsidRDefault="00F921D2" w:rsidP="6D737CC7">
      <w:pPr>
        <w:spacing w:after="160" w:line="259" w:lineRule="auto"/>
        <w:ind w:left="0"/>
        <w:rPr>
          <w:rFonts w:eastAsia="Garamond" w:cs="Garamond"/>
          <w:color w:val="000000" w:themeColor="text1"/>
        </w:rPr>
      </w:pPr>
    </w:p>
    <w:p w14:paraId="64D943D3" w14:textId="77777777" w:rsidR="00851B80" w:rsidRDefault="00851B80" w:rsidP="6D737CC7">
      <w:pPr>
        <w:spacing w:after="160" w:line="259" w:lineRule="auto"/>
        <w:ind w:left="0"/>
        <w:sectPr w:rsidR="00851B80" w:rsidSect="005169DA">
          <w:headerReference w:type="default" r:id="rId22"/>
          <w:footerReference w:type="default" r:id="rId23"/>
          <w:pgSz w:w="12240" w:h="15840"/>
          <w:pgMar w:top="1440" w:right="1440" w:bottom="1260" w:left="1440" w:header="720" w:footer="720" w:gutter="0"/>
          <w:cols w:space="720"/>
          <w:docGrid w:linePitch="360"/>
        </w:sectPr>
      </w:pPr>
    </w:p>
    <w:p w14:paraId="4D2F2135" w14:textId="1835D92D" w:rsidR="00F921D2" w:rsidRDefault="00F921D2" w:rsidP="6D737CC7">
      <w:pPr>
        <w:spacing w:after="160" w:line="259" w:lineRule="auto"/>
        <w:ind w:left="0"/>
        <w:sectPr w:rsidR="00F921D2" w:rsidSect="00851B80">
          <w:type w:val="continuous"/>
          <w:pgSz w:w="12240" w:h="15840"/>
          <w:pgMar w:top="1440" w:right="1440" w:bottom="1440" w:left="1440" w:header="720" w:footer="720" w:gutter="0"/>
          <w:cols w:space="720"/>
          <w:docGrid w:linePitch="360"/>
        </w:sectPr>
      </w:pPr>
    </w:p>
    <w:p w14:paraId="5CD58416" w14:textId="66F4D8D6" w:rsidR="00672BF3" w:rsidRDefault="00672BF3" w:rsidP="6D737CC7">
      <w:pPr>
        <w:spacing w:after="160" w:line="259" w:lineRule="auto"/>
        <w:ind w:left="0"/>
      </w:pPr>
    </w:p>
    <w:p w14:paraId="5BE29186" w14:textId="2CDFBC89" w:rsidR="00C94E39" w:rsidRDefault="00C94E39" w:rsidP="005169DA">
      <w:pPr>
        <w:pStyle w:val="Caption"/>
        <w:keepNext/>
      </w:pPr>
      <w:r>
        <w:t xml:space="preserve">Table </w:t>
      </w:r>
      <w:r w:rsidR="00F02B49">
        <w:fldChar w:fldCharType="begin"/>
      </w:r>
      <w:r w:rsidR="00F02B49">
        <w:instrText xml:space="preserve"> SEQ Table \* ARABIC </w:instrText>
      </w:r>
      <w:r w:rsidR="00F02B49">
        <w:fldChar w:fldCharType="separate"/>
      </w:r>
      <w:r w:rsidR="001D72D3">
        <w:rPr>
          <w:noProof/>
        </w:rPr>
        <w:t>9</w:t>
      </w:r>
      <w:r w:rsidR="00F02B49">
        <w:rPr>
          <w:noProof/>
        </w:rPr>
        <w:fldChar w:fldCharType="end"/>
      </w:r>
      <w:r>
        <w:t xml:space="preserve">. </w:t>
      </w:r>
      <w:r w:rsidRPr="00C94E39">
        <w:t>Dashboard showing compliance of busbar allocations for the 46 MMT portfolio, after Round 1 mapping, with the criteria</w:t>
      </w:r>
    </w:p>
    <w:p w14:paraId="2F37D051" w14:textId="5C91BDA1" w:rsidR="00672BF3" w:rsidRDefault="1F684182" w:rsidP="00A24A87">
      <w:r>
        <w:rPr>
          <w:noProof/>
        </w:rPr>
        <w:drawing>
          <wp:inline distT="0" distB="0" distL="0" distR="0" wp14:anchorId="1B49D0DD" wp14:editId="6B2B8AFB">
            <wp:extent cx="8229600" cy="3667125"/>
            <wp:effectExtent l="0" t="0" r="0" b="0"/>
            <wp:docPr id="453203916" name="Picture 45320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03916"/>
                    <pic:cNvPicPr/>
                  </pic:nvPicPr>
                  <pic:blipFill>
                    <a:blip r:embed="rId24">
                      <a:extLst>
                        <a:ext uri="{28A0092B-C50C-407E-A947-70E740481C1C}">
                          <a14:useLocalDpi xmlns:a14="http://schemas.microsoft.com/office/drawing/2010/main" val="0"/>
                        </a:ext>
                      </a:extLst>
                    </a:blip>
                    <a:stretch>
                      <a:fillRect/>
                    </a:stretch>
                  </pic:blipFill>
                  <pic:spPr>
                    <a:xfrm>
                      <a:off x="0" y="0"/>
                      <a:ext cx="8229600" cy="3667125"/>
                    </a:xfrm>
                    <a:prstGeom prst="rect">
                      <a:avLst/>
                    </a:prstGeom>
                  </pic:spPr>
                </pic:pic>
              </a:graphicData>
            </a:graphic>
          </wp:inline>
        </w:drawing>
      </w:r>
    </w:p>
    <w:p w14:paraId="29827A57" w14:textId="3FB4592C" w:rsidR="006C572B" w:rsidRPr="00BD2C6D" w:rsidRDefault="006C572B" w:rsidP="6D737CC7">
      <w:pPr>
        <w:spacing w:after="160" w:line="259" w:lineRule="auto"/>
        <w:ind w:left="0"/>
      </w:pPr>
    </w:p>
    <w:p w14:paraId="4F03897A" w14:textId="77777777" w:rsidR="00AF1A07" w:rsidRDefault="00AF1A07" w:rsidP="5022C812">
      <w:pPr>
        <w:spacing w:after="160" w:line="259" w:lineRule="auto"/>
        <w:rPr>
          <w:rFonts w:eastAsia="Garamond" w:cs="Garamond"/>
          <w:color w:val="000000" w:themeColor="text1"/>
        </w:rPr>
        <w:sectPr w:rsidR="00AF1A07" w:rsidSect="00672BF3">
          <w:pgSz w:w="15840" w:h="12240" w:orient="landscape"/>
          <w:pgMar w:top="1440" w:right="1440" w:bottom="1440" w:left="1440" w:header="720" w:footer="720" w:gutter="0"/>
          <w:cols w:space="720"/>
          <w:docGrid w:linePitch="360"/>
        </w:sectPr>
      </w:pPr>
    </w:p>
    <w:p w14:paraId="7EE46DDF" w14:textId="7F560502" w:rsidR="74F6432B" w:rsidRDefault="74F6432B" w:rsidP="057D115D">
      <w:pPr>
        <w:spacing w:after="160" w:line="259" w:lineRule="auto"/>
        <w:rPr>
          <w:rFonts w:eastAsia="Garamond" w:cs="Garamond"/>
          <w:color w:val="000000" w:themeColor="text1"/>
        </w:rPr>
      </w:pPr>
      <w:r w:rsidRPr="057D115D">
        <w:rPr>
          <w:rFonts w:eastAsia="Garamond" w:cs="Garamond"/>
          <w:b/>
          <w:bCs/>
          <w:color w:val="000000" w:themeColor="text1"/>
        </w:rPr>
        <w:lastRenderedPageBreak/>
        <w:t>Proposed Adjustments for Round 2 of mapping</w:t>
      </w:r>
    </w:p>
    <w:p w14:paraId="1DB0061C" w14:textId="1E0C482B" w:rsidR="006C572B" w:rsidRPr="00BD2C6D" w:rsidRDefault="70D49AB3" w:rsidP="5022C812">
      <w:pPr>
        <w:spacing w:after="160" w:line="259" w:lineRule="auto"/>
        <w:rPr>
          <w:rFonts w:eastAsia="Garamond" w:cs="Garamond"/>
          <w:color w:val="000000" w:themeColor="text1"/>
        </w:rPr>
      </w:pPr>
      <w:r w:rsidRPr="40A5FC40">
        <w:rPr>
          <w:rFonts w:eastAsia="Garamond" w:cs="Garamond"/>
          <w:color w:val="000000" w:themeColor="text1"/>
        </w:rPr>
        <w:t xml:space="preserve">Following Round 1 mapping, </w:t>
      </w:r>
      <w:r w:rsidR="50F1E4BE" w:rsidRPr="40A5FC40">
        <w:rPr>
          <w:rFonts w:eastAsia="Garamond" w:cs="Garamond"/>
          <w:color w:val="000000" w:themeColor="text1"/>
        </w:rPr>
        <w:t>CPUC staff observed material non-compliances with criteri</w:t>
      </w:r>
      <w:r w:rsidR="6362DB18" w:rsidRPr="40A5FC40">
        <w:rPr>
          <w:rFonts w:eastAsia="Garamond" w:cs="Garamond"/>
          <w:color w:val="000000" w:themeColor="text1"/>
        </w:rPr>
        <w:t>on</w:t>
      </w:r>
      <w:r w:rsidR="50F1E4BE" w:rsidRPr="40A5FC40">
        <w:rPr>
          <w:rFonts w:eastAsia="Garamond" w:cs="Garamond"/>
          <w:color w:val="000000" w:themeColor="text1"/>
        </w:rPr>
        <w:t xml:space="preserve"> 2 (transmission capability)</w:t>
      </w:r>
      <w:r w:rsidR="681F8678" w:rsidRPr="40A5FC40">
        <w:rPr>
          <w:rFonts w:eastAsia="Garamond" w:cs="Garamond"/>
          <w:color w:val="000000" w:themeColor="text1"/>
        </w:rPr>
        <w:t xml:space="preserve"> </w:t>
      </w:r>
      <w:r w:rsidR="50F1E4BE" w:rsidRPr="40A5FC40">
        <w:rPr>
          <w:rFonts w:eastAsia="Garamond" w:cs="Garamond"/>
          <w:color w:val="000000" w:themeColor="text1"/>
        </w:rPr>
        <w:t xml:space="preserve">and determined that further changes were necessary to resolve these non-compliances. These changes, </w:t>
      </w:r>
      <w:r w:rsidRPr="40A5FC40">
        <w:rPr>
          <w:rFonts w:eastAsia="Garamond" w:cs="Garamond"/>
          <w:color w:val="000000" w:themeColor="text1"/>
        </w:rPr>
        <w:t xml:space="preserve">as well as </w:t>
      </w:r>
      <w:r w:rsidR="50F1E4BE" w:rsidRPr="40A5FC40">
        <w:rPr>
          <w:rFonts w:eastAsia="Garamond" w:cs="Garamond"/>
          <w:color w:val="000000" w:themeColor="text1"/>
        </w:rPr>
        <w:t xml:space="preserve">some unrelated improvements, were </w:t>
      </w:r>
      <w:r w:rsidR="69A4CD06" w:rsidRPr="40A5FC40">
        <w:rPr>
          <w:rFonts w:eastAsia="Garamond" w:cs="Garamond"/>
          <w:color w:val="000000" w:themeColor="text1"/>
        </w:rPr>
        <w:t>recommend</w:t>
      </w:r>
      <w:r w:rsidR="6A14A51D" w:rsidRPr="40A5FC40">
        <w:rPr>
          <w:rFonts w:eastAsia="Garamond" w:cs="Garamond"/>
          <w:color w:val="000000" w:themeColor="text1"/>
        </w:rPr>
        <w:t>ed</w:t>
      </w:r>
      <w:r w:rsidR="69A4CD06" w:rsidRPr="40A5FC40">
        <w:rPr>
          <w:rFonts w:eastAsia="Garamond" w:cs="Garamond"/>
          <w:color w:val="000000" w:themeColor="text1"/>
        </w:rPr>
        <w:t xml:space="preserve"> </w:t>
      </w:r>
      <w:r w:rsidR="50F1E4BE" w:rsidRPr="40A5FC40">
        <w:rPr>
          <w:rFonts w:eastAsia="Garamond" w:cs="Garamond"/>
          <w:color w:val="000000" w:themeColor="text1"/>
        </w:rPr>
        <w:t xml:space="preserve">by </w:t>
      </w:r>
      <w:r w:rsidR="5E2A13DC" w:rsidRPr="40A5FC40">
        <w:rPr>
          <w:rFonts w:eastAsia="Garamond" w:cs="Garamond"/>
          <w:color w:val="000000" w:themeColor="text1"/>
        </w:rPr>
        <w:t xml:space="preserve">CPUC </w:t>
      </w:r>
      <w:r w:rsidR="50F1E4BE" w:rsidRPr="40A5FC40">
        <w:rPr>
          <w:rFonts w:eastAsia="Garamond" w:cs="Garamond"/>
          <w:color w:val="000000" w:themeColor="text1"/>
        </w:rPr>
        <w:t>staff</w:t>
      </w:r>
      <w:r w:rsidR="42227C00" w:rsidRPr="40A5FC40">
        <w:rPr>
          <w:rFonts w:eastAsia="Garamond" w:cs="Garamond"/>
          <w:color w:val="000000" w:themeColor="text1"/>
        </w:rPr>
        <w:t xml:space="preserve"> as adjustments for Round 2</w:t>
      </w:r>
      <w:r w:rsidR="50F1E4BE" w:rsidRPr="40A5FC40">
        <w:rPr>
          <w:rFonts w:eastAsia="Garamond" w:cs="Garamond"/>
          <w:color w:val="000000" w:themeColor="text1"/>
        </w:rPr>
        <w:t>:</w:t>
      </w:r>
    </w:p>
    <w:p w14:paraId="0F46A63B" w14:textId="666D2E67" w:rsidR="006C572B" w:rsidRPr="00BD2C6D" w:rsidRDefault="50F1E4BE" w:rsidP="001B6F30">
      <w:pPr>
        <w:pStyle w:val="ListParagraph"/>
        <w:numPr>
          <w:ilvl w:val="0"/>
          <w:numId w:val="165"/>
        </w:numPr>
        <w:spacing w:after="160" w:line="259" w:lineRule="auto"/>
        <w:rPr>
          <w:rFonts w:asciiTheme="minorHAnsi" w:eastAsiaTheme="minorEastAsia" w:hAnsiTheme="minorHAnsi" w:cstheme="minorBidi"/>
          <w:color w:val="000000" w:themeColor="text1"/>
        </w:rPr>
      </w:pPr>
      <w:r w:rsidRPr="3E113772">
        <w:rPr>
          <w:rFonts w:eastAsia="Garamond" w:cs="Garamond"/>
          <w:color w:val="000000" w:themeColor="text1"/>
        </w:rPr>
        <w:t xml:space="preserve">Solar resources in “Ex” </w:t>
      </w:r>
      <w:r w:rsidR="00435ABF">
        <w:rPr>
          <w:rFonts w:eastAsia="Garamond" w:cs="Garamond"/>
          <w:color w:val="000000" w:themeColor="text1"/>
        </w:rPr>
        <w:t>z</w:t>
      </w:r>
      <w:r w:rsidR="00435ABF" w:rsidRPr="3E113772">
        <w:rPr>
          <w:rFonts w:eastAsia="Garamond" w:cs="Garamond"/>
          <w:color w:val="000000" w:themeColor="text1"/>
        </w:rPr>
        <w:t>ones</w:t>
      </w:r>
      <w:r w:rsidRPr="3E113772">
        <w:rPr>
          <w:rFonts w:eastAsia="Garamond" w:cs="Garamond"/>
          <w:color w:val="000000" w:themeColor="text1"/>
        </w:rPr>
        <w:t xml:space="preserve">: “Ex” transmission zones have available transmission capacity, indicated by active capacity in CAISO’s interconnection queue, but are outside of CAISO’s defined transmission zones. Many resources in the supply curve in RESOLVE are outside of CAISO’s assigned zones and so were assigned during 2019 IRP Inputs and Assumptions development to “Ex” zones due to their location.  In the mapping process </w:t>
      </w:r>
      <w:r w:rsidR="22C1BC95" w:rsidRPr="3E113772">
        <w:rPr>
          <w:rFonts w:eastAsia="Garamond" w:cs="Garamond"/>
          <w:color w:val="000000" w:themeColor="text1"/>
        </w:rPr>
        <w:t xml:space="preserve">for the 2020-2021 TPP Report, </w:t>
      </w:r>
      <w:r w:rsidRPr="3E113772">
        <w:rPr>
          <w:rFonts w:eastAsia="Garamond" w:cs="Garamond"/>
          <w:color w:val="000000" w:themeColor="text1"/>
        </w:rPr>
        <w:t xml:space="preserve">staff generally sought to reallocate RESOLVE-selected solar resources from </w:t>
      </w:r>
      <w:r w:rsidR="503C76C4" w:rsidRPr="3E113772">
        <w:rPr>
          <w:rFonts w:eastAsia="Garamond" w:cs="Garamond"/>
          <w:color w:val="000000" w:themeColor="text1"/>
        </w:rPr>
        <w:t>“</w:t>
      </w:r>
      <w:r w:rsidRPr="3E113772">
        <w:rPr>
          <w:rFonts w:eastAsia="Garamond" w:cs="Garamond"/>
          <w:color w:val="000000" w:themeColor="text1"/>
        </w:rPr>
        <w:t>Ex</w:t>
      </w:r>
      <w:r w:rsidR="700758A8" w:rsidRPr="3E113772">
        <w:rPr>
          <w:rFonts w:eastAsia="Garamond" w:cs="Garamond"/>
          <w:color w:val="000000" w:themeColor="text1"/>
        </w:rPr>
        <w:t>”</w:t>
      </w:r>
      <w:r w:rsidRPr="3E113772">
        <w:rPr>
          <w:rFonts w:eastAsia="Garamond" w:cs="Garamond"/>
          <w:color w:val="000000" w:themeColor="text1"/>
        </w:rPr>
        <w:t xml:space="preserve"> zones to CAISO’s defined zones due to less certainty in the transmission assumptions for </w:t>
      </w:r>
      <w:r w:rsidR="650F5AB1" w:rsidRPr="3E113772">
        <w:rPr>
          <w:rFonts w:eastAsia="Garamond" w:cs="Garamond"/>
          <w:color w:val="000000" w:themeColor="text1"/>
        </w:rPr>
        <w:t>“</w:t>
      </w:r>
      <w:r w:rsidRPr="3E113772">
        <w:rPr>
          <w:rFonts w:eastAsia="Garamond" w:cs="Garamond"/>
          <w:color w:val="000000" w:themeColor="text1"/>
        </w:rPr>
        <w:t>Ex</w:t>
      </w:r>
      <w:r w:rsidR="5C9BAE66" w:rsidRPr="3E113772">
        <w:rPr>
          <w:rFonts w:eastAsia="Garamond" w:cs="Garamond"/>
          <w:color w:val="000000" w:themeColor="text1"/>
        </w:rPr>
        <w:t>”</w:t>
      </w:r>
      <w:r w:rsidRPr="3E113772">
        <w:rPr>
          <w:rFonts w:eastAsia="Garamond" w:cs="Garamond"/>
          <w:color w:val="000000" w:themeColor="text1"/>
        </w:rPr>
        <w:t xml:space="preserve"> zones. To avoid this uncertainty and to address the non-compliances with criteria 4 and 5 within these zones, staff</w:t>
      </w:r>
      <w:r w:rsidR="14C3C038" w:rsidRPr="3E113772">
        <w:rPr>
          <w:rFonts w:eastAsia="Garamond" w:cs="Garamond"/>
          <w:color w:val="000000" w:themeColor="text1"/>
        </w:rPr>
        <w:t xml:space="preserve"> is taking the same approach toward</w:t>
      </w:r>
      <w:r w:rsidR="04D19529" w:rsidRPr="3E113772">
        <w:rPr>
          <w:rFonts w:eastAsia="Garamond" w:cs="Garamond"/>
          <w:color w:val="000000" w:themeColor="text1"/>
        </w:rPr>
        <w:t xml:space="preserve"> solar resources in “Ex” zones </w:t>
      </w:r>
      <w:r w:rsidR="14C3C038" w:rsidRPr="3E113772">
        <w:rPr>
          <w:rFonts w:eastAsia="Garamond" w:cs="Garamond"/>
          <w:color w:val="000000" w:themeColor="text1"/>
        </w:rPr>
        <w:t xml:space="preserve">as in </w:t>
      </w:r>
      <w:r w:rsidR="086A664D" w:rsidRPr="3E113772">
        <w:rPr>
          <w:rFonts w:eastAsia="Garamond" w:cs="Garamond"/>
          <w:color w:val="000000" w:themeColor="text1"/>
        </w:rPr>
        <w:t>the 2020-2021</w:t>
      </w:r>
      <w:r w:rsidR="14C3C038" w:rsidRPr="3E113772">
        <w:rPr>
          <w:rFonts w:eastAsia="Garamond" w:cs="Garamond"/>
          <w:color w:val="000000" w:themeColor="text1"/>
        </w:rPr>
        <w:t xml:space="preserve"> TPP Report. Staff </w:t>
      </w:r>
      <w:r w:rsidRPr="3E113772">
        <w:rPr>
          <w:rFonts w:eastAsia="Garamond" w:cs="Garamond"/>
          <w:color w:val="000000" w:themeColor="text1"/>
        </w:rPr>
        <w:t>determined it was necessary to re</w:t>
      </w:r>
      <w:r w:rsidR="14BC0504" w:rsidRPr="3E113772">
        <w:rPr>
          <w:rFonts w:eastAsia="Garamond" w:cs="Garamond"/>
          <w:color w:val="000000" w:themeColor="text1"/>
        </w:rPr>
        <w:t>al</w:t>
      </w:r>
      <w:r w:rsidRPr="3E113772">
        <w:rPr>
          <w:rFonts w:eastAsia="Garamond" w:cs="Garamond"/>
          <w:color w:val="000000" w:themeColor="text1"/>
        </w:rPr>
        <w:t>locate these “Ex” zone resources as follows</w:t>
      </w:r>
      <w:r w:rsidR="175B5D76" w:rsidRPr="3E113772">
        <w:rPr>
          <w:rFonts w:eastAsia="Garamond" w:cs="Garamond"/>
          <w:color w:val="000000" w:themeColor="text1"/>
        </w:rPr>
        <w:t>:</w:t>
      </w:r>
    </w:p>
    <w:p w14:paraId="6B4C3CAF" w14:textId="1638C693" w:rsidR="006C572B" w:rsidRPr="00BD2C6D" w:rsidRDefault="3E63AE12" w:rsidP="03EFFFD1">
      <w:pPr>
        <w:pStyle w:val="ListParagraph"/>
        <w:numPr>
          <w:ilvl w:val="1"/>
          <w:numId w:val="91"/>
        </w:numPr>
        <w:spacing w:after="160" w:line="259" w:lineRule="auto"/>
        <w:rPr>
          <w:rFonts w:asciiTheme="minorHAnsi" w:eastAsiaTheme="minorEastAsia" w:hAnsiTheme="minorHAnsi" w:cstheme="minorBidi"/>
          <w:color w:val="000000" w:themeColor="text1"/>
        </w:rPr>
      </w:pPr>
      <w:proofErr w:type="spellStart"/>
      <w:r w:rsidRPr="101732D2">
        <w:rPr>
          <w:rFonts w:eastAsia="Garamond" w:cs="Garamond"/>
          <w:color w:val="000000" w:themeColor="text1"/>
        </w:rPr>
        <w:t>Westlands</w:t>
      </w:r>
      <w:proofErr w:type="spellEnd"/>
      <w:r w:rsidRPr="101732D2">
        <w:rPr>
          <w:rFonts w:eastAsia="Garamond" w:cs="Garamond"/>
          <w:color w:val="000000" w:themeColor="text1"/>
        </w:rPr>
        <w:t xml:space="preserve"> Ex Solar: </w:t>
      </w:r>
      <w:r w:rsidR="07BF3534" w:rsidRPr="101732D2">
        <w:rPr>
          <w:rFonts w:eastAsia="Garamond" w:cs="Garamond"/>
          <w:color w:val="000000" w:themeColor="text1"/>
        </w:rPr>
        <w:t>reallocate</w:t>
      </w:r>
      <w:r w:rsidRPr="101732D2">
        <w:rPr>
          <w:rFonts w:eastAsia="Garamond" w:cs="Garamond"/>
          <w:color w:val="000000" w:themeColor="text1"/>
        </w:rPr>
        <w:t xml:space="preserve"> 955 MW, 623 MW, and 201 MW FD to </w:t>
      </w:r>
      <w:proofErr w:type="spellStart"/>
      <w:r w:rsidRPr="101732D2">
        <w:rPr>
          <w:rFonts w:eastAsia="Garamond" w:cs="Garamond"/>
          <w:color w:val="000000" w:themeColor="text1"/>
        </w:rPr>
        <w:t>Westlands</w:t>
      </w:r>
      <w:proofErr w:type="spellEnd"/>
      <w:r w:rsidRPr="101732D2">
        <w:rPr>
          <w:rFonts w:eastAsia="Garamond" w:cs="Garamond"/>
          <w:color w:val="000000" w:themeColor="text1"/>
        </w:rPr>
        <w:t xml:space="preserve"> Solar, Tehachapi Solar, and</w:t>
      </w:r>
      <w:r w:rsidR="45771284" w:rsidRPr="101732D2">
        <w:rPr>
          <w:rFonts w:eastAsia="Garamond" w:cs="Garamond"/>
          <w:color w:val="000000" w:themeColor="text1"/>
        </w:rPr>
        <w:t xml:space="preserve"> </w:t>
      </w:r>
      <w:r w:rsidR="1EC016A2" w:rsidRPr="101732D2">
        <w:rPr>
          <w:rFonts w:eastAsia="Garamond" w:cs="Garamond"/>
          <w:color w:val="000000" w:themeColor="text1"/>
        </w:rPr>
        <w:t>Pisgah Solar</w:t>
      </w:r>
      <w:r w:rsidRPr="101732D2">
        <w:rPr>
          <w:rFonts w:eastAsia="Garamond" w:cs="Garamond"/>
          <w:color w:val="000000" w:themeColor="text1"/>
        </w:rPr>
        <w:t xml:space="preserve"> respectively. The </w:t>
      </w:r>
      <w:proofErr w:type="spellStart"/>
      <w:r w:rsidRPr="101732D2">
        <w:rPr>
          <w:rFonts w:eastAsia="Garamond" w:cs="Garamond"/>
          <w:color w:val="000000" w:themeColor="text1"/>
        </w:rPr>
        <w:t>Westlands</w:t>
      </w:r>
      <w:proofErr w:type="spellEnd"/>
      <w:r w:rsidRPr="101732D2">
        <w:rPr>
          <w:rFonts w:eastAsia="Garamond" w:cs="Garamond"/>
          <w:color w:val="000000" w:themeColor="text1"/>
        </w:rPr>
        <w:t xml:space="preserve"> inner</w:t>
      </w:r>
      <w:r w:rsidR="686F6F8B" w:rsidRPr="101732D2">
        <w:rPr>
          <w:rFonts w:eastAsia="Garamond" w:cs="Garamond"/>
          <w:color w:val="000000" w:themeColor="text1"/>
        </w:rPr>
        <w:t xml:space="preserve"> </w:t>
      </w:r>
      <w:r w:rsidR="7AF7CFD5" w:rsidRPr="101732D2">
        <w:rPr>
          <w:rFonts w:eastAsia="Garamond" w:cs="Garamond"/>
          <w:color w:val="000000" w:themeColor="text1"/>
        </w:rPr>
        <w:t xml:space="preserve">renewable </w:t>
      </w:r>
      <w:r w:rsidR="796B55B9" w:rsidRPr="101732D2">
        <w:rPr>
          <w:rFonts w:eastAsia="Garamond" w:cs="Garamond"/>
          <w:color w:val="000000" w:themeColor="text1"/>
        </w:rPr>
        <w:t xml:space="preserve">transmission </w:t>
      </w:r>
      <w:r w:rsidR="686F6F8B" w:rsidRPr="101732D2">
        <w:rPr>
          <w:rFonts w:eastAsia="Garamond" w:cs="Garamond"/>
          <w:color w:val="000000" w:themeColor="text1"/>
        </w:rPr>
        <w:t>zone</w:t>
      </w:r>
      <w:r w:rsidRPr="101732D2">
        <w:rPr>
          <w:rFonts w:eastAsia="Garamond" w:cs="Garamond"/>
          <w:color w:val="000000" w:themeColor="text1"/>
        </w:rPr>
        <w:t xml:space="preserve"> and </w:t>
      </w:r>
      <w:r w:rsidR="36E6B163" w:rsidRPr="101732D2">
        <w:rPr>
          <w:rFonts w:eastAsia="Garamond" w:cs="Garamond"/>
          <w:color w:val="000000" w:themeColor="text1"/>
        </w:rPr>
        <w:t xml:space="preserve">the Southern PG&amp;E </w:t>
      </w:r>
      <w:r w:rsidRPr="101732D2">
        <w:rPr>
          <w:rFonts w:eastAsia="Garamond" w:cs="Garamond"/>
          <w:color w:val="000000" w:themeColor="text1"/>
        </w:rPr>
        <w:t xml:space="preserve">outer </w:t>
      </w:r>
      <w:r w:rsidR="1BB7D960" w:rsidRPr="101732D2">
        <w:rPr>
          <w:rFonts w:eastAsia="Garamond" w:cs="Garamond"/>
          <w:color w:val="000000" w:themeColor="text1"/>
        </w:rPr>
        <w:t xml:space="preserve">renewable </w:t>
      </w:r>
      <w:r w:rsidRPr="101732D2">
        <w:rPr>
          <w:rFonts w:eastAsia="Garamond" w:cs="Garamond"/>
          <w:color w:val="000000" w:themeColor="text1"/>
        </w:rPr>
        <w:t xml:space="preserve">transmission zone do not have enough transmission capability to accommodate all the resource, so it is also </w:t>
      </w:r>
      <w:r w:rsidR="00B5D8D0" w:rsidRPr="101732D2">
        <w:rPr>
          <w:rFonts w:eastAsia="Garamond" w:cs="Garamond"/>
          <w:color w:val="000000" w:themeColor="text1"/>
        </w:rPr>
        <w:t xml:space="preserve">reallocated </w:t>
      </w:r>
      <w:r w:rsidRPr="101732D2">
        <w:rPr>
          <w:rFonts w:eastAsia="Garamond" w:cs="Garamond"/>
          <w:color w:val="000000" w:themeColor="text1"/>
        </w:rPr>
        <w:t xml:space="preserve">to the Tehachapi and Pisgah </w:t>
      </w:r>
      <w:r w:rsidR="3479665E" w:rsidRPr="101732D2">
        <w:rPr>
          <w:rFonts w:eastAsia="Garamond" w:cs="Garamond"/>
          <w:color w:val="000000" w:themeColor="text1"/>
        </w:rPr>
        <w:t xml:space="preserve">resources </w:t>
      </w:r>
      <w:r w:rsidRPr="101732D2">
        <w:rPr>
          <w:rFonts w:eastAsia="Garamond" w:cs="Garamond"/>
          <w:color w:val="000000" w:themeColor="text1"/>
        </w:rPr>
        <w:t xml:space="preserve">based on the availability of commercial interest and transmission capability </w:t>
      </w:r>
      <w:r w:rsidR="1D2CB942" w:rsidRPr="101732D2">
        <w:rPr>
          <w:rFonts w:eastAsia="Garamond" w:cs="Garamond"/>
          <w:color w:val="000000" w:themeColor="text1"/>
        </w:rPr>
        <w:t>available for</w:t>
      </w:r>
      <w:r w:rsidRPr="101732D2">
        <w:rPr>
          <w:rFonts w:eastAsia="Garamond" w:cs="Garamond"/>
          <w:color w:val="000000" w:themeColor="text1"/>
        </w:rPr>
        <w:t xml:space="preserve"> </w:t>
      </w:r>
      <w:r w:rsidR="731E20DF" w:rsidRPr="101732D2">
        <w:rPr>
          <w:rFonts w:eastAsia="Garamond" w:cs="Garamond"/>
          <w:color w:val="000000" w:themeColor="text1"/>
        </w:rPr>
        <w:t>each resource</w:t>
      </w:r>
      <w:r w:rsidRPr="101732D2">
        <w:rPr>
          <w:rFonts w:eastAsia="Garamond" w:cs="Garamond"/>
          <w:color w:val="000000" w:themeColor="text1"/>
        </w:rPr>
        <w:t>.</w:t>
      </w:r>
    </w:p>
    <w:p w14:paraId="01EDE278" w14:textId="44F5FDB1" w:rsidR="3E63AE12" w:rsidRDefault="3E63AE12" w:rsidP="099CA948">
      <w:pPr>
        <w:pStyle w:val="ListParagraph"/>
        <w:numPr>
          <w:ilvl w:val="1"/>
          <w:numId w:val="91"/>
        </w:numPr>
        <w:spacing w:after="160" w:line="259" w:lineRule="auto"/>
        <w:rPr>
          <w:rFonts w:asciiTheme="minorHAnsi" w:eastAsiaTheme="minorEastAsia" w:hAnsiTheme="minorHAnsi" w:cstheme="minorBidi"/>
          <w:color w:val="000000" w:themeColor="text1"/>
        </w:rPr>
      </w:pPr>
      <w:r w:rsidRPr="099CA948">
        <w:rPr>
          <w:rFonts w:eastAsia="Garamond" w:cs="Garamond"/>
          <w:color w:val="000000" w:themeColor="text1"/>
        </w:rPr>
        <w:t xml:space="preserve">Southern California Desert Ex Solar: </w:t>
      </w:r>
      <w:r w:rsidR="6CD86EBA" w:rsidRPr="099CA948">
        <w:rPr>
          <w:rFonts w:eastAsia="Garamond" w:cs="Garamond"/>
          <w:color w:val="000000" w:themeColor="text1"/>
        </w:rPr>
        <w:t xml:space="preserve">reallocate </w:t>
      </w:r>
      <w:r w:rsidRPr="099CA948">
        <w:rPr>
          <w:rFonts w:eastAsia="Garamond" w:cs="Garamond"/>
          <w:color w:val="000000" w:themeColor="text1"/>
        </w:rPr>
        <w:t xml:space="preserve">624 MW, and </w:t>
      </w:r>
      <w:r w:rsidR="4C824C4F" w:rsidRPr="099CA948">
        <w:rPr>
          <w:rFonts w:eastAsia="Garamond" w:cs="Garamond"/>
          <w:color w:val="000000" w:themeColor="text1"/>
        </w:rPr>
        <w:t xml:space="preserve">238 </w:t>
      </w:r>
      <w:r w:rsidRPr="099CA948">
        <w:rPr>
          <w:rFonts w:eastAsia="Garamond" w:cs="Garamond"/>
          <w:color w:val="000000" w:themeColor="text1"/>
        </w:rPr>
        <w:t xml:space="preserve">MW FD to Southern Nevada Solar, and </w:t>
      </w:r>
      <w:r w:rsidR="62B8A698" w:rsidRPr="099CA948">
        <w:rPr>
          <w:rFonts w:eastAsia="Garamond" w:cs="Garamond"/>
          <w:color w:val="000000" w:themeColor="text1"/>
        </w:rPr>
        <w:t>Southern California Desert and Southern Nevada Solar, respectively</w:t>
      </w:r>
      <w:r w:rsidRPr="099CA948">
        <w:rPr>
          <w:rFonts w:eastAsia="Garamond" w:cs="Garamond"/>
          <w:color w:val="000000" w:themeColor="text1"/>
        </w:rPr>
        <w:t xml:space="preserve">. Priority is placed on allocating FD MW to Southern Nevada </w:t>
      </w:r>
      <w:r w:rsidR="1AC3054B" w:rsidRPr="099CA948">
        <w:rPr>
          <w:rFonts w:eastAsia="Garamond" w:cs="Garamond"/>
          <w:color w:val="000000" w:themeColor="text1"/>
        </w:rPr>
        <w:t>S</w:t>
      </w:r>
      <w:r w:rsidRPr="099CA948">
        <w:rPr>
          <w:rFonts w:eastAsia="Garamond" w:cs="Garamond"/>
          <w:color w:val="000000" w:themeColor="text1"/>
        </w:rPr>
        <w:t xml:space="preserve">olar at substations in the GLW-VEA </w:t>
      </w:r>
      <w:r w:rsidR="5D858D6D" w:rsidRPr="099CA948">
        <w:rPr>
          <w:rFonts w:eastAsia="Garamond" w:cs="Garamond"/>
          <w:color w:val="000000" w:themeColor="text1"/>
        </w:rPr>
        <w:t xml:space="preserve">renewable </w:t>
      </w:r>
      <w:r w:rsidR="567EEECF" w:rsidRPr="099CA948">
        <w:rPr>
          <w:rFonts w:eastAsia="Garamond" w:cs="Garamond"/>
          <w:color w:val="000000" w:themeColor="text1"/>
        </w:rPr>
        <w:t xml:space="preserve">transmission zone </w:t>
      </w:r>
      <w:r w:rsidRPr="099CA948">
        <w:rPr>
          <w:rFonts w:eastAsia="Garamond" w:cs="Garamond"/>
          <w:color w:val="000000" w:themeColor="text1"/>
        </w:rPr>
        <w:t xml:space="preserve">due to their proximity to the selected resources. </w:t>
      </w:r>
      <w:r w:rsidR="51DAF931" w:rsidRPr="0C79D6A3">
        <w:rPr>
          <w:rFonts w:eastAsia="Garamond" w:cs="Garamond"/>
          <w:color w:val="000000" w:themeColor="text1"/>
        </w:rPr>
        <w:t>Once</w:t>
      </w:r>
      <w:r w:rsidRPr="099CA948">
        <w:rPr>
          <w:rFonts w:eastAsia="Garamond" w:cs="Garamond"/>
          <w:color w:val="000000" w:themeColor="text1"/>
        </w:rPr>
        <w:t xml:space="preserve"> the GLW-VEA transmission limit</w:t>
      </w:r>
      <w:r w:rsidR="6A63E089" w:rsidRPr="0C79D6A3">
        <w:rPr>
          <w:rFonts w:eastAsia="Garamond" w:cs="Garamond"/>
          <w:color w:val="000000" w:themeColor="text1"/>
        </w:rPr>
        <w:t xml:space="preserve"> is reached</w:t>
      </w:r>
      <w:r w:rsidRPr="099CA948">
        <w:rPr>
          <w:rFonts w:eastAsia="Garamond" w:cs="Garamond"/>
          <w:color w:val="000000" w:themeColor="text1"/>
        </w:rPr>
        <w:t xml:space="preserve">, resources are then </w:t>
      </w:r>
      <w:r w:rsidR="58C31E5B" w:rsidRPr="099CA948">
        <w:rPr>
          <w:rFonts w:eastAsia="Garamond" w:cs="Garamond"/>
          <w:color w:val="000000" w:themeColor="text1"/>
        </w:rPr>
        <w:t>re</w:t>
      </w:r>
      <w:r w:rsidR="098F74CC" w:rsidRPr="099CA948">
        <w:rPr>
          <w:rFonts w:eastAsia="Garamond" w:cs="Garamond"/>
          <w:color w:val="000000" w:themeColor="text1"/>
        </w:rPr>
        <w:t xml:space="preserve">allocated </w:t>
      </w:r>
      <w:r w:rsidRPr="099CA948">
        <w:rPr>
          <w:rFonts w:eastAsia="Garamond" w:cs="Garamond"/>
          <w:color w:val="000000" w:themeColor="text1"/>
        </w:rPr>
        <w:t>to</w:t>
      </w:r>
      <w:r w:rsidR="00CF5728" w:rsidRPr="099CA948">
        <w:rPr>
          <w:rFonts w:eastAsia="Garamond" w:cs="Garamond"/>
          <w:color w:val="000000" w:themeColor="text1"/>
        </w:rPr>
        <w:t xml:space="preserve"> </w:t>
      </w:r>
      <w:r w:rsidR="575C59D2" w:rsidRPr="099CA948">
        <w:rPr>
          <w:rFonts w:eastAsia="Garamond" w:cs="Garamond"/>
          <w:color w:val="000000" w:themeColor="text1"/>
        </w:rPr>
        <w:t>Southern California Desert and Southern Nevada Solar and specifically mapped to the Mohave 500 kV substation</w:t>
      </w:r>
      <w:r w:rsidR="4A190CCC" w:rsidRPr="099CA948">
        <w:rPr>
          <w:rFonts w:eastAsia="Garamond" w:cs="Garamond"/>
          <w:color w:val="000000" w:themeColor="text1"/>
        </w:rPr>
        <w:t xml:space="preserve"> to avoid utilizing capability of the inner subzones within the Southern California Desert and Southern Nevada outermost renewable transmission zone</w:t>
      </w:r>
      <w:r w:rsidR="575C59D2" w:rsidRPr="099CA948">
        <w:rPr>
          <w:rFonts w:eastAsia="Garamond" w:cs="Garamond"/>
          <w:color w:val="000000" w:themeColor="text1"/>
        </w:rPr>
        <w:t>.</w:t>
      </w:r>
    </w:p>
    <w:p w14:paraId="4D5F5865" w14:textId="42CFF10F" w:rsidR="006C572B" w:rsidRPr="00BD2C6D" w:rsidRDefault="50F1E4BE" w:rsidP="6D737CC7">
      <w:pPr>
        <w:spacing w:after="160" w:line="259" w:lineRule="auto"/>
        <w:ind w:left="720"/>
        <w:rPr>
          <w:rFonts w:eastAsia="Garamond" w:cs="Garamond"/>
          <w:color w:val="000000" w:themeColor="text1"/>
        </w:rPr>
      </w:pPr>
      <w:r w:rsidRPr="6D737CC7">
        <w:rPr>
          <w:rFonts w:eastAsia="Garamond" w:cs="Garamond"/>
          <w:color w:val="000000" w:themeColor="text1"/>
        </w:rPr>
        <w:t xml:space="preserve">Such manual reallocations of solar resources can improve compliance with busbar mapping criteria without materially impacting the expected cost, reliability or emissions of a portfolio. This is supported by the solar cost sensitivity modeling staff performed for </w:t>
      </w:r>
      <w:r w:rsidR="7D86363F" w:rsidRPr="6A282112">
        <w:rPr>
          <w:rFonts w:eastAsia="Garamond" w:cs="Garamond"/>
          <w:color w:val="000000" w:themeColor="text1"/>
        </w:rPr>
        <w:t>the</w:t>
      </w:r>
      <w:r w:rsidR="7D86363F" w:rsidRPr="6D737CC7">
        <w:rPr>
          <w:rFonts w:eastAsia="Garamond" w:cs="Garamond"/>
          <w:color w:val="000000" w:themeColor="text1"/>
        </w:rPr>
        <w:t xml:space="preserve"> </w:t>
      </w:r>
      <w:r w:rsidR="00B111AE">
        <w:rPr>
          <w:rFonts w:eastAsia="Garamond" w:cs="Garamond"/>
          <w:color w:val="000000" w:themeColor="text1"/>
        </w:rPr>
        <w:t>2020-2021</w:t>
      </w:r>
      <w:r w:rsidR="7D86363F" w:rsidRPr="6D737CC7">
        <w:rPr>
          <w:rFonts w:eastAsia="Garamond" w:cs="Garamond"/>
          <w:color w:val="000000" w:themeColor="text1"/>
        </w:rPr>
        <w:t xml:space="preserve"> TPP</w:t>
      </w:r>
      <w:r w:rsidRPr="6D737CC7">
        <w:rPr>
          <w:rFonts w:eastAsia="Garamond" w:cs="Garamond"/>
          <w:color w:val="000000" w:themeColor="text1"/>
        </w:rPr>
        <w:t xml:space="preserve"> </w:t>
      </w:r>
      <w:r w:rsidR="64580A3C" w:rsidRPr="6A282112">
        <w:rPr>
          <w:rFonts w:eastAsia="Garamond" w:cs="Garamond"/>
          <w:color w:val="000000" w:themeColor="text1"/>
        </w:rPr>
        <w:t>R</w:t>
      </w:r>
      <w:r w:rsidRPr="6A282112">
        <w:rPr>
          <w:rFonts w:eastAsia="Garamond" w:cs="Garamond"/>
          <w:color w:val="000000" w:themeColor="text1"/>
        </w:rPr>
        <w:t>eport</w:t>
      </w:r>
      <w:r w:rsidRPr="6D737CC7">
        <w:rPr>
          <w:rFonts w:eastAsia="Garamond" w:cs="Garamond"/>
          <w:color w:val="000000" w:themeColor="text1"/>
        </w:rPr>
        <w:t xml:space="preserve"> (see Appendix </w:t>
      </w:r>
      <w:r w:rsidR="00554815">
        <w:rPr>
          <w:rFonts w:eastAsia="Garamond" w:cs="Garamond"/>
          <w:color w:val="000000" w:themeColor="text1"/>
        </w:rPr>
        <w:fldChar w:fldCharType="begin"/>
      </w:r>
      <w:r w:rsidR="00554815">
        <w:rPr>
          <w:rFonts w:eastAsia="Garamond" w:cs="Garamond"/>
          <w:color w:val="000000" w:themeColor="text1"/>
        </w:rPr>
        <w:instrText xml:space="preserve"> REF _Ref32585759 \r \h </w:instrText>
      </w:r>
      <w:r w:rsidR="00554815">
        <w:rPr>
          <w:rFonts w:eastAsia="Garamond" w:cs="Garamond"/>
          <w:color w:val="000000" w:themeColor="text1"/>
        </w:rPr>
      </w:r>
      <w:r w:rsidR="00554815">
        <w:rPr>
          <w:rFonts w:eastAsia="Garamond" w:cs="Garamond"/>
          <w:color w:val="000000" w:themeColor="text1"/>
        </w:rPr>
        <w:fldChar w:fldCharType="separate"/>
      </w:r>
      <w:r w:rsidR="003B7A14">
        <w:rPr>
          <w:rFonts w:eastAsia="Garamond" w:cs="Garamond"/>
          <w:color w:val="000000" w:themeColor="text1"/>
        </w:rPr>
        <w:t>I</w:t>
      </w:r>
      <w:r w:rsidR="00554815">
        <w:rPr>
          <w:rFonts w:eastAsia="Garamond" w:cs="Garamond"/>
          <w:color w:val="000000" w:themeColor="text1"/>
        </w:rPr>
        <w:fldChar w:fldCharType="end"/>
      </w:r>
      <w:r w:rsidRPr="5CA33C60">
        <w:rPr>
          <w:rFonts w:eastAsia="Garamond" w:cs="Garamond"/>
          <w:color w:val="000000" w:themeColor="text1"/>
        </w:rPr>
        <w:t>).</w:t>
      </w:r>
    </w:p>
    <w:p w14:paraId="54950E11" w14:textId="2CC38735" w:rsidR="006C572B" w:rsidRPr="00BD2C6D" w:rsidRDefault="2CF984F2" w:rsidP="001B6F30">
      <w:pPr>
        <w:pStyle w:val="ListParagraph"/>
        <w:numPr>
          <w:ilvl w:val="0"/>
          <w:numId w:val="166"/>
        </w:numPr>
        <w:spacing w:after="160" w:line="259" w:lineRule="auto"/>
        <w:rPr>
          <w:rFonts w:asciiTheme="minorHAnsi" w:eastAsiaTheme="minorEastAsia" w:hAnsiTheme="minorHAnsi" w:cstheme="minorBidi"/>
          <w:color w:val="000000" w:themeColor="text1"/>
        </w:rPr>
      </w:pPr>
      <w:r w:rsidRPr="101732D2">
        <w:rPr>
          <w:rFonts w:eastAsia="Garamond" w:cs="Garamond"/>
          <w:color w:val="000000" w:themeColor="text1"/>
        </w:rPr>
        <w:t xml:space="preserve">Southern PG&amp;E </w:t>
      </w:r>
      <w:r w:rsidR="4F411EFE" w:rsidRPr="101732D2">
        <w:rPr>
          <w:rFonts w:eastAsia="Garamond" w:cs="Garamond"/>
          <w:color w:val="000000" w:themeColor="text1"/>
        </w:rPr>
        <w:t xml:space="preserve">renewable </w:t>
      </w:r>
      <w:r w:rsidRPr="101732D2">
        <w:rPr>
          <w:rFonts w:eastAsia="Garamond" w:cs="Garamond"/>
          <w:color w:val="000000" w:themeColor="text1"/>
        </w:rPr>
        <w:t>transmission zone: the RESOLVE model run calls for new transmission build in the Southern PG&amp;E transmission</w:t>
      </w:r>
      <w:r w:rsidR="71D5F520" w:rsidRPr="101732D2">
        <w:rPr>
          <w:rFonts w:eastAsia="Garamond" w:cs="Garamond"/>
          <w:color w:val="000000" w:themeColor="text1"/>
        </w:rPr>
        <w:t xml:space="preserve"> zone. CAISO staff’s guidance is</w:t>
      </w:r>
      <w:r w:rsidRPr="101732D2">
        <w:rPr>
          <w:rFonts w:eastAsia="Garamond" w:cs="Garamond"/>
          <w:color w:val="000000" w:themeColor="text1"/>
        </w:rPr>
        <w:t xml:space="preserve"> that </w:t>
      </w:r>
      <w:r w:rsidR="11487F1C" w:rsidRPr="101732D2">
        <w:rPr>
          <w:rFonts w:eastAsia="Garamond" w:cs="Garamond"/>
          <w:color w:val="000000" w:themeColor="text1"/>
        </w:rPr>
        <w:t xml:space="preserve">this </w:t>
      </w:r>
      <w:r w:rsidRPr="101732D2">
        <w:rPr>
          <w:rFonts w:eastAsia="Garamond" w:cs="Garamond"/>
          <w:color w:val="000000" w:themeColor="text1"/>
        </w:rPr>
        <w:t xml:space="preserve">corresponds to </w:t>
      </w:r>
      <w:r w:rsidR="0D2A2545" w:rsidRPr="101732D2">
        <w:rPr>
          <w:rFonts w:eastAsia="Garamond" w:cs="Garamond"/>
          <w:color w:val="000000" w:themeColor="text1"/>
        </w:rPr>
        <w:t>a transmission project</w:t>
      </w:r>
      <w:r w:rsidR="54104D63" w:rsidRPr="101732D2">
        <w:rPr>
          <w:rFonts w:eastAsia="Garamond" w:cs="Garamond"/>
          <w:color w:val="000000" w:themeColor="text1"/>
        </w:rPr>
        <w:t xml:space="preserve"> </w:t>
      </w:r>
      <w:r w:rsidRPr="101732D2">
        <w:rPr>
          <w:rFonts w:eastAsia="Garamond" w:cs="Garamond"/>
          <w:color w:val="000000" w:themeColor="text1"/>
        </w:rPr>
        <w:t xml:space="preserve">that provides a 1,000 MW expansion for both the </w:t>
      </w:r>
      <w:proofErr w:type="spellStart"/>
      <w:r w:rsidRPr="101732D2">
        <w:rPr>
          <w:rFonts w:eastAsia="Garamond" w:cs="Garamond"/>
          <w:color w:val="000000" w:themeColor="text1"/>
        </w:rPr>
        <w:t>Westlands</w:t>
      </w:r>
      <w:proofErr w:type="spellEnd"/>
      <w:r w:rsidRPr="101732D2">
        <w:rPr>
          <w:rFonts w:eastAsia="Garamond" w:cs="Garamond"/>
          <w:color w:val="000000" w:themeColor="text1"/>
        </w:rPr>
        <w:t xml:space="preserve"> inner</w:t>
      </w:r>
      <w:r w:rsidR="4CFB4609" w:rsidRPr="101732D2">
        <w:rPr>
          <w:rFonts w:eastAsia="Garamond" w:cs="Garamond"/>
          <w:color w:val="000000" w:themeColor="text1"/>
        </w:rPr>
        <w:t xml:space="preserve"> renewable transmission</w:t>
      </w:r>
      <w:r w:rsidRPr="101732D2">
        <w:rPr>
          <w:rFonts w:eastAsia="Garamond" w:cs="Garamond"/>
          <w:color w:val="000000" w:themeColor="text1"/>
        </w:rPr>
        <w:t xml:space="preserve"> zone and Southern PG&amp;E </w:t>
      </w:r>
      <w:r w:rsidR="78E43C97" w:rsidRPr="101732D2">
        <w:rPr>
          <w:rFonts w:eastAsia="Garamond" w:cs="Garamond"/>
          <w:color w:val="000000" w:themeColor="text1"/>
        </w:rPr>
        <w:t xml:space="preserve">outer renewable transmission </w:t>
      </w:r>
      <w:r w:rsidRPr="101732D2">
        <w:rPr>
          <w:rFonts w:eastAsia="Garamond" w:cs="Garamond"/>
          <w:color w:val="000000" w:themeColor="text1"/>
        </w:rPr>
        <w:t xml:space="preserve">zone. However, the initial allocations and </w:t>
      </w:r>
      <w:r w:rsidR="0B11CBB0" w:rsidRPr="101732D2">
        <w:rPr>
          <w:rFonts w:eastAsia="Garamond" w:cs="Garamond"/>
          <w:color w:val="000000" w:themeColor="text1"/>
        </w:rPr>
        <w:t xml:space="preserve">subsequent </w:t>
      </w:r>
      <w:r w:rsidRPr="101732D2">
        <w:rPr>
          <w:rFonts w:eastAsia="Garamond" w:cs="Garamond"/>
          <w:color w:val="000000" w:themeColor="text1"/>
        </w:rPr>
        <w:t xml:space="preserve">reallocations </w:t>
      </w:r>
      <w:r w:rsidR="13BA5B29" w:rsidRPr="101732D2">
        <w:rPr>
          <w:rFonts w:eastAsia="Garamond" w:cs="Garamond"/>
          <w:color w:val="000000" w:themeColor="text1"/>
        </w:rPr>
        <w:t xml:space="preserve">described </w:t>
      </w:r>
      <w:r w:rsidR="13BA5B29" w:rsidRPr="101732D2">
        <w:rPr>
          <w:rFonts w:eastAsia="Garamond" w:cs="Garamond"/>
          <w:color w:val="000000" w:themeColor="text1"/>
        </w:rPr>
        <w:lastRenderedPageBreak/>
        <w:t xml:space="preserve">above </w:t>
      </w:r>
      <w:r w:rsidRPr="101732D2">
        <w:rPr>
          <w:rFonts w:eastAsia="Garamond" w:cs="Garamond"/>
          <w:color w:val="000000" w:themeColor="text1"/>
        </w:rPr>
        <w:t xml:space="preserve">are still found to </w:t>
      </w:r>
      <w:r w:rsidR="7A4C8B3D" w:rsidRPr="101732D2">
        <w:rPr>
          <w:rFonts w:eastAsia="Garamond" w:cs="Garamond"/>
          <w:color w:val="000000" w:themeColor="text1"/>
        </w:rPr>
        <w:t xml:space="preserve">result in </w:t>
      </w:r>
      <w:r w:rsidRPr="101732D2">
        <w:rPr>
          <w:rFonts w:eastAsia="Garamond" w:cs="Garamond"/>
          <w:color w:val="000000" w:themeColor="text1"/>
        </w:rPr>
        <w:t>breach</w:t>
      </w:r>
      <w:r w:rsidR="48A2C526" w:rsidRPr="101732D2">
        <w:rPr>
          <w:rFonts w:eastAsia="Garamond" w:cs="Garamond"/>
          <w:color w:val="000000" w:themeColor="text1"/>
        </w:rPr>
        <w:t>es of</w:t>
      </w:r>
      <w:r w:rsidRPr="101732D2">
        <w:rPr>
          <w:rFonts w:eastAsia="Garamond" w:cs="Garamond"/>
          <w:color w:val="000000" w:themeColor="text1"/>
        </w:rPr>
        <w:t xml:space="preserve"> the outer zone limit</w:t>
      </w:r>
      <w:r w:rsidR="7A998755" w:rsidRPr="101732D2">
        <w:rPr>
          <w:rFonts w:eastAsia="Garamond" w:cs="Garamond"/>
          <w:color w:val="000000" w:themeColor="text1"/>
        </w:rPr>
        <w:t xml:space="preserve">. </w:t>
      </w:r>
      <w:r w:rsidR="3DC25DA9" w:rsidRPr="101732D2">
        <w:rPr>
          <w:rFonts w:eastAsia="Garamond" w:cs="Garamond"/>
          <w:color w:val="000000" w:themeColor="text1"/>
        </w:rPr>
        <w:t>A</w:t>
      </w:r>
      <w:r w:rsidRPr="101732D2">
        <w:rPr>
          <w:rFonts w:eastAsia="Garamond" w:cs="Garamond"/>
          <w:color w:val="000000" w:themeColor="text1"/>
        </w:rPr>
        <w:t>ccordingly</w:t>
      </w:r>
      <w:r w:rsidR="0CFF3A68" w:rsidRPr="101732D2">
        <w:rPr>
          <w:rFonts w:eastAsia="Garamond" w:cs="Garamond"/>
          <w:color w:val="000000" w:themeColor="text1"/>
        </w:rPr>
        <w:t>,</w:t>
      </w:r>
      <w:r w:rsidR="1A3514AF" w:rsidRPr="101732D2">
        <w:rPr>
          <w:rFonts w:eastAsia="Garamond" w:cs="Garamond"/>
          <w:color w:val="000000" w:themeColor="text1"/>
        </w:rPr>
        <w:t xml:space="preserve"> staff </w:t>
      </w:r>
      <w:r w:rsidR="1ACD448E" w:rsidRPr="101732D2">
        <w:rPr>
          <w:rFonts w:eastAsia="Garamond" w:cs="Garamond"/>
          <w:color w:val="000000" w:themeColor="text1"/>
        </w:rPr>
        <w:t xml:space="preserve">recommended </w:t>
      </w:r>
      <w:r w:rsidR="1A3514AF" w:rsidRPr="101732D2">
        <w:rPr>
          <w:rFonts w:eastAsia="Garamond" w:cs="Garamond"/>
          <w:color w:val="000000" w:themeColor="text1"/>
        </w:rPr>
        <w:t>the following change</w:t>
      </w:r>
      <w:r w:rsidRPr="101732D2">
        <w:rPr>
          <w:rFonts w:eastAsia="Garamond" w:cs="Garamond"/>
          <w:color w:val="000000" w:themeColor="text1"/>
        </w:rPr>
        <w:t>:</w:t>
      </w:r>
    </w:p>
    <w:p w14:paraId="30B67A9E" w14:textId="2DC1632E" w:rsidR="006C572B" w:rsidRPr="00BD2C6D" w:rsidRDefault="50F1E4BE" w:rsidP="099CA948">
      <w:pPr>
        <w:pStyle w:val="ListParagraph"/>
        <w:numPr>
          <w:ilvl w:val="1"/>
          <w:numId w:val="91"/>
        </w:numPr>
        <w:spacing w:after="160" w:line="259" w:lineRule="auto"/>
        <w:rPr>
          <w:rFonts w:asciiTheme="minorHAnsi" w:eastAsiaTheme="minorEastAsia" w:hAnsiTheme="minorHAnsi" w:cstheme="minorBidi"/>
          <w:color w:val="000000" w:themeColor="text1"/>
        </w:rPr>
      </w:pPr>
      <w:proofErr w:type="spellStart"/>
      <w:r w:rsidRPr="099CA948">
        <w:rPr>
          <w:rFonts w:eastAsia="Garamond" w:cs="Garamond"/>
          <w:color w:val="000000" w:themeColor="text1"/>
        </w:rPr>
        <w:t>Westlands</w:t>
      </w:r>
      <w:proofErr w:type="spellEnd"/>
      <w:r w:rsidRPr="099CA948">
        <w:rPr>
          <w:rFonts w:eastAsia="Garamond" w:cs="Garamond"/>
          <w:color w:val="000000" w:themeColor="text1"/>
        </w:rPr>
        <w:t xml:space="preserve"> Solar: </w:t>
      </w:r>
      <w:r w:rsidR="2A7FC24C" w:rsidRPr="099CA948">
        <w:rPr>
          <w:rFonts w:eastAsia="Garamond" w:cs="Garamond"/>
          <w:color w:val="000000" w:themeColor="text1"/>
        </w:rPr>
        <w:t>re</w:t>
      </w:r>
      <w:r w:rsidRPr="099CA948">
        <w:rPr>
          <w:rFonts w:eastAsia="Garamond" w:cs="Garamond"/>
          <w:color w:val="000000" w:themeColor="text1"/>
        </w:rPr>
        <w:t xml:space="preserve">map </w:t>
      </w:r>
      <w:r w:rsidR="0D1EA312" w:rsidRPr="099CA948">
        <w:rPr>
          <w:rFonts w:eastAsia="Garamond" w:cs="Garamond"/>
          <w:color w:val="000000" w:themeColor="text1"/>
        </w:rPr>
        <w:t xml:space="preserve">409 </w:t>
      </w:r>
      <w:r w:rsidRPr="099CA948">
        <w:rPr>
          <w:rFonts w:eastAsia="Garamond" w:cs="Garamond"/>
          <w:color w:val="000000" w:themeColor="text1"/>
        </w:rPr>
        <w:t xml:space="preserve">MW FD of this resource to the Gates-Diablo 500 kV system based on CAISO staff’s guidance that this system appears geographically in the Southern PG&amp;E </w:t>
      </w:r>
      <w:r w:rsidR="016FE52D" w:rsidRPr="099CA948">
        <w:rPr>
          <w:rFonts w:eastAsia="Garamond" w:cs="Garamond"/>
          <w:color w:val="000000" w:themeColor="text1"/>
        </w:rPr>
        <w:t xml:space="preserve">outer </w:t>
      </w:r>
      <w:r w:rsidR="54A10CBE" w:rsidRPr="099CA948">
        <w:rPr>
          <w:rFonts w:eastAsia="Garamond" w:cs="Garamond"/>
          <w:color w:val="000000" w:themeColor="text1"/>
        </w:rPr>
        <w:t xml:space="preserve">renewable </w:t>
      </w:r>
      <w:r w:rsidRPr="099CA948">
        <w:rPr>
          <w:rFonts w:eastAsia="Garamond" w:cs="Garamond"/>
          <w:color w:val="000000" w:themeColor="text1"/>
        </w:rPr>
        <w:t xml:space="preserve">transmission zone, but </w:t>
      </w:r>
      <w:r w:rsidR="76221634" w:rsidRPr="099CA948">
        <w:rPr>
          <w:rFonts w:eastAsia="Garamond" w:cs="Garamond"/>
          <w:color w:val="000000" w:themeColor="text1"/>
        </w:rPr>
        <w:t>it is</w:t>
      </w:r>
      <w:r w:rsidRPr="099CA948">
        <w:rPr>
          <w:rFonts w:eastAsia="Garamond" w:cs="Garamond"/>
          <w:color w:val="000000" w:themeColor="text1"/>
        </w:rPr>
        <w:t xml:space="preserve"> electrically </w:t>
      </w:r>
      <w:r w:rsidR="00C7499A" w:rsidRPr="099CA948">
        <w:rPr>
          <w:rFonts w:eastAsia="Garamond" w:cs="Garamond"/>
          <w:color w:val="000000" w:themeColor="text1"/>
        </w:rPr>
        <w:t>not in any</w:t>
      </w:r>
      <w:r w:rsidRPr="099CA948">
        <w:rPr>
          <w:rFonts w:eastAsia="Garamond" w:cs="Garamond"/>
          <w:color w:val="000000" w:themeColor="text1"/>
        </w:rPr>
        <w:t xml:space="preserve"> zone.</w:t>
      </w:r>
    </w:p>
    <w:p w14:paraId="299EAA8E" w14:textId="09531448" w:rsidR="006C572B" w:rsidRPr="001B6F30" w:rsidRDefault="50F1E4BE" w:rsidP="001B6F30">
      <w:pPr>
        <w:pStyle w:val="ListParagraph"/>
        <w:numPr>
          <w:ilvl w:val="0"/>
          <w:numId w:val="167"/>
        </w:numPr>
        <w:spacing w:after="160" w:line="259" w:lineRule="auto"/>
        <w:rPr>
          <w:rFonts w:asciiTheme="minorHAnsi" w:eastAsiaTheme="minorEastAsia" w:hAnsiTheme="minorHAnsi" w:cstheme="minorBidi"/>
          <w:color w:val="000000" w:themeColor="text1"/>
          <w:szCs w:val="24"/>
        </w:rPr>
      </w:pPr>
      <w:r w:rsidRPr="001B6F30">
        <w:rPr>
          <w:rFonts w:eastAsia="Garamond" w:cs="Garamond"/>
          <w:color w:val="000000" w:themeColor="text1"/>
        </w:rPr>
        <w:t>Tehachapi</w:t>
      </w:r>
      <w:r w:rsidR="6CBF87F4" w:rsidRPr="001B6F30">
        <w:rPr>
          <w:rFonts w:eastAsia="Garamond" w:cs="Garamond"/>
          <w:color w:val="000000" w:themeColor="text1"/>
        </w:rPr>
        <w:t xml:space="preserve"> </w:t>
      </w:r>
      <w:r w:rsidRPr="001B6F30">
        <w:rPr>
          <w:rFonts w:eastAsia="Garamond" w:cs="Garamond"/>
          <w:color w:val="000000" w:themeColor="text1"/>
        </w:rPr>
        <w:t>Solar: remap 947 MW from the Pear Blossom substation to the Vincent 230kV substation in the same zone based on CAISO’s staff guidance that the Pear</w:t>
      </w:r>
      <w:r w:rsidR="005F203D" w:rsidRPr="001B6F30">
        <w:rPr>
          <w:rFonts w:eastAsia="Garamond" w:cs="Garamond"/>
          <w:color w:val="000000" w:themeColor="text1"/>
        </w:rPr>
        <w:t xml:space="preserve"> </w:t>
      </w:r>
      <w:r w:rsidRPr="001B6F30">
        <w:rPr>
          <w:rFonts w:eastAsia="Garamond" w:cs="Garamond"/>
          <w:color w:val="000000" w:themeColor="text1"/>
        </w:rPr>
        <w:t xml:space="preserve">Blossom substation has </w:t>
      </w:r>
      <w:r w:rsidR="6E2FD739" w:rsidRPr="001B6F30">
        <w:rPr>
          <w:rFonts w:eastAsia="Garamond" w:cs="Garamond"/>
          <w:color w:val="000000" w:themeColor="text1"/>
        </w:rPr>
        <w:t xml:space="preserve">no further </w:t>
      </w:r>
      <w:r w:rsidRPr="001B6F30">
        <w:rPr>
          <w:rFonts w:eastAsia="Garamond" w:cs="Garamond"/>
          <w:color w:val="000000" w:themeColor="text1"/>
        </w:rPr>
        <w:t>transmission capability.</w:t>
      </w:r>
      <w:r w:rsidR="794FDA17" w:rsidRPr="001B6F30">
        <w:rPr>
          <w:rFonts w:eastAsia="Garamond" w:cs="Garamond"/>
          <w:color w:val="000000" w:themeColor="text1"/>
        </w:rPr>
        <w:t xml:space="preserve"> Remap resources from the Whirlwind and Antelope 500 kV substations to the Whirlwind and Antelope 230 kV substation respectively</w:t>
      </w:r>
      <w:r w:rsidR="002B5A17" w:rsidRPr="001B6F30">
        <w:rPr>
          <w:rFonts w:eastAsia="Garamond" w:cs="Garamond"/>
          <w:color w:val="000000" w:themeColor="text1"/>
        </w:rPr>
        <w:t xml:space="preserve"> to more closely align with commercial interests and to avoid higher interconnection costs at 500 kV substations</w:t>
      </w:r>
      <w:r w:rsidR="794FDA17" w:rsidRPr="001B6F30">
        <w:rPr>
          <w:rFonts w:eastAsia="Garamond" w:cs="Garamond"/>
          <w:color w:val="000000" w:themeColor="text1"/>
        </w:rPr>
        <w:t>.</w:t>
      </w:r>
    </w:p>
    <w:p w14:paraId="69283025" w14:textId="576FD90E" w:rsidR="006C572B" w:rsidRPr="001B6F30" w:rsidRDefault="50F1E4BE" w:rsidP="001B6F30">
      <w:pPr>
        <w:pStyle w:val="ListParagraph"/>
        <w:numPr>
          <w:ilvl w:val="0"/>
          <w:numId w:val="167"/>
        </w:numPr>
        <w:spacing w:after="160" w:line="259" w:lineRule="auto"/>
        <w:rPr>
          <w:rFonts w:asciiTheme="minorHAnsi" w:eastAsiaTheme="minorEastAsia" w:hAnsiTheme="minorHAnsi" w:cstheme="minorBidi"/>
          <w:color w:val="000000" w:themeColor="text1"/>
        </w:rPr>
      </w:pPr>
      <w:r w:rsidRPr="001B6F30">
        <w:rPr>
          <w:rFonts w:eastAsia="Garamond" w:cs="Garamond"/>
          <w:color w:val="000000" w:themeColor="text1"/>
        </w:rPr>
        <w:t xml:space="preserve">Arizona Solar: remap 1,223 MW from the Hoodoo Wash substation to the Delaney and Hassayampa substations based on CAISO’s staff guidance that this would </w:t>
      </w:r>
      <w:r w:rsidR="15B623D6" w:rsidRPr="001B6F30">
        <w:rPr>
          <w:rFonts w:eastAsia="Garamond" w:cs="Garamond"/>
          <w:color w:val="000000" w:themeColor="text1"/>
        </w:rPr>
        <w:t>prevent</w:t>
      </w:r>
      <w:r w:rsidRPr="001B6F30">
        <w:rPr>
          <w:rFonts w:eastAsia="Garamond" w:cs="Garamond"/>
          <w:color w:val="000000" w:themeColor="text1"/>
        </w:rPr>
        <w:t xml:space="preserve"> increased curtailments at the Hoodoo Wash substation. 820 MW and 403 MW are mapped to the Delaney and Hassayampa substations based proportionally on the commercial interest at each substation.</w:t>
      </w:r>
    </w:p>
    <w:p w14:paraId="46B714FB" w14:textId="767A9F35" w:rsidR="06982A11" w:rsidRPr="001B6F30" w:rsidRDefault="06982A11" w:rsidP="001B6F30">
      <w:pPr>
        <w:pStyle w:val="ListParagraph"/>
        <w:numPr>
          <w:ilvl w:val="0"/>
          <w:numId w:val="167"/>
        </w:numPr>
        <w:spacing w:after="160" w:line="259" w:lineRule="auto"/>
        <w:rPr>
          <w:rFonts w:asciiTheme="minorHAnsi" w:eastAsiaTheme="minorEastAsia" w:hAnsiTheme="minorHAnsi" w:cstheme="minorBidi"/>
          <w:color w:val="000000" w:themeColor="text1"/>
        </w:rPr>
      </w:pPr>
      <w:r w:rsidRPr="001B6F30">
        <w:rPr>
          <w:rFonts w:eastAsia="Garamond" w:cs="Garamond"/>
          <w:color w:val="000000" w:themeColor="text1"/>
        </w:rPr>
        <w:t>New Mexico Wind: reallocate 1</w:t>
      </w:r>
      <w:r w:rsidR="29095258" w:rsidRPr="001B6F30">
        <w:rPr>
          <w:rFonts w:eastAsia="Garamond" w:cs="Garamond"/>
          <w:color w:val="000000" w:themeColor="text1"/>
        </w:rPr>
        <w:t>,</w:t>
      </w:r>
      <w:r w:rsidRPr="001B6F30">
        <w:rPr>
          <w:rFonts w:eastAsia="Garamond" w:cs="Garamond"/>
          <w:color w:val="000000" w:themeColor="text1"/>
        </w:rPr>
        <w:t>062 MW FD</w:t>
      </w:r>
      <w:r w:rsidR="61E80D0E" w:rsidRPr="001B6F30">
        <w:rPr>
          <w:rFonts w:eastAsia="Garamond" w:cs="Garamond"/>
          <w:color w:val="000000" w:themeColor="text1"/>
        </w:rPr>
        <w:t xml:space="preserve"> to 1</w:t>
      </w:r>
      <w:r w:rsidR="1F5EA1FD" w:rsidRPr="001B6F30">
        <w:rPr>
          <w:rFonts w:eastAsia="Garamond" w:cs="Garamond"/>
          <w:color w:val="000000" w:themeColor="text1"/>
        </w:rPr>
        <w:t>,</w:t>
      </w:r>
      <w:r w:rsidR="61E80D0E" w:rsidRPr="001B6F30">
        <w:rPr>
          <w:rFonts w:eastAsia="Garamond" w:cs="Garamond"/>
          <w:color w:val="000000" w:themeColor="text1"/>
        </w:rPr>
        <w:t>06</w:t>
      </w:r>
      <w:r w:rsidR="65D676FB" w:rsidRPr="001B6F30">
        <w:rPr>
          <w:rFonts w:eastAsia="Garamond" w:cs="Garamond"/>
          <w:color w:val="000000" w:themeColor="text1"/>
        </w:rPr>
        <w:t>2</w:t>
      </w:r>
      <w:r w:rsidR="61E80D0E" w:rsidRPr="001B6F30">
        <w:rPr>
          <w:rFonts w:eastAsia="Garamond" w:cs="Garamond"/>
          <w:color w:val="000000" w:themeColor="text1"/>
        </w:rPr>
        <w:t xml:space="preserve"> MW FD Wyoming </w:t>
      </w:r>
      <w:r w:rsidR="454B2AAF" w:rsidRPr="001B6F30">
        <w:rPr>
          <w:rFonts w:eastAsia="Garamond" w:cs="Garamond"/>
          <w:color w:val="000000" w:themeColor="text1"/>
        </w:rPr>
        <w:t>W</w:t>
      </w:r>
      <w:r w:rsidR="61E80D0E" w:rsidRPr="001B6F30">
        <w:rPr>
          <w:rFonts w:eastAsia="Garamond" w:cs="Garamond"/>
          <w:color w:val="000000" w:themeColor="text1"/>
        </w:rPr>
        <w:t>ind</w:t>
      </w:r>
      <w:r w:rsidR="4F8B35B9" w:rsidRPr="001B6F30">
        <w:rPr>
          <w:rFonts w:eastAsia="Garamond" w:cs="Garamond"/>
          <w:color w:val="000000" w:themeColor="text1"/>
        </w:rPr>
        <w:t xml:space="preserve"> and map to El Dorado 500 kV substation.</w:t>
      </w:r>
      <w:r w:rsidR="568471A5" w:rsidRPr="001B6F30">
        <w:rPr>
          <w:rFonts w:eastAsia="Garamond" w:cs="Garamond"/>
          <w:color w:val="000000" w:themeColor="text1"/>
        </w:rPr>
        <w:t xml:space="preserve"> </w:t>
      </w:r>
      <w:r w:rsidR="1D5948FD" w:rsidRPr="001B6F30">
        <w:rPr>
          <w:rFonts w:eastAsia="Garamond" w:cs="Garamond"/>
          <w:color w:val="000000" w:themeColor="text1"/>
        </w:rPr>
        <w:t>CPUC s</w:t>
      </w:r>
      <w:r w:rsidR="568471A5" w:rsidRPr="001B6F30">
        <w:rPr>
          <w:rFonts w:eastAsia="Garamond" w:cs="Garamond"/>
          <w:color w:val="000000" w:themeColor="text1"/>
        </w:rPr>
        <w:t xml:space="preserve">taff </w:t>
      </w:r>
      <w:r w:rsidR="46581E5E" w:rsidRPr="001B6F30">
        <w:rPr>
          <w:rFonts w:eastAsia="Garamond" w:cs="Garamond"/>
          <w:color w:val="000000" w:themeColor="text1"/>
        </w:rPr>
        <w:t xml:space="preserve">chose </w:t>
      </w:r>
      <w:r w:rsidR="568471A5" w:rsidRPr="001B6F30">
        <w:rPr>
          <w:rFonts w:eastAsia="Garamond" w:cs="Garamond"/>
          <w:color w:val="000000" w:themeColor="text1"/>
        </w:rPr>
        <w:t xml:space="preserve">to reallocate to the Wyoming Wind RESOLVE model resource for consistency with the 38-MMT and Offshore wind portfolios </w:t>
      </w:r>
      <w:r w:rsidR="6DA55AF4" w:rsidRPr="001B6F30">
        <w:rPr>
          <w:rFonts w:eastAsia="Garamond" w:cs="Garamond"/>
          <w:color w:val="000000" w:themeColor="text1"/>
        </w:rPr>
        <w:t xml:space="preserve">both </w:t>
      </w:r>
      <w:r w:rsidR="568471A5" w:rsidRPr="001B6F30">
        <w:rPr>
          <w:rFonts w:eastAsia="Garamond" w:cs="Garamond"/>
          <w:color w:val="000000" w:themeColor="text1"/>
        </w:rPr>
        <w:t xml:space="preserve">for which </w:t>
      </w:r>
      <w:r w:rsidR="4B2B1076" w:rsidRPr="001B6F30">
        <w:rPr>
          <w:rFonts w:eastAsia="Garamond" w:cs="Garamond"/>
          <w:color w:val="000000" w:themeColor="text1"/>
        </w:rPr>
        <w:t>RESOLVE select</w:t>
      </w:r>
      <w:r w:rsidR="68F5FD0D" w:rsidRPr="001B6F30">
        <w:rPr>
          <w:rFonts w:eastAsia="Garamond" w:cs="Garamond"/>
          <w:color w:val="000000" w:themeColor="text1"/>
        </w:rPr>
        <w:t>ed Wyoming Wind</w:t>
      </w:r>
      <w:r w:rsidR="4F8B35B9" w:rsidRPr="001B6F30">
        <w:rPr>
          <w:rFonts w:eastAsia="Garamond" w:cs="Garamond"/>
          <w:color w:val="000000" w:themeColor="text1"/>
        </w:rPr>
        <w:t>.</w:t>
      </w:r>
      <w:r w:rsidR="00732665">
        <w:rPr>
          <w:rStyle w:val="FootnoteReference"/>
          <w:rFonts w:eastAsia="Garamond" w:cs="Garamond"/>
          <w:color w:val="000000" w:themeColor="text1"/>
        </w:rPr>
        <w:footnoteReference w:id="18"/>
      </w:r>
      <w:r w:rsidR="7B3B84B9" w:rsidRPr="001B6F30">
        <w:rPr>
          <w:rFonts w:eastAsia="Garamond" w:cs="Garamond"/>
          <w:color w:val="000000" w:themeColor="text1"/>
        </w:rPr>
        <w:t xml:space="preserve"> </w:t>
      </w:r>
      <w:r w:rsidR="1F6F02CA" w:rsidRPr="001B6F30">
        <w:rPr>
          <w:rFonts w:eastAsia="Garamond" w:cs="Garamond"/>
          <w:color w:val="000000" w:themeColor="text1"/>
        </w:rPr>
        <w:t xml:space="preserve"> T</w:t>
      </w:r>
      <w:r w:rsidR="1F6F02CA">
        <w:t xml:space="preserve">he dashboard shows resources within the Southern California Desert and Southern Nevada outer renewable transmission zone exceeding the outer zone limit. Based on CAISO staff guidance and preliminary results from the CAISO’s </w:t>
      </w:r>
      <w:r w:rsidR="00B111AE">
        <w:t>2020-2021</w:t>
      </w:r>
      <w:r w:rsidR="1F6F02CA">
        <w:t xml:space="preserve"> TPP, the actual transmission limit of the outermost zone is likely higher than the limit used in the mapping process. </w:t>
      </w:r>
      <w:r w:rsidR="366CEB9A">
        <w:t>Per guidance from CAISO staff</w:t>
      </w:r>
      <w:r w:rsidR="1F6F02CA">
        <w:t>, approximately 6,</w:t>
      </w:r>
      <w:r w:rsidR="2A608BB6">
        <w:t>2</w:t>
      </w:r>
      <w:r w:rsidR="1F6F02CA">
        <w:t>8</w:t>
      </w:r>
      <w:r w:rsidR="41DF1286">
        <w:t>1</w:t>
      </w:r>
      <w:r w:rsidR="1F6F02CA">
        <w:t xml:space="preserve"> MW of new FD resources can be mapped to the Southern California Desert and Southern Nevada outermost transmission zone. However, </w:t>
      </w:r>
      <w:r w:rsidR="3700D39D">
        <w:t xml:space="preserve">CAISO </w:t>
      </w:r>
      <w:r w:rsidR="2D7E8757">
        <w:t xml:space="preserve">staff </w:t>
      </w:r>
      <w:r w:rsidR="3700D39D">
        <w:t xml:space="preserve">noted the </w:t>
      </w:r>
      <w:r w:rsidR="7FA0CFE5">
        <w:t>preliminary</w:t>
      </w:r>
      <w:r w:rsidR="3700D39D">
        <w:t xml:space="preserve"> </w:t>
      </w:r>
      <w:r w:rsidR="00B111AE">
        <w:t>2020-2021</w:t>
      </w:r>
      <w:r w:rsidR="3700D39D">
        <w:t xml:space="preserve"> TPP 30 MMT EO sensitivity portfolio</w:t>
      </w:r>
      <w:r w:rsidR="15EB336F">
        <w:t xml:space="preserve"> </w:t>
      </w:r>
      <w:r w:rsidR="4D4C6B63">
        <w:t>results</w:t>
      </w:r>
      <w:r w:rsidR="06ED8D14">
        <w:t xml:space="preserve"> </w:t>
      </w:r>
      <w:r w:rsidR="3700D39D">
        <w:t>had</w:t>
      </w:r>
      <w:r w:rsidR="19665E1B">
        <w:t xml:space="preserve"> a </w:t>
      </w:r>
      <w:r w:rsidR="43A3E737">
        <w:t>significant</w:t>
      </w:r>
      <w:r w:rsidR="19665E1B">
        <w:t xml:space="preserve"> </w:t>
      </w:r>
      <w:r w:rsidR="031E39B4">
        <w:t>amount</w:t>
      </w:r>
      <w:r w:rsidR="19665E1B">
        <w:t xml:space="preserve"> of resources mapped to El Dorado 500 kV and Mohave 500 kV substations</w:t>
      </w:r>
      <w:r w:rsidR="169E05F6">
        <w:t xml:space="preserve"> (2,498 MW)</w:t>
      </w:r>
      <w:r w:rsidR="19665E1B">
        <w:t xml:space="preserve">. </w:t>
      </w:r>
      <w:r w:rsidR="512CE912">
        <w:t xml:space="preserve">Mapping a similar </w:t>
      </w:r>
      <w:r w:rsidR="14290ECC">
        <w:t>number</w:t>
      </w:r>
      <w:r w:rsidR="512CE912">
        <w:t xml:space="preserve"> of resources but to different </w:t>
      </w:r>
      <w:r w:rsidR="01FDAFE4">
        <w:t xml:space="preserve">regions </w:t>
      </w:r>
      <w:r w:rsidR="512CE912">
        <w:t>risks</w:t>
      </w:r>
      <w:r w:rsidR="13A4DCAA">
        <w:t xml:space="preserve"> </w:t>
      </w:r>
      <w:r w:rsidR="324B2858">
        <w:t>triggering</w:t>
      </w:r>
      <w:r w:rsidR="00523746">
        <w:t xml:space="preserve"> </w:t>
      </w:r>
      <w:r w:rsidR="13B16AA4">
        <w:t xml:space="preserve">transmission constraints within the outer zone and </w:t>
      </w:r>
      <w:r w:rsidR="1BEA76C3">
        <w:t>increase</w:t>
      </w:r>
      <w:r w:rsidR="6150227C">
        <w:t>s</w:t>
      </w:r>
      <w:r w:rsidR="1BEA76C3">
        <w:t xml:space="preserve"> the likelihood of needing </w:t>
      </w:r>
      <w:r w:rsidR="321BD5E7">
        <w:t xml:space="preserve">a </w:t>
      </w:r>
      <w:r w:rsidR="13B16AA4" w:rsidRPr="001B6F30">
        <w:rPr>
          <w:rFonts w:eastAsia="Garamond" w:cs="Garamond"/>
          <w:color w:val="000000" w:themeColor="text1"/>
        </w:rPr>
        <w:t>$2.1</w:t>
      </w:r>
      <w:r w:rsidR="27ADAFD3" w:rsidRPr="001B6F30">
        <w:rPr>
          <w:rFonts w:eastAsia="Garamond" w:cs="Garamond"/>
          <w:color w:val="000000" w:themeColor="text1"/>
        </w:rPr>
        <w:t xml:space="preserve"> </w:t>
      </w:r>
      <w:proofErr w:type="gramStart"/>
      <w:r w:rsidR="13B16AA4" w:rsidRPr="001B6F30">
        <w:rPr>
          <w:rFonts w:eastAsia="Garamond" w:cs="Garamond"/>
          <w:color w:val="000000" w:themeColor="text1"/>
        </w:rPr>
        <w:t>billion  transmission</w:t>
      </w:r>
      <w:proofErr w:type="gramEnd"/>
      <w:r w:rsidR="13B16AA4" w:rsidRPr="001B6F30">
        <w:rPr>
          <w:rFonts w:eastAsia="Garamond" w:cs="Garamond"/>
          <w:color w:val="000000" w:themeColor="text1"/>
        </w:rPr>
        <w:t xml:space="preserve"> upgrade</w:t>
      </w:r>
      <w:r w:rsidR="0F63059A" w:rsidRPr="001B6F30">
        <w:rPr>
          <w:rFonts w:eastAsia="Garamond" w:cs="Garamond"/>
          <w:color w:val="000000" w:themeColor="text1"/>
        </w:rPr>
        <w:t>.</w:t>
      </w:r>
      <w:r w:rsidR="3D6E9A5F" w:rsidRPr="001B6F30">
        <w:rPr>
          <w:rFonts w:eastAsia="Garamond" w:cs="Garamond"/>
          <w:color w:val="000000" w:themeColor="text1"/>
        </w:rPr>
        <w:t xml:space="preserve"> </w:t>
      </w:r>
      <w:r w:rsidR="5155F368" w:rsidRPr="001B6F30">
        <w:rPr>
          <w:rFonts w:eastAsia="Garamond" w:cs="Garamond"/>
          <w:color w:val="000000" w:themeColor="text1"/>
        </w:rPr>
        <w:t>To minimize cost to ratepayers</w:t>
      </w:r>
      <w:r w:rsidR="3D6E9A5F" w:rsidRPr="001B6F30">
        <w:rPr>
          <w:rFonts w:eastAsia="Garamond" w:cs="Garamond"/>
          <w:color w:val="000000" w:themeColor="text1"/>
        </w:rPr>
        <w:t>, CPUC staff recommended reallocating</w:t>
      </w:r>
      <w:r w:rsidR="66235F14" w:rsidRPr="001B6F30">
        <w:rPr>
          <w:rFonts w:eastAsia="Garamond" w:cs="Garamond"/>
          <w:color w:val="000000" w:themeColor="text1"/>
        </w:rPr>
        <w:t xml:space="preserve"> New Mexico Wind to Wyoming Wind mapped</w:t>
      </w:r>
      <w:r w:rsidR="183F5CBF" w:rsidRPr="001B6F30">
        <w:rPr>
          <w:rFonts w:eastAsia="Garamond" w:cs="Garamond"/>
          <w:color w:val="000000" w:themeColor="text1"/>
        </w:rPr>
        <w:t xml:space="preserve"> to the El Dorado 500 kV substation. This reallocation more closely aligns the portfolio to the </w:t>
      </w:r>
      <w:r w:rsidR="00B111AE" w:rsidRPr="001B6F30">
        <w:rPr>
          <w:rFonts w:eastAsia="Garamond" w:cs="Garamond"/>
          <w:color w:val="000000" w:themeColor="text1"/>
        </w:rPr>
        <w:t>2020-2021</w:t>
      </w:r>
      <w:r w:rsidR="183F5CBF" w:rsidRPr="001B6F30">
        <w:rPr>
          <w:rFonts w:eastAsia="Garamond" w:cs="Garamond"/>
          <w:color w:val="000000" w:themeColor="text1"/>
        </w:rPr>
        <w:t xml:space="preserve"> TPP</w:t>
      </w:r>
      <w:r w:rsidR="5DA65660" w:rsidRPr="001B6F30">
        <w:rPr>
          <w:rFonts w:eastAsia="Garamond" w:cs="Garamond"/>
          <w:color w:val="000000" w:themeColor="text1"/>
        </w:rPr>
        <w:t xml:space="preserve"> results for the </w:t>
      </w:r>
      <w:r w:rsidR="5DA65660">
        <w:t>30 MMT EO sensitivity portfolio.</w:t>
      </w:r>
      <w:r w:rsidR="3B9E35E1">
        <w:t xml:space="preserve"> </w:t>
      </w:r>
      <w:r w:rsidR="7B3B84B9" w:rsidRPr="001B6F30">
        <w:rPr>
          <w:rFonts w:eastAsia="Garamond" w:cs="Garamond"/>
          <w:color w:val="000000" w:themeColor="text1"/>
        </w:rPr>
        <w:t xml:space="preserve">   </w:t>
      </w:r>
    </w:p>
    <w:p w14:paraId="52817C8C" w14:textId="5056AA4A" w:rsidR="006C572B" w:rsidRPr="001B6F30" w:rsidRDefault="50F1E4BE" w:rsidP="001B6F30">
      <w:pPr>
        <w:pStyle w:val="ListParagraph"/>
        <w:numPr>
          <w:ilvl w:val="0"/>
          <w:numId w:val="167"/>
        </w:numPr>
        <w:spacing w:after="160" w:line="259" w:lineRule="auto"/>
        <w:rPr>
          <w:rFonts w:asciiTheme="minorHAnsi" w:eastAsiaTheme="minorEastAsia" w:hAnsiTheme="minorHAnsi" w:cstheme="minorBidi"/>
          <w:color w:val="000000" w:themeColor="text1"/>
        </w:rPr>
      </w:pPr>
      <w:r w:rsidRPr="001B6F30">
        <w:rPr>
          <w:rFonts w:eastAsia="Garamond" w:cs="Garamond"/>
          <w:color w:val="000000" w:themeColor="text1"/>
        </w:rPr>
        <w:t>Pumped</w:t>
      </w:r>
      <w:r w:rsidR="6CFDAB05" w:rsidRPr="001B6F30">
        <w:rPr>
          <w:rFonts w:eastAsia="Garamond" w:cs="Garamond"/>
          <w:color w:val="000000" w:themeColor="text1"/>
        </w:rPr>
        <w:t xml:space="preserve"> Storage</w:t>
      </w:r>
      <w:r w:rsidRPr="001B6F30">
        <w:rPr>
          <w:rFonts w:eastAsia="Garamond" w:cs="Garamond"/>
          <w:color w:val="000000" w:themeColor="text1"/>
        </w:rPr>
        <w:t xml:space="preserve"> Hydro: 627 MW FD pumped </w:t>
      </w:r>
      <w:r w:rsidR="110E6788" w:rsidRPr="001B6F30">
        <w:rPr>
          <w:rFonts w:eastAsia="Garamond" w:cs="Garamond"/>
          <w:color w:val="000000" w:themeColor="text1"/>
        </w:rPr>
        <w:t xml:space="preserve">storage </w:t>
      </w:r>
      <w:r w:rsidR="003D7BF6" w:rsidRPr="001B6F30">
        <w:rPr>
          <w:rFonts w:eastAsia="Garamond" w:cs="Garamond"/>
          <w:color w:val="000000" w:themeColor="text1"/>
        </w:rPr>
        <w:t>h</w:t>
      </w:r>
      <w:r w:rsidRPr="001B6F30">
        <w:rPr>
          <w:rFonts w:eastAsia="Garamond" w:cs="Garamond"/>
          <w:color w:val="000000" w:themeColor="text1"/>
        </w:rPr>
        <w:t>ydro resource is mapped to</w:t>
      </w:r>
      <w:r w:rsidR="0180126D" w:rsidRPr="001B6F30">
        <w:rPr>
          <w:rFonts w:eastAsia="Garamond" w:cs="Garamond"/>
          <w:color w:val="000000" w:themeColor="text1"/>
        </w:rPr>
        <w:t xml:space="preserve"> the Lee Lake substation</w:t>
      </w:r>
      <w:r w:rsidR="13D5B1E1" w:rsidRPr="001B6F30">
        <w:rPr>
          <w:rFonts w:eastAsia="Garamond" w:cs="Garamond"/>
          <w:color w:val="000000" w:themeColor="text1"/>
        </w:rPr>
        <w:t xml:space="preserve">, where there is commercial </w:t>
      </w:r>
      <w:r w:rsidR="14CBFDF8" w:rsidRPr="001B6F30">
        <w:rPr>
          <w:rFonts w:eastAsia="Garamond" w:cs="Garamond"/>
          <w:color w:val="000000" w:themeColor="text1"/>
        </w:rPr>
        <w:t>interest.</w:t>
      </w:r>
      <w:r w:rsidRPr="001B6F30">
        <w:rPr>
          <w:rFonts w:eastAsia="Garamond" w:cs="Garamond"/>
          <w:color w:val="000000" w:themeColor="text1"/>
        </w:rPr>
        <w:t xml:space="preserve"> Pumped </w:t>
      </w:r>
      <w:r w:rsidR="4B55276A" w:rsidRPr="001B6F30">
        <w:rPr>
          <w:rFonts w:eastAsia="Garamond" w:cs="Garamond"/>
          <w:color w:val="000000" w:themeColor="text1"/>
        </w:rPr>
        <w:t>storage</w:t>
      </w:r>
      <w:r w:rsidRPr="001B6F30">
        <w:rPr>
          <w:rFonts w:eastAsia="Garamond" w:cs="Garamond"/>
          <w:color w:val="000000" w:themeColor="text1"/>
        </w:rPr>
        <w:t xml:space="preserve"> hydro was not initially </w:t>
      </w:r>
      <w:r w:rsidRPr="001B6F30">
        <w:rPr>
          <w:rFonts w:eastAsia="Garamond" w:cs="Garamond"/>
          <w:color w:val="000000" w:themeColor="text1"/>
        </w:rPr>
        <w:lastRenderedPageBreak/>
        <w:t>mapped in Round 1.</w:t>
      </w:r>
      <w:r w:rsidR="24A4CF1A" w:rsidRPr="001B6F30">
        <w:rPr>
          <w:rFonts w:eastAsia="Garamond" w:cs="Garamond"/>
          <w:color w:val="000000" w:themeColor="text1"/>
        </w:rPr>
        <w:t xml:space="preserve"> The Lee Lake </w:t>
      </w:r>
      <w:r w:rsidR="75F182BA" w:rsidRPr="001B6F30">
        <w:rPr>
          <w:rFonts w:eastAsia="Garamond" w:cs="Garamond"/>
          <w:color w:val="000000" w:themeColor="text1"/>
        </w:rPr>
        <w:t>substation</w:t>
      </w:r>
      <w:r w:rsidR="24A4CF1A" w:rsidRPr="001B6F30">
        <w:rPr>
          <w:rFonts w:eastAsia="Garamond" w:cs="Garamond"/>
          <w:color w:val="000000" w:themeColor="text1"/>
        </w:rPr>
        <w:t xml:space="preserve"> is not in any of the CAISO’s outer transmission zones.</w:t>
      </w:r>
    </w:p>
    <w:p w14:paraId="5A1BFD73" w14:textId="70769844" w:rsidR="2A0F93B2" w:rsidRPr="001B6F30" w:rsidRDefault="2A0F93B2" w:rsidP="001B6F30">
      <w:pPr>
        <w:spacing w:after="160" w:line="259" w:lineRule="auto"/>
        <w:rPr>
          <w:color w:val="000000" w:themeColor="text1"/>
        </w:rPr>
      </w:pPr>
      <w:r w:rsidRPr="001B6F30">
        <w:rPr>
          <w:rFonts w:eastAsia="Garamond" w:cs="Garamond"/>
          <w:color w:val="000000" w:themeColor="text1"/>
        </w:rPr>
        <w:t>The CEC completed these adjustments in Round 2 of mapping.</w:t>
      </w:r>
    </w:p>
    <w:p w14:paraId="73D760B2" w14:textId="255C22C5" w:rsidR="00C52EEF" w:rsidRPr="00C52EEF" w:rsidRDefault="7C8FC7FE" w:rsidP="057D115D">
      <w:pPr>
        <w:spacing w:after="160" w:line="259" w:lineRule="auto"/>
        <w:rPr>
          <w:rFonts w:eastAsia="Garamond" w:cs="Garamond"/>
          <w:color w:val="000000" w:themeColor="text1"/>
        </w:rPr>
      </w:pPr>
      <w:r w:rsidRPr="057D115D">
        <w:rPr>
          <w:rFonts w:eastAsia="Garamond" w:cs="Garamond"/>
          <w:b/>
          <w:bCs/>
          <w:color w:val="000000" w:themeColor="text1"/>
        </w:rPr>
        <w:t>Round 2 Battery Mapping</w:t>
      </w:r>
      <w:r w:rsidR="0098150F">
        <w:rPr>
          <w:rFonts w:eastAsia="Garamond" w:cs="Garamond"/>
          <w:color w:val="000000" w:themeColor="text1"/>
        </w:rPr>
        <w:fldChar w:fldCharType="begin"/>
      </w:r>
      <w:r w:rsidR="0098150F">
        <w:rPr>
          <w:rFonts w:eastAsia="Garamond" w:cs="Garamond"/>
          <w:color w:val="000000" w:themeColor="text1"/>
        </w:rPr>
        <w:instrText xml:space="preserve"> REF _Ref59120617 \r \h </w:instrText>
      </w:r>
      <w:r w:rsidR="0098150F">
        <w:rPr>
          <w:rFonts w:eastAsia="Garamond" w:cs="Garamond"/>
          <w:color w:val="000000" w:themeColor="text1"/>
        </w:rPr>
      </w:r>
      <w:r w:rsidR="0098150F">
        <w:rPr>
          <w:rFonts w:eastAsia="Garamond" w:cs="Garamond"/>
          <w:color w:val="000000" w:themeColor="text1"/>
        </w:rPr>
        <w:fldChar w:fldCharType="end"/>
      </w:r>
    </w:p>
    <w:p w14:paraId="4C1534C4" w14:textId="36D856D7" w:rsidR="00C52EEF" w:rsidRPr="00C52EEF" w:rsidRDefault="68A72638" w:rsidP="00A24A87">
      <w:pPr>
        <w:spacing w:after="160" w:line="259" w:lineRule="auto"/>
        <w:rPr>
          <w:rFonts w:eastAsia="Garamond" w:cs="Garamond"/>
          <w:color w:val="000000" w:themeColor="text1"/>
        </w:rPr>
      </w:pPr>
      <w:r w:rsidRPr="40A5FC40">
        <w:rPr>
          <w:rFonts w:eastAsia="Garamond" w:cs="Garamond"/>
          <w:color w:val="000000" w:themeColor="text1"/>
        </w:rPr>
        <w:t xml:space="preserve">With these adjustments in place, staff then mapped the batteries to busbars. </w:t>
      </w:r>
      <w:r w:rsidR="588FEAE0">
        <w:t xml:space="preserve"> </w:t>
      </w:r>
      <w:r w:rsidR="3F98772A">
        <w:t>After accounting for baseline reconciliation</w:t>
      </w:r>
      <w:r w:rsidR="1D1DA12F">
        <w:t xml:space="preserve"> as noted in Section </w:t>
      </w:r>
      <w:r w:rsidR="00D95DCB">
        <w:fldChar w:fldCharType="begin"/>
      </w:r>
      <w:r w:rsidR="00D95DCB">
        <w:instrText xml:space="preserve"> REF _Ref36201141 \r \h </w:instrText>
      </w:r>
      <w:r w:rsidR="00D95DCB">
        <w:fldChar w:fldCharType="separate"/>
      </w:r>
      <w:r w:rsidR="003B7A14">
        <w:t>4</w:t>
      </w:r>
      <w:r w:rsidR="00D95DCB">
        <w:fldChar w:fldCharType="end"/>
      </w:r>
      <w:r w:rsidR="3F98772A">
        <w:t xml:space="preserve">, 9,419 MW of battery storage needed to be mapped. </w:t>
      </w:r>
      <w:r w:rsidR="588FEAE0">
        <w:t xml:space="preserve">The implementation of the </w:t>
      </w:r>
      <w:r w:rsidR="42237252">
        <w:t>M</w:t>
      </w:r>
      <w:r w:rsidR="588FEAE0">
        <w:t xml:space="preserve">ethodology </w:t>
      </w:r>
      <w:r w:rsidR="55E4831F">
        <w:t>b</w:t>
      </w:r>
      <w:r w:rsidR="71F9C9E1">
        <w:t>uilds on</w:t>
      </w:r>
      <w:r w:rsidR="7E3547AA">
        <w:t xml:space="preserve"> the allocation results from the non-battery busbar mapping. </w:t>
      </w:r>
    </w:p>
    <w:p w14:paraId="1B7A1CB5" w14:textId="17D69977" w:rsidR="2AFD5E56" w:rsidRDefault="26C0C0F9" w:rsidP="204F489F">
      <w:r>
        <w:t xml:space="preserve">As described above, in Round 1 </w:t>
      </w:r>
      <w:r w:rsidR="5DF24240">
        <w:t>the following non-battery resources were mapped:</w:t>
      </w:r>
      <w:r w:rsidR="68180F61">
        <w:t xml:space="preserve"> 7,644 MW of FD solar resources,</w:t>
      </w:r>
      <w:r w:rsidR="3E535EC4">
        <w:t xml:space="preserve"> 4,071 MW of FD wind</w:t>
      </w:r>
      <w:r w:rsidR="5C11F877">
        <w:t xml:space="preserve"> resources</w:t>
      </w:r>
      <w:r w:rsidR="3E535EC4">
        <w:t>, and 627 MW of FD pumped storage hydro</w:t>
      </w:r>
      <w:r w:rsidR="7E24106C">
        <w:t xml:space="preserve"> resources</w:t>
      </w:r>
      <w:r w:rsidR="3E535EC4">
        <w:t>.</w:t>
      </w:r>
    </w:p>
    <w:p w14:paraId="37657AA5" w14:textId="2DD9232E" w:rsidR="2AFD5E56" w:rsidRDefault="19CF6EC7" w:rsidP="204F489F">
      <w:r>
        <w:t>After the i</w:t>
      </w:r>
      <w:r w:rsidR="69543215">
        <w:t xml:space="preserve">mplementation of </w:t>
      </w:r>
      <w:r w:rsidR="70385EB6">
        <w:t xml:space="preserve">battery mapping </w:t>
      </w:r>
      <w:r w:rsidR="69543215">
        <w:t xml:space="preserve">steps 1 through </w:t>
      </w:r>
      <w:r w:rsidR="233FCF9C">
        <w:t>8</w:t>
      </w:r>
      <w:r w:rsidR="4A946AC8">
        <w:t>,</w:t>
      </w:r>
      <w:r w:rsidR="0D5FAAD4">
        <w:t xml:space="preserve"> CPUC staff</w:t>
      </w:r>
      <w:r w:rsidR="7FCE3F9A">
        <w:t xml:space="preserve"> </w:t>
      </w:r>
      <w:r w:rsidR="3DF55FF6">
        <w:t xml:space="preserve">observed </w:t>
      </w:r>
      <w:r w:rsidR="6F8335C7">
        <w:t>the following</w:t>
      </w:r>
      <w:r w:rsidR="25FB675E">
        <w:t>:</w:t>
      </w:r>
    </w:p>
    <w:p w14:paraId="2205F392" w14:textId="596F75F9" w:rsidR="2AFD5E56" w:rsidRDefault="4D69B876" w:rsidP="40A5FC40">
      <w:pPr>
        <w:pStyle w:val="ListParagraph"/>
        <w:numPr>
          <w:ilvl w:val="0"/>
          <w:numId w:val="15"/>
        </w:numPr>
        <w:rPr>
          <w:rFonts w:asciiTheme="minorHAnsi" w:eastAsiaTheme="minorEastAsia" w:hAnsiTheme="minorHAnsi" w:cstheme="minorBidi"/>
        </w:rPr>
      </w:pPr>
      <w:r>
        <w:t>No</w:t>
      </w:r>
      <w:r w:rsidR="078FBD23">
        <w:t xml:space="preserve"> substation</w:t>
      </w:r>
      <w:r w:rsidR="784AE24D">
        <w:t>s</w:t>
      </w:r>
      <w:r w:rsidR="078FBD23">
        <w:t xml:space="preserve"> with available transmission headroom in the outer renewable transmission zone</w:t>
      </w:r>
      <w:r w:rsidR="02F6FEB5">
        <w:t>s</w:t>
      </w:r>
      <w:r w:rsidR="0D7E5403">
        <w:t>.</w:t>
      </w:r>
    </w:p>
    <w:p w14:paraId="2B82E7EA" w14:textId="6DB5D5EC" w:rsidR="2800B1B1" w:rsidRDefault="2C239644" w:rsidP="7771FF31">
      <w:pPr>
        <w:pStyle w:val="ListParagraph"/>
        <w:numPr>
          <w:ilvl w:val="0"/>
          <w:numId w:val="15"/>
        </w:numPr>
      </w:pPr>
      <w:r>
        <w:t>20</w:t>
      </w:r>
      <w:r w:rsidR="067F2E63">
        <w:t xml:space="preserve"> substations within LCR </w:t>
      </w:r>
      <w:r w:rsidR="7529722D">
        <w:t>a</w:t>
      </w:r>
      <w:r w:rsidR="067F2E63">
        <w:t xml:space="preserve">reas within the renewable transmission zones, </w:t>
      </w:r>
      <w:r w:rsidR="3A71774C">
        <w:t xml:space="preserve">17 substations within LCR </w:t>
      </w:r>
      <w:r w:rsidR="58FB93F9">
        <w:t>a</w:t>
      </w:r>
      <w:r w:rsidR="3A71774C">
        <w:t xml:space="preserve">reas within the </w:t>
      </w:r>
      <w:r w:rsidR="186D687E">
        <w:t>“</w:t>
      </w:r>
      <w:r w:rsidR="7A4B2034">
        <w:t>Ex</w:t>
      </w:r>
      <w:r w:rsidR="06AFC2D3">
        <w:t>”</w:t>
      </w:r>
      <w:r w:rsidR="344D7717">
        <w:t xml:space="preserve"> </w:t>
      </w:r>
      <w:r w:rsidR="7A4B2034">
        <w:t>zones</w:t>
      </w:r>
      <w:r w:rsidR="24EC1D96">
        <w:t>.</w:t>
      </w:r>
    </w:p>
    <w:p w14:paraId="18B525C5" w14:textId="655FEB89" w:rsidR="2800B1B1" w:rsidRDefault="067F2E63" w:rsidP="7771FF31">
      <w:pPr>
        <w:pStyle w:val="ListParagraph"/>
        <w:numPr>
          <w:ilvl w:val="0"/>
          <w:numId w:val="103"/>
        </w:numPr>
      </w:pPr>
      <w:r>
        <w:t>17</w:t>
      </w:r>
      <w:r w:rsidR="532B5F76">
        <w:t xml:space="preserve"> substations within DACs within the ren</w:t>
      </w:r>
      <w:r w:rsidR="0F608866">
        <w:t>ewable transmission zones,</w:t>
      </w:r>
      <w:r w:rsidR="6E505A35">
        <w:t xml:space="preserve"> 28 substations within DACs within the </w:t>
      </w:r>
      <w:r w:rsidR="7904BD10">
        <w:t>“</w:t>
      </w:r>
      <w:r w:rsidR="6E505A35">
        <w:t>Ex</w:t>
      </w:r>
      <w:r w:rsidR="50825DD5">
        <w:t>”</w:t>
      </w:r>
      <w:r w:rsidR="022DCF8E">
        <w:t xml:space="preserve"> </w:t>
      </w:r>
      <w:r w:rsidR="6E505A35">
        <w:t>zones</w:t>
      </w:r>
      <w:r w:rsidR="24EC1D96">
        <w:t>.</w:t>
      </w:r>
    </w:p>
    <w:p w14:paraId="6986B795" w14:textId="74E0A828" w:rsidR="4A5B93FC" w:rsidRDefault="6E505A35" w:rsidP="7771FF31">
      <w:pPr>
        <w:pStyle w:val="ListParagraph"/>
        <w:numPr>
          <w:ilvl w:val="0"/>
          <w:numId w:val="103"/>
        </w:numPr>
        <w:rPr>
          <w:rFonts w:asciiTheme="minorHAnsi" w:eastAsiaTheme="minorEastAsia" w:hAnsiTheme="minorHAnsi" w:cstheme="minorBidi"/>
          <w:szCs w:val="24"/>
        </w:rPr>
      </w:pPr>
      <w:r>
        <w:t xml:space="preserve">52 substations within non-attainment areas within the renewable transmission zones, </w:t>
      </w:r>
      <w:r w:rsidR="6BF45790">
        <w:t>74 substations within non-attainment areas within the</w:t>
      </w:r>
      <w:r w:rsidR="306CF28E">
        <w:t xml:space="preserve"> “Ex” zones</w:t>
      </w:r>
      <w:r w:rsidR="38D572C1">
        <w:t>.</w:t>
      </w:r>
    </w:p>
    <w:p w14:paraId="4B179500" w14:textId="192C58B2" w:rsidR="4F9B3814" w:rsidRPr="00A24A87" w:rsidRDefault="27E76173" w:rsidP="7771FF31">
      <w:pPr>
        <w:pStyle w:val="ListParagraph"/>
        <w:numPr>
          <w:ilvl w:val="0"/>
          <w:numId w:val="103"/>
        </w:numPr>
        <w:rPr>
          <w:rFonts w:asciiTheme="minorHAnsi" w:eastAsiaTheme="minorEastAsia" w:hAnsiTheme="minorHAnsi" w:cstheme="minorBidi"/>
          <w:szCs w:val="24"/>
        </w:rPr>
      </w:pPr>
      <w:r>
        <w:t>38</w:t>
      </w:r>
      <w:r w:rsidR="30C79EC9">
        <w:t>,</w:t>
      </w:r>
      <w:r w:rsidR="66ED6238">
        <w:t>377</w:t>
      </w:r>
      <w:r>
        <w:t xml:space="preserve"> </w:t>
      </w:r>
      <w:r w:rsidR="7BE1AAF7">
        <w:t>M</w:t>
      </w:r>
      <w:r>
        <w:t>W of battery commercial interest within the renewable transmission zones, 3</w:t>
      </w:r>
      <w:r w:rsidR="336EF1F5">
        <w:t>,178</w:t>
      </w:r>
      <w:r>
        <w:t xml:space="preserve"> </w:t>
      </w:r>
      <w:r w:rsidR="3C15AADA">
        <w:t>M</w:t>
      </w:r>
      <w:r>
        <w:t xml:space="preserve">W of battery commercial interest </w:t>
      </w:r>
      <w:r w:rsidR="5EE94727">
        <w:t>within</w:t>
      </w:r>
      <w:r>
        <w:t xml:space="preserve"> the </w:t>
      </w:r>
      <w:r w:rsidR="7859DF3B">
        <w:t>“Ex” zones</w:t>
      </w:r>
      <w:r w:rsidR="708B5785">
        <w:t>.</w:t>
      </w:r>
    </w:p>
    <w:p w14:paraId="555350CC" w14:textId="77777777" w:rsidR="00672DA6" w:rsidRDefault="00672DA6" w:rsidP="00A24A87">
      <w:pPr>
        <w:pStyle w:val="ListParagraph"/>
        <w:rPr>
          <w:rFonts w:asciiTheme="minorHAnsi" w:eastAsiaTheme="minorEastAsia" w:hAnsiTheme="minorHAnsi" w:cstheme="minorBidi"/>
          <w:szCs w:val="24"/>
        </w:rPr>
      </w:pPr>
    </w:p>
    <w:p w14:paraId="5313561D" w14:textId="37B81D96" w:rsidR="42BC7E0F" w:rsidRDefault="0C03D752">
      <w:r>
        <w:t>CPUC staff mapped the battery resources in the following manner while implementing</w:t>
      </w:r>
      <w:r w:rsidR="14B7FB9A">
        <w:t xml:space="preserve"> </w:t>
      </w:r>
      <w:r w:rsidR="739C9B36">
        <w:t xml:space="preserve">steps 9a through </w:t>
      </w:r>
      <w:r w:rsidR="0161D0D7">
        <w:t>e</w:t>
      </w:r>
      <w:r w:rsidR="5AB2C3F3">
        <w:t>:</w:t>
      </w:r>
    </w:p>
    <w:p w14:paraId="47BF602D" w14:textId="180B1D64" w:rsidR="2012C7BE" w:rsidRDefault="760E25B3" w:rsidP="00897654">
      <w:pPr>
        <w:pStyle w:val="ListParagraph"/>
        <w:numPr>
          <w:ilvl w:val="0"/>
          <w:numId w:val="159"/>
        </w:numPr>
        <w:rPr>
          <w:rFonts w:asciiTheme="minorHAnsi" w:eastAsiaTheme="minorEastAsia" w:hAnsiTheme="minorHAnsi" w:cstheme="minorBidi"/>
          <w:szCs w:val="24"/>
        </w:rPr>
      </w:pPr>
      <w:r>
        <w:t xml:space="preserve">2,008 MW of stand-alone battery resources providing LCR and system RA located </w:t>
      </w:r>
      <w:r w:rsidR="1E74C36D">
        <w:t xml:space="preserve">entirely in </w:t>
      </w:r>
      <w:r w:rsidR="1C20C41D">
        <w:t>“Ex” zones</w:t>
      </w:r>
      <w:r w:rsidR="64B69E4E">
        <w:t>.</w:t>
      </w:r>
    </w:p>
    <w:p w14:paraId="044746DC" w14:textId="594DDD04" w:rsidR="208F1E20" w:rsidRDefault="760E25B3" w:rsidP="00897654">
      <w:pPr>
        <w:pStyle w:val="ListParagraph"/>
        <w:numPr>
          <w:ilvl w:val="0"/>
          <w:numId w:val="159"/>
        </w:numPr>
        <w:rPr>
          <w:rFonts w:asciiTheme="minorHAnsi" w:eastAsiaTheme="minorEastAsia" w:hAnsiTheme="minorHAnsi" w:cstheme="minorBidi"/>
          <w:szCs w:val="24"/>
        </w:rPr>
      </w:pPr>
      <w:r>
        <w:t xml:space="preserve">1,170 MW of stand-alone battery resources providing system-only RA located </w:t>
      </w:r>
      <w:r w:rsidR="2D975633">
        <w:t xml:space="preserve">entirely </w:t>
      </w:r>
      <w:r>
        <w:t xml:space="preserve">in </w:t>
      </w:r>
      <w:r w:rsidR="495278A5">
        <w:t>“Ex” zones</w:t>
      </w:r>
      <w:r w:rsidR="64B69E4E">
        <w:t>.</w:t>
      </w:r>
    </w:p>
    <w:p w14:paraId="63B0DD30" w14:textId="1CE650B2" w:rsidR="3106C218" w:rsidRDefault="39AA63C9" w:rsidP="00897654">
      <w:pPr>
        <w:pStyle w:val="ListParagraph"/>
        <w:numPr>
          <w:ilvl w:val="0"/>
          <w:numId w:val="159"/>
        </w:numPr>
        <w:rPr>
          <w:rFonts w:asciiTheme="minorHAnsi" w:eastAsiaTheme="minorEastAsia" w:hAnsiTheme="minorHAnsi" w:cstheme="minorBidi"/>
          <w:szCs w:val="24"/>
        </w:rPr>
      </w:pPr>
      <w:r>
        <w:t>5,320</w:t>
      </w:r>
      <w:r w:rsidR="3448156E">
        <w:t xml:space="preserve"> MW of co-located solar + battery resources located in the renewable transmission zones</w:t>
      </w:r>
    </w:p>
    <w:p w14:paraId="2800EB66" w14:textId="77777777" w:rsidR="00672DA6" w:rsidRDefault="00672DA6" w:rsidP="00A24A87">
      <w:pPr>
        <w:pStyle w:val="ListParagraph"/>
      </w:pPr>
    </w:p>
    <w:p w14:paraId="10834F0B" w14:textId="72CA3AA5" w:rsidR="414BF682" w:rsidRDefault="59CC018F" w:rsidP="05E77CC2">
      <w:r>
        <w:t xml:space="preserve">With the total of </w:t>
      </w:r>
      <w:r w:rsidR="42EA11EC">
        <w:t>8,</w:t>
      </w:r>
      <w:r w:rsidR="64F8E5A7">
        <w:t>49</w:t>
      </w:r>
      <w:r w:rsidR="42EA11EC">
        <w:t>8</w:t>
      </w:r>
      <w:r>
        <w:t xml:space="preserve"> MW of battery resources initially mapped, the implementation of step 9f involved further interaction with the </w:t>
      </w:r>
      <w:r w:rsidR="5536E2EC">
        <w:t xml:space="preserve">non-battery mapping Dashboard </w:t>
      </w:r>
      <w:r w:rsidR="5F6DE5C0">
        <w:t xml:space="preserve">to identify suitable substations for siting the remaining </w:t>
      </w:r>
      <w:r w:rsidR="5A142368">
        <w:t>92</w:t>
      </w:r>
      <w:r w:rsidR="3A285B4E">
        <w:t>1</w:t>
      </w:r>
      <w:r w:rsidR="5F6DE5C0">
        <w:t xml:space="preserve"> MW of battery resources. </w:t>
      </w:r>
      <w:r w:rsidR="2637CD16">
        <w:t>As stated in</w:t>
      </w:r>
      <w:r w:rsidR="76DF1A53">
        <w:t xml:space="preserve"> the </w:t>
      </w:r>
      <w:r w:rsidR="28866A67">
        <w:t>Round 1</w:t>
      </w:r>
      <w:r w:rsidR="76DF1A53">
        <w:t xml:space="preserve"> non-battery analysis</w:t>
      </w:r>
      <w:r w:rsidR="36ACBCF3">
        <w:t xml:space="preserve"> </w:t>
      </w:r>
      <w:r w:rsidR="5E1AE512">
        <w:t xml:space="preserve">based on </w:t>
      </w:r>
      <w:r w:rsidR="6821997A">
        <w:t>CAISO’s staff guidance</w:t>
      </w:r>
      <w:r w:rsidR="5E1AE512">
        <w:t>, CPUC staff</w:t>
      </w:r>
      <w:r w:rsidR="76DF1A53">
        <w:t xml:space="preserve"> identified</w:t>
      </w:r>
      <w:r w:rsidR="1150AAE4">
        <w:t xml:space="preserve"> </w:t>
      </w:r>
      <w:r w:rsidR="47A211CF">
        <w:t xml:space="preserve">the </w:t>
      </w:r>
      <w:r w:rsidR="3C194740">
        <w:t>Gates 500 kV substation and the</w:t>
      </w:r>
      <w:r w:rsidR="53C0E393">
        <w:t xml:space="preserve"> </w:t>
      </w:r>
      <w:r w:rsidR="6B79C457">
        <w:t>1,000 MW transmission upgrade</w:t>
      </w:r>
      <w:r w:rsidR="4A77A3E0">
        <w:t xml:space="preserve"> for Tehachapi </w:t>
      </w:r>
      <w:r w:rsidR="6EBF8E6F">
        <w:t xml:space="preserve">to </w:t>
      </w:r>
      <w:r w:rsidR="5915C01F">
        <w:t>accommodate mapping of the battery resources</w:t>
      </w:r>
      <w:r w:rsidR="30D0DCF6">
        <w:t xml:space="preserve"> as a least</w:t>
      </w:r>
      <w:r w:rsidR="3C658DFD">
        <w:t>-</w:t>
      </w:r>
      <w:r w:rsidR="30D0DCF6">
        <w:t>regrets approach</w:t>
      </w:r>
      <w:r w:rsidR="5B2614D8">
        <w:t>.</w:t>
      </w:r>
      <w:r w:rsidR="0E99B7A8">
        <w:t xml:space="preserve"> This upgrade would </w:t>
      </w:r>
      <w:r w:rsidR="5BB20998">
        <w:t>improve</w:t>
      </w:r>
      <w:r w:rsidR="0E99B7A8">
        <w:t xml:space="preserve"> the curtailment problem at Whirlwind substation</w:t>
      </w:r>
      <w:r w:rsidR="5FD9D3D8">
        <w:t xml:space="preserve">. According the CAISO 2020-2021 TPP </w:t>
      </w:r>
      <w:r w:rsidR="6FB4207E">
        <w:t>preliminary policy and economic assessments</w:t>
      </w:r>
      <w:r w:rsidR="5FD9D3D8">
        <w:t xml:space="preserve"> results</w:t>
      </w:r>
      <w:r w:rsidR="00B111AE">
        <w:rPr>
          <w:rStyle w:val="FootnoteReference"/>
        </w:rPr>
        <w:footnoteReference w:id="19"/>
      </w:r>
      <w:r w:rsidR="5FD9D3D8">
        <w:t>, Whirlwind Substation has one of the highest curtailment costs</w:t>
      </w:r>
      <w:r w:rsidR="02366500">
        <w:t>.</w:t>
      </w:r>
      <w:r w:rsidR="5B2614D8">
        <w:t xml:space="preserve"> </w:t>
      </w:r>
      <w:r w:rsidR="5B2614D8">
        <w:lastRenderedPageBreak/>
        <w:t xml:space="preserve">The </w:t>
      </w:r>
      <w:r w:rsidR="69C63859">
        <w:t xml:space="preserve">exceedance </w:t>
      </w:r>
      <w:r w:rsidR="5B2614D8">
        <w:t xml:space="preserve">of </w:t>
      </w:r>
      <w:r w:rsidR="534AF9B9">
        <w:t>the</w:t>
      </w:r>
      <w:r w:rsidR="6A25B75F">
        <w:t xml:space="preserve"> Tehachapi</w:t>
      </w:r>
      <w:r w:rsidR="5B2614D8">
        <w:t xml:space="preserve"> transmission </w:t>
      </w:r>
      <w:r w:rsidR="46F917C4">
        <w:t>constraint</w:t>
      </w:r>
      <w:r w:rsidR="5B2614D8">
        <w:t xml:space="preserve"> is consistent with the 38 MMT </w:t>
      </w:r>
      <w:r w:rsidR="38BC5D94">
        <w:t>p</w:t>
      </w:r>
      <w:r w:rsidR="5B2614D8">
        <w:t xml:space="preserve">ortfolio </w:t>
      </w:r>
      <w:r w:rsidR="248D22F3">
        <w:t>which demonstrates that Tehachapi is a</w:t>
      </w:r>
      <w:r w:rsidR="1C6E3F07">
        <w:t xml:space="preserve">lso an area selected by RESOLVE for solar development. Furthermore, </w:t>
      </w:r>
      <w:r w:rsidR="56B186CF">
        <w:t xml:space="preserve">the CAISO interconnection queue includes </w:t>
      </w:r>
      <w:r w:rsidR="7B3A5C3E">
        <w:t>7,845 MW</w:t>
      </w:r>
      <w:r w:rsidR="56B186CF">
        <w:t xml:space="preserve"> of commercial interest in batteries and </w:t>
      </w:r>
      <w:r w:rsidR="49C9AD02">
        <w:t>4,117 MW</w:t>
      </w:r>
      <w:r w:rsidR="56B186CF">
        <w:t xml:space="preserve"> in solar resources in the Tehachapi area. </w:t>
      </w:r>
      <w:r w:rsidR="499D8499">
        <w:t>CPUC s</w:t>
      </w:r>
      <w:r w:rsidR="0B5D34F6">
        <w:t xml:space="preserve">taff </w:t>
      </w:r>
      <w:r w:rsidR="5DFBB9E2">
        <w:t>manually allocated</w:t>
      </w:r>
      <w:r w:rsidR="2665998A">
        <w:t xml:space="preserve"> the </w:t>
      </w:r>
      <w:r w:rsidR="6DAC1FE8">
        <w:t>battery</w:t>
      </w:r>
      <w:r w:rsidR="4A77A3E0">
        <w:t xml:space="preserve"> resources across t</w:t>
      </w:r>
      <w:r w:rsidR="3AE53B36">
        <w:t>he</w:t>
      </w:r>
      <w:r w:rsidR="4A77A3E0">
        <w:t xml:space="preserve"> </w:t>
      </w:r>
      <w:r w:rsidR="78D36170">
        <w:t>following</w:t>
      </w:r>
      <w:r w:rsidR="69D79E04">
        <w:t xml:space="preserve"> </w:t>
      </w:r>
      <w:r w:rsidR="4A77A3E0">
        <w:t xml:space="preserve">substations </w:t>
      </w:r>
      <w:r w:rsidR="4CCE6EAB">
        <w:t>based on substation characteristics and</w:t>
      </w:r>
      <w:r w:rsidR="4A77A3E0">
        <w:t xml:space="preserve"> </w:t>
      </w:r>
      <w:r w:rsidR="14563CF1">
        <w:t xml:space="preserve">battery </w:t>
      </w:r>
      <w:r w:rsidR="4C96B679">
        <w:t>storage</w:t>
      </w:r>
      <w:r w:rsidR="14563CF1">
        <w:t xml:space="preserve"> commercial interest</w:t>
      </w:r>
      <w:r w:rsidR="29885D77">
        <w:t>:</w:t>
      </w:r>
    </w:p>
    <w:p w14:paraId="6B038363" w14:textId="56C14C6A" w:rsidR="06AB3AD8" w:rsidRDefault="5B603BC8" w:rsidP="7771FF31">
      <w:pPr>
        <w:pStyle w:val="ListParagraph"/>
        <w:numPr>
          <w:ilvl w:val="0"/>
          <w:numId w:val="118"/>
        </w:numPr>
        <w:rPr>
          <w:rFonts w:asciiTheme="minorHAnsi" w:eastAsiaTheme="minorEastAsia" w:hAnsiTheme="minorHAnsi" w:cstheme="minorBidi"/>
        </w:rPr>
      </w:pPr>
      <w:r>
        <w:t>692</w:t>
      </w:r>
      <w:r w:rsidR="06AB3AD8">
        <w:t xml:space="preserve"> MW to </w:t>
      </w:r>
      <w:r w:rsidR="0F025F61">
        <w:t>Whirlwind</w:t>
      </w:r>
      <w:r w:rsidR="06AB3AD8">
        <w:t xml:space="preserve"> substation</w:t>
      </w:r>
      <w:r w:rsidR="239C30BA">
        <w:t xml:space="preserve"> </w:t>
      </w:r>
    </w:p>
    <w:p w14:paraId="673FA6A6" w14:textId="41D1434B" w:rsidR="06AB3AD8" w:rsidRDefault="1BDE06E1" w:rsidP="40A5FC40">
      <w:pPr>
        <w:pStyle w:val="ListParagraph"/>
        <w:numPr>
          <w:ilvl w:val="0"/>
          <w:numId w:val="118"/>
        </w:numPr>
        <w:rPr>
          <w:rFonts w:asciiTheme="minorHAnsi" w:eastAsiaTheme="minorEastAsia" w:hAnsiTheme="minorHAnsi" w:cstheme="minorBidi"/>
        </w:rPr>
      </w:pPr>
      <w:r>
        <w:t>61</w:t>
      </w:r>
      <w:r w:rsidR="06AB3AD8">
        <w:t xml:space="preserve"> MW to </w:t>
      </w:r>
      <w:r w:rsidR="26B10577">
        <w:t>Vincent</w:t>
      </w:r>
      <w:r w:rsidR="06AB3AD8">
        <w:t xml:space="preserve"> substation</w:t>
      </w:r>
    </w:p>
    <w:p w14:paraId="63A7D45C" w14:textId="2FCE0A5B" w:rsidR="06AB3AD8" w:rsidRDefault="2CE75C15" w:rsidP="40A5FC40">
      <w:pPr>
        <w:pStyle w:val="ListParagraph"/>
        <w:numPr>
          <w:ilvl w:val="0"/>
          <w:numId w:val="118"/>
        </w:numPr>
        <w:rPr>
          <w:rFonts w:asciiTheme="minorHAnsi" w:eastAsiaTheme="minorEastAsia" w:hAnsiTheme="minorHAnsi" w:cstheme="minorBidi"/>
        </w:rPr>
      </w:pPr>
      <w:r>
        <w:t>1</w:t>
      </w:r>
      <w:r w:rsidR="2A4E7E6E">
        <w:t>47</w:t>
      </w:r>
      <w:r w:rsidR="06AB3AD8">
        <w:t xml:space="preserve"> MW to </w:t>
      </w:r>
      <w:proofErr w:type="spellStart"/>
      <w:r w:rsidR="69982FE7">
        <w:t>Windhub</w:t>
      </w:r>
      <w:proofErr w:type="spellEnd"/>
      <w:r w:rsidR="06AB3AD8">
        <w:t xml:space="preserve"> substation</w:t>
      </w:r>
    </w:p>
    <w:p w14:paraId="47255191" w14:textId="55826D06" w:rsidR="37875BC0" w:rsidRDefault="37875BC0" w:rsidP="7956503B">
      <w:pPr>
        <w:pStyle w:val="ListParagraph"/>
        <w:numPr>
          <w:ilvl w:val="0"/>
          <w:numId w:val="118"/>
        </w:numPr>
      </w:pPr>
      <w:r>
        <w:t>21 MW to Gates 500 kV substation</w:t>
      </w:r>
    </w:p>
    <w:p w14:paraId="418D0E81" w14:textId="51F9778D" w:rsidR="1286CA03" w:rsidRDefault="1286CA03" w:rsidP="005169DA">
      <w:pPr>
        <w:ind w:left="0"/>
      </w:pPr>
      <w:r>
        <w:fldChar w:fldCharType="begin"/>
      </w:r>
      <w:r>
        <w:instrText xml:space="preserve"> REF _Ref59120600 \r \h </w:instrText>
      </w:r>
      <w:r>
        <w:fldChar w:fldCharType="end"/>
      </w:r>
    </w:p>
    <w:p w14:paraId="2BC15BF7" w14:textId="01C33113" w:rsidR="644F2386" w:rsidRDefault="2E7CBC35" w:rsidP="644F2386">
      <w:pPr>
        <w:rPr>
          <w:b/>
        </w:rPr>
      </w:pPr>
      <w:r w:rsidRPr="0C79D6A3">
        <w:rPr>
          <w:b/>
          <w:bCs/>
        </w:rPr>
        <w:t>Round 2 Mapping Analysis</w:t>
      </w:r>
    </w:p>
    <w:p w14:paraId="7A927125" w14:textId="40CBA5EC" w:rsidR="26E0F107" w:rsidRDefault="26E0F107" w:rsidP="644F2386">
      <w:pPr>
        <w:rPr>
          <w:rFonts w:eastAsia="Garamond" w:cs="Garamond"/>
          <w:color w:val="000000" w:themeColor="text1"/>
        </w:rPr>
      </w:pPr>
      <w:r>
        <w:t xml:space="preserve">After </w:t>
      </w:r>
      <w:r w:rsidR="00B73943">
        <w:t>R</w:t>
      </w:r>
      <w:r w:rsidR="51F22396">
        <w:t xml:space="preserve">ound </w:t>
      </w:r>
      <w:r w:rsidR="00B73943">
        <w:t>2</w:t>
      </w:r>
      <w:r w:rsidR="1E8B22FB">
        <w:t xml:space="preserve"> of mapping to </w:t>
      </w:r>
      <w:r w:rsidR="378AD184">
        <w:t>implement</w:t>
      </w:r>
      <w:r w:rsidR="1E8B22FB">
        <w:t xml:space="preserve"> </w:t>
      </w:r>
      <w:r>
        <w:t xml:space="preserve">the changes noted above and </w:t>
      </w:r>
      <w:r w:rsidR="275B44E6">
        <w:t xml:space="preserve">to map </w:t>
      </w:r>
      <w:r>
        <w:t xml:space="preserve">the battery resources, CPUC staff </w:t>
      </w:r>
      <w:r w:rsidR="4C64EE38">
        <w:t>reasse</w:t>
      </w:r>
      <w:r w:rsidR="3DEB2690">
        <w:t>ssed</w:t>
      </w:r>
      <w:r w:rsidR="2EF5BC03">
        <w:t xml:space="preserve"> </w:t>
      </w:r>
      <w:r w:rsidR="77C10BFF">
        <w:t xml:space="preserve">the mapped resources compliance with the five criteria. These results are summarized below in </w:t>
      </w:r>
      <w:r w:rsidR="002829AA">
        <w:fldChar w:fldCharType="begin"/>
      </w:r>
      <w:r w:rsidR="002829AA">
        <w:instrText xml:space="preserve"> REF _Ref63665200 \h </w:instrText>
      </w:r>
      <w:r w:rsidR="002829AA">
        <w:fldChar w:fldCharType="separate"/>
      </w:r>
      <w:r w:rsidR="002829AA">
        <w:t xml:space="preserve">Table </w:t>
      </w:r>
      <w:r w:rsidR="002829AA">
        <w:rPr>
          <w:noProof/>
        </w:rPr>
        <w:t>10</w:t>
      </w:r>
      <w:r w:rsidR="002829AA">
        <w:fldChar w:fldCharType="end"/>
      </w:r>
      <w:r w:rsidR="206CB7B2">
        <w:t>.</w:t>
      </w:r>
      <w:r w:rsidR="5B7CE9B2">
        <w:t xml:space="preserve"> CPUC staff note </w:t>
      </w:r>
      <w:r w:rsidR="008A5B6E">
        <w:t>improved</w:t>
      </w:r>
      <w:r w:rsidR="5B7CE9B2">
        <w:t xml:space="preserve"> </w:t>
      </w:r>
      <w:r w:rsidR="01967033">
        <w:t xml:space="preserve">compliance for criteria 1 </w:t>
      </w:r>
      <w:r w:rsidR="008A5B6E">
        <w:t>(</w:t>
      </w:r>
      <w:r w:rsidR="01967033" w:rsidRPr="4E1893D1">
        <w:rPr>
          <w:rFonts w:eastAsia="Garamond" w:cs="Garamond"/>
          <w:color w:val="000000" w:themeColor="text1"/>
        </w:rPr>
        <w:t xml:space="preserve">distance to transmission of appropriate voltage), 4 (commercial interest), and 5 (consistency with prior year’s mapping). The </w:t>
      </w:r>
      <w:r w:rsidR="5026E9D8" w:rsidRPr="4E1893D1">
        <w:rPr>
          <w:rFonts w:eastAsia="Garamond" w:cs="Garamond"/>
          <w:color w:val="000000" w:themeColor="text1"/>
        </w:rPr>
        <w:t>reallocations</w:t>
      </w:r>
      <w:r w:rsidR="17DA61F1" w:rsidRPr="4E1893D1">
        <w:rPr>
          <w:rFonts w:eastAsia="Garamond" w:cs="Garamond"/>
          <w:color w:val="000000" w:themeColor="text1"/>
        </w:rPr>
        <w:t xml:space="preserve"> </w:t>
      </w:r>
      <w:r w:rsidR="18BD5D91" w:rsidRPr="4E1893D1">
        <w:rPr>
          <w:rFonts w:eastAsia="Garamond" w:cs="Garamond"/>
          <w:color w:val="000000" w:themeColor="text1"/>
        </w:rPr>
        <w:t xml:space="preserve">implemented </w:t>
      </w:r>
      <w:r w:rsidR="107E5BBE" w:rsidRPr="057D115D">
        <w:rPr>
          <w:rFonts w:eastAsia="Garamond" w:cs="Garamond"/>
          <w:color w:val="000000" w:themeColor="text1"/>
        </w:rPr>
        <w:t>during Round 2</w:t>
      </w:r>
      <w:r w:rsidR="5026E9D8" w:rsidRPr="4E1893D1">
        <w:rPr>
          <w:rFonts w:eastAsia="Garamond" w:cs="Garamond"/>
          <w:color w:val="000000" w:themeColor="text1"/>
        </w:rPr>
        <w:t xml:space="preserve"> and the mapping of battery resources resulted in further criteri</w:t>
      </w:r>
      <w:r w:rsidR="62C841C8" w:rsidRPr="4E1893D1">
        <w:rPr>
          <w:rFonts w:eastAsia="Garamond" w:cs="Garamond"/>
          <w:color w:val="000000" w:themeColor="text1"/>
        </w:rPr>
        <w:t>on</w:t>
      </w:r>
      <w:r w:rsidR="5026E9D8" w:rsidRPr="4E1893D1">
        <w:rPr>
          <w:rFonts w:eastAsia="Garamond" w:cs="Garamond"/>
          <w:color w:val="000000" w:themeColor="text1"/>
        </w:rPr>
        <w:t xml:space="preserve"> 2 (transmission capability) non-compliance </w:t>
      </w:r>
      <w:r w:rsidR="12692D26" w:rsidRPr="4E1893D1">
        <w:rPr>
          <w:rFonts w:eastAsia="Garamond" w:cs="Garamond"/>
          <w:color w:val="000000" w:themeColor="text1"/>
        </w:rPr>
        <w:t xml:space="preserve">as the result of </w:t>
      </w:r>
      <w:r w:rsidR="5026E9D8" w:rsidRPr="4E1893D1">
        <w:rPr>
          <w:rFonts w:eastAsia="Garamond" w:cs="Garamond"/>
          <w:color w:val="000000" w:themeColor="text1"/>
        </w:rPr>
        <w:t>realloc</w:t>
      </w:r>
      <w:r w:rsidR="1966DC82" w:rsidRPr="4E1893D1">
        <w:rPr>
          <w:rFonts w:eastAsia="Garamond" w:cs="Garamond"/>
          <w:color w:val="000000" w:themeColor="text1"/>
        </w:rPr>
        <w:t>ating resources from “Ex” zones into CAISO’s renewable transmission zones and</w:t>
      </w:r>
      <w:r w:rsidR="4E3B6D8B" w:rsidRPr="4E1893D1">
        <w:rPr>
          <w:rFonts w:eastAsia="Garamond" w:cs="Garamond"/>
          <w:color w:val="000000" w:themeColor="text1"/>
        </w:rPr>
        <w:t xml:space="preserve"> </w:t>
      </w:r>
      <w:r w:rsidR="478E4FF9" w:rsidRPr="4E1893D1">
        <w:rPr>
          <w:rFonts w:eastAsia="Garamond" w:cs="Garamond"/>
          <w:color w:val="000000" w:themeColor="text1"/>
        </w:rPr>
        <w:t>the addition of stand-alone battery resources. These non-compliances and the remaining non-compliances for criter</w:t>
      </w:r>
      <w:r w:rsidR="28D6C731" w:rsidRPr="4E1893D1">
        <w:rPr>
          <w:rFonts w:eastAsia="Garamond" w:cs="Garamond"/>
          <w:color w:val="000000" w:themeColor="text1"/>
        </w:rPr>
        <w:t>ia</w:t>
      </w:r>
      <w:r w:rsidR="5026E9D8" w:rsidRPr="4E1893D1">
        <w:rPr>
          <w:rFonts w:eastAsia="Garamond" w:cs="Garamond"/>
          <w:color w:val="000000" w:themeColor="text1"/>
        </w:rPr>
        <w:t xml:space="preserve"> 3a (available land area)</w:t>
      </w:r>
      <w:r w:rsidR="359E56D2" w:rsidRPr="4E1893D1">
        <w:rPr>
          <w:rFonts w:eastAsia="Garamond" w:cs="Garamond"/>
          <w:color w:val="000000" w:themeColor="text1"/>
        </w:rPr>
        <w:t xml:space="preserve"> and</w:t>
      </w:r>
      <w:r w:rsidR="5026E9D8" w:rsidRPr="4E1893D1">
        <w:rPr>
          <w:rFonts w:eastAsia="Garamond" w:cs="Garamond"/>
          <w:color w:val="000000" w:themeColor="text1"/>
        </w:rPr>
        <w:t xml:space="preserve"> 3b (high environmental impacts)</w:t>
      </w:r>
      <w:r w:rsidR="6B042CC1" w:rsidRPr="4E1893D1">
        <w:rPr>
          <w:rFonts w:eastAsia="Garamond" w:cs="Garamond"/>
          <w:color w:val="000000" w:themeColor="text1"/>
        </w:rPr>
        <w:t xml:space="preserve"> are </w:t>
      </w:r>
      <w:r w:rsidR="717777FC" w:rsidRPr="057D115D">
        <w:rPr>
          <w:rFonts w:eastAsia="Garamond" w:cs="Garamond"/>
          <w:color w:val="000000" w:themeColor="text1"/>
        </w:rPr>
        <w:t>discussed</w:t>
      </w:r>
      <w:r w:rsidR="1D1585E4" w:rsidRPr="4E1893D1">
        <w:rPr>
          <w:rFonts w:eastAsia="Garamond" w:cs="Garamond"/>
          <w:color w:val="000000" w:themeColor="text1"/>
        </w:rPr>
        <w:t xml:space="preserve"> later</w:t>
      </w:r>
      <w:r w:rsidR="6B042CC1" w:rsidRPr="4E1893D1">
        <w:rPr>
          <w:rFonts w:eastAsia="Garamond" w:cs="Garamond"/>
          <w:color w:val="000000" w:themeColor="text1"/>
        </w:rPr>
        <w:t xml:space="preserve"> in detail in the Results section 7.1</w:t>
      </w:r>
      <w:r w:rsidR="77C10BFF" w:rsidRPr="4E1893D1">
        <w:rPr>
          <w:rFonts w:eastAsia="Garamond" w:cs="Garamond"/>
          <w:color w:val="000000" w:themeColor="text1"/>
        </w:rPr>
        <w:t>.</w:t>
      </w:r>
    </w:p>
    <w:p w14:paraId="75DEB9E6" w14:textId="5134B689" w:rsidR="4645797E" w:rsidRDefault="4645797E" w:rsidP="1DF38C4A">
      <w:pPr>
        <w:rPr>
          <w:rFonts w:eastAsia="Garamond" w:cs="Garamond"/>
          <w:color w:val="000000" w:themeColor="text1"/>
        </w:rPr>
      </w:pPr>
    </w:p>
    <w:p w14:paraId="30D10CF8" w14:textId="77777777" w:rsidR="00233F19" w:rsidRDefault="00233F19" w:rsidP="4E1893D1">
      <w:pPr>
        <w:rPr>
          <w:rFonts w:eastAsia="Garamond" w:cs="Garamond"/>
          <w:color w:val="000000" w:themeColor="text1"/>
        </w:rPr>
        <w:sectPr w:rsidR="00233F19">
          <w:pgSz w:w="12240" w:h="15840"/>
          <w:pgMar w:top="1440" w:right="1440" w:bottom="1440" w:left="1440" w:header="720" w:footer="720" w:gutter="0"/>
          <w:cols w:space="720"/>
          <w:docGrid w:linePitch="360"/>
        </w:sectPr>
      </w:pPr>
      <w:bookmarkStart w:id="50" w:name="_Ref36055920"/>
    </w:p>
    <w:p w14:paraId="4D7F24DE" w14:textId="7A5B8AE3" w:rsidR="00C94E39" w:rsidRDefault="00C94E39" w:rsidP="005169DA">
      <w:pPr>
        <w:pStyle w:val="Caption"/>
        <w:keepNext/>
      </w:pPr>
      <w:bookmarkStart w:id="51" w:name="_Ref63665200"/>
      <w:r>
        <w:lastRenderedPageBreak/>
        <w:t xml:space="preserve">Table </w:t>
      </w:r>
      <w:r w:rsidR="00F02B49">
        <w:fldChar w:fldCharType="begin"/>
      </w:r>
      <w:r w:rsidR="00F02B49">
        <w:instrText xml:space="preserve"> SEQ Table \* ARABIC </w:instrText>
      </w:r>
      <w:r w:rsidR="00F02B49">
        <w:fldChar w:fldCharType="separate"/>
      </w:r>
      <w:r w:rsidR="001D72D3">
        <w:rPr>
          <w:noProof/>
        </w:rPr>
        <w:t>10</w:t>
      </w:r>
      <w:r w:rsidR="00F02B49">
        <w:rPr>
          <w:noProof/>
        </w:rPr>
        <w:fldChar w:fldCharType="end"/>
      </w:r>
      <w:bookmarkEnd w:id="51"/>
      <w:r>
        <w:t xml:space="preserve">. </w:t>
      </w:r>
      <w:r w:rsidRPr="00C94E39">
        <w:t>Dashboard showing compliance of busbar allocations for the 46 MMT portfolio, after Round 2 of mapping, with the criteria</w:t>
      </w:r>
    </w:p>
    <w:p w14:paraId="267E238D" w14:textId="3FF13826" w:rsidR="00233F19" w:rsidRDefault="000D2EB0">
      <w:pPr>
        <w:rPr>
          <w:rFonts w:eastAsia="Garamond" w:cs="Garamond"/>
          <w:color w:val="000000" w:themeColor="text1"/>
        </w:rPr>
      </w:pPr>
      <w:r>
        <w:rPr>
          <w:noProof/>
        </w:rPr>
        <w:drawing>
          <wp:inline distT="0" distB="0" distL="0" distR="0" wp14:anchorId="367A65FA" wp14:editId="530B533F">
            <wp:extent cx="8061351" cy="556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67119" cy="5572909"/>
                    </a:xfrm>
                    <a:prstGeom prst="rect">
                      <a:avLst/>
                    </a:prstGeom>
                  </pic:spPr>
                </pic:pic>
              </a:graphicData>
            </a:graphic>
          </wp:inline>
        </w:drawing>
      </w:r>
      <w:r w:rsidR="5893F94F" w:rsidRPr="25C60BFB">
        <w:rPr>
          <w:rFonts w:eastAsia="Garamond" w:cs="Garamond"/>
          <w:color w:val="000000" w:themeColor="text1"/>
        </w:rPr>
        <w:t xml:space="preserve"> </w:t>
      </w:r>
    </w:p>
    <w:p w14:paraId="0692A816" w14:textId="76228CBD" w:rsidR="00233F19" w:rsidRDefault="00233F19" w:rsidP="4E1893D1">
      <w:pPr>
        <w:rPr>
          <w:rFonts w:eastAsia="Garamond" w:cs="Garamond"/>
          <w:color w:val="000000" w:themeColor="text1"/>
        </w:rPr>
        <w:sectPr w:rsidR="00233F19" w:rsidSect="005A137E">
          <w:pgSz w:w="15840" w:h="12240" w:orient="landscape"/>
          <w:pgMar w:top="1440" w:right="1440" w:bottom="1440" w:left="1440" w:header="720" w:footer="720" w:gutter="0"/>
          <w:cols w:space="720"/>
          <w:docGrid w:linePitch="360"/>
        </w:sectPr>
      </w:pPr>
    </w:p>
    <w:p w14:paraId="5B8633A0" w14:textId="6EA7B706" w:rsidR="44568AB5" w:rsidRDefault="44568AB5" w:rsidP="005169DA">
      <w:pPr>
        <w:rPr>
          <w:rFonts w:eastAsia="Garamond" w:cs="Garamond"/>
          <w:color w:val="000000" w:themeColor="text1"/>
        </w:rPr>
      </w:pPr>
      <w:r w:rsidRPr="057D115D">
        <w:rPr>
          <w:rFonts w:eastAsia="Garamond" w:cs="Garamond"/>
          <w:b/>
          <w:bCs/>
          <w:color w:val="000000" w:themeColor="text1"/>
        </w:rPr>
        <w:lastRenderedPageBreak/>
        <w:t>Proposed Adjustments for Round 3 of mapping</w:t>
      </w:r>
    </w:p>
    <w:p w14:paraId="3A88CE19" w14:textId="5AA1F23C" w:rsidR="292ACC18" w:rsidRDefault="292ACC18" w:rsidP="1DF38C4A">
      <w:pPr>
        <w:rPr>
          <w:rFonts w:eastAsia="Garamond" w:cs="Garamond"/>
          <w:color w:val="000000" w:themeColor="text1"/>
        </w:rPr>
      </w:pPr>
      <w:r w:rsidRPr="4E1893D1">
        <w:rPr>
          <w:rFonts w:eastAsia="Garamond" w:cs="Garamond"/>
          <w:color w:val="000000" w:themeColor="text1"/>
        </w:rPr>
        <w:t>The</w:t>
      </w:r>
      <w:r w:rsidR="284D7192" w:rsidRPr="4E1893D1">
        <w:rPr>
          <w:rFonts w:eastAsia="Garamond" w:cs="Garamond"/>
          <w:color w:val="000000" w:themeColor="text1"/>
        </w:rPr>
        <w:t xml:space="preserve"> January 2021 PD included the</w:t>
      </w:r>
      <w:r w:rsidRPr="4E1893D1">
        <w:rPr>
          <w:rFonts w:eastAsia="Garamond" w:cs="Garamond"/>
          <w:color w:val="000000" w:themeColor="text1"/>
        </w:rPr>
        <w:t xml:space="preserve"> results of Round 2 of ma</w:t>
      </w:r>
      <w:r w:rsidR="440E515F" w:rsidRPr="4E1893D1">
        <w:rPr>
          <w:rFonts w:eastAsia="Garamond" w:cs="Garamond"/>
          <w:color w:val="000000" w:themeColor="text1"/>
        </w:rPr>
        <w:t>p</w:t>
      </w:r>
      <w:r w:rsidRPr="4E1893D1">
        <w:rPr>
          <w:rFonts w:eastAsia="Garamond" w:cs="Garamond"/>
          <w:color w:val="000000" w:themeColor="text1"/>
        </w:rPr>
        <w:t>p</w:t>
      </w:r>
      <w:r w:rsidR="7403F4D9" w:rsidRPr="4E1893D1">
        <w:rPr>
          <w:rFonts w:eastAsia="Garamond" w:cs="Garamond"/>
          <w:color w:val="000000" w:themeColor="text1"/>
        </w:rPr>
        <w:t>ing</w:t>
      </w:r>
      <w:r w:rsidR="07F629F6" w:rsidRPr="4E1893D1">
        <w:rPr>
          <w:rFonts w:eastAsia="Garamond" w:cs="Garamond"/>
          <w:color w:val="000000" w:themeColor="text1"/>
        </w:rPr>
        <w:t xml:space="preserve"> shown in Table 10</w:t>
      </w:r>
      <w:r w:rsidR="4F972857" w:rsidRPr="4E1893D1">
        <w:rPr>
          <w:rFonts w:eastAsia="Garamond" w:cs="Garamond"/>
          <w:color w:val="000000" w:themeColor="text1"/>
        </w:rPr>
        <w:t>,</w:t>
      </w:r>
      <w:r w:rsidR="7403F4D9" w:rsidRPr="4E1893D1">
        <w:rPr>
          <w:rFonts w:eastAsia="Garamond" w:cs="Garamond"/>
          <w:color w:val="000000" w:themeColor="text1"/>
        </w:rPr>
        <w:t xml:space="preserve"> </w:t>
      </w:r>
      <w:r w:rsidR="27C27225" w:rsidRPr="4E1893D1">
        <w:rPr>
          <w:rFonts w:eastAsia="Garamond" w:cs="Garamond"/>
          <w:color w:val="000000" w:themeColor="text1"/>
        </w:rPr>
        <w:t xml:space="preserve">and </w:t>
      </w:r>
      <w:r w:rsidR="215D5643" w:rsidRPr="0C79D6A3">
        <w:rPr>
          <w:rFonts w:eastAsia="Garamond" w:cs="Garamond"/>
          <w:color w:val="000000" w:themeColor="text1"/>
        </w:rPr>
        <w:t>parties</w:t>
      </w:r>
      <w:r w:rsidR="5FEE92AB" w:rsidRPr="4E1893D1">
        <w:rPr>
          <w:rFonts w:eastAsia="Garamond" w:cs="Garamond"/>
          <w:color w:val="000000" w:themeColor="text1"/>
        </w:rPr>
        <w:t xml:space="preserve"> were able to review and</w:t>
      </w:r>
      <w:r w:rsidR="5CC4CFBB" w:rsidRPr="4E1893D1">
        <w:rPr>
          <w:rFonts w:eastAsia="Garamond" w:cs="Garamond"/>
          <w:color w:val="000000" w:themeColor="text1"/>
        </w:rPr>
        <w:t xml:space="preserve"> provide </w:t>
      </w:r>
      <w:r w:rsidR="5FEE92AB" w:rsidRPr="4E1893D1">
        <w:rPr>
          <w:rFonts w:eastAsia="Garamond" w:cs="Garamond"/>
          <w:color w:val="000000" w:themeColor="text1"/>
        </w:rPr>
        <w:t>comment</w:t>
      </w:r>
      <w:r w:rsidR="6DA30FC0" w:rsidRPr="4E1893D1">
        <w:rPr>
          <w:rFonts w:eastAsia="Garamond" w:cs="Garamond"/>
          <w:color w:val="000000" w:themeColor="text1"/>
        </w:rPr>
        <w:t>s</w:t>
      </w:r>
      <w:r w:rsidR="5FEE92AB" w:rsidRPr="4E1893D1">
        <w:rPr>
          <w:rFonts w:eastAsia="Garamond" w:cs="Garamond"/>
          <w:color w:val="000000" w:themeColor="text1"/>
        </w:rPr>
        <w:t xml:space="preserve"> on the </w:t>
      </w:r>
      <w:r w:rsidR="34B02453" w:rsidRPr="4E1893D1">
        <w:rPr>
          <w:rFonts w:eastAsia="Garamond" w:cs="Garamond"/>
          <w:color w:val="000000" w:themeColor="text1"/>
        </w:rPr>
        <w:t>mapping</w:t>
      </w:r>
      <w:r w:rsidR="5FEE92AB" w:rsidRPr="4E1893D1">
        <w:rPr>
          <w:rFonts w:eastAsia="Garamond" w:cs="Garamond"/>
          <w:color w:val="000000" w:themeColor="text1"/>
        </w:rPr>
        <w:t xml:space="preserve">. </w:t>
      </w:r>
      <w:r w:rsidR="3DFF087B" w:rsidRPr="0C79D6A3">
        <w:rPr>
          <w:rFonts w:eastAsia="Garamond" w:cs="Garamond"/>
          <w:color w:val="000000" w:themeColor="text1"/>
        </w:rPr>
        <w:t xml:space="preserve">Following </w:t>
      </w:r>
      <w:r w:rsidR="2C51519F" w:rsidRPr="0C79D6A3">
        <w:rPr>
          <w:rFonts w:eastAsia="Garamond" w:cs="Garamond"/>
          <w:color w:val="000000" w:themeColor="text1"/>
        </w:rPr>
        <w:t>party</w:t>
      </w:r>
      <w:r w:rsidR="3DFF087B" w:rsidRPr="0C79D6A3">
        <w:rPr>
          <w:rFonts w:eastAsia="Garamond" w:cs="Garamond"/>
          <w:color w:val="000000" w:themeColor="text1"/>
        </w:rPr>
        <w:t xml:space="preserve"> </w:t>
      </w:r>
      <w:r w:rsidR="47A77906" w:rsidRPr="0C79D6A3">
        <w:rPr>
          <w:rFonts w:eastAsia="Garamond" w:cs="Garamond"/>
          <w:color w:val="000000" w:themeColor="text1"/>
        </w:rPr>
        <w:t>comments</w:t>
      </w:r>
      <w:r w:rsidR="3DFF087B" w:rsidRPr="0C79D6A3">
        <w:rPr>
          <w:rFonts w:eastAsia="Garamond" w:cs="Garamond"/>
          <w:color w:val="000000" w:themeColor="text1"/>
        </w:rPr>
        <w:t xml:space="preserve"> and replies </w:t>
      </w:r>
      <w:r w:rsidR="1B66BABB" w:rsidRPr="0C79D6A3">
        <w:rPr>
          <w:rFonts w:eastAsia="Garamond" w:cs="Garamond"/>
          <w:color w:val="000000" w:themeColor="text1"/>
        </w:rPr>
        <w:t xml:space="preserve">to the PD, </w:t>
      </w:r>
      <w:r w:rsidR="2B12F41F" w:rsidRPr="0C79D6A3">
        <w:rPr>
          <w:rFonts w:eastAsia="Garamond" w:cs="Garamond"/>
          <w:color w:val="000000" w:themeColor="text1"/>
        </w:rPr>
        <w:t xml:space="preserve">CPUC </w:t>
      </w:r>
      <w:r w:rsidR="1B66BABB" w:rsidRPr="0C79D6A3">
        <w:rPr>
          <w:rFonts w:eastAsia="Garamond" w:cs="Garamond"/>
          <w:color w:val="000000" w:themeColor="text1"/>
        </w:rPr>
        <w:t xml:space="preserve">staff </w:t>
      </w:r>
      <w:r w:rsidR="046D5350" w:rsidRPr="0C79D6A3">
        <w:rPr>
          <w:rFonts w:eastAsia="Garamond" w:cs="Garamond"/>
          <w:color w:val="000000" w:themeColor="text1"/>
        </w:rPr>
        <w:t>implemented</w:t>
      </w:r>
      <w:r w:rsidR="1B66BABB" w:rsidRPr="0C79D6A3">
        <w:rPr>
          <w:rFonts w:eastAsia="Garamond" w:cs="Garamond"/>
          <w:color w:val="000000" w:themeColor="text1"/>
        </w:rPr>
        <w:t xml:space="preserve"> the following adjustments</w:t>
      </w:r>
      <w:r w:rsidR="65F1CD07" w:rsidRPr="0C79D6A3">
        <w:rPr>
          <w:rFonts w:eastAsia="Garamond" w:cs="Garamond"/>
          <w:color w:val="000000" w:themeColor="text1"/>
        </w:rPr>
        <w:t>:</w:t>
      </w:r>
    </w:p>
    <w:p w14:paraId="037FB2C2" w14:textId="36A31AFF" w:rsidR="4645797E" w:rsidRDefault="4645797E" w:rsidP="1DF38C4A">
      <w:pPr>
        <w:rPr>
          <w:rFonts w:eastAsia="Garamond" w:cs="Garamond"/>
          <w:color w:val="000000" w:themeColor="text1"/>
        </w:rPr>
      </w:pPr>
    </w:p>
    <w:p w14:paraId="0FF0086A" w14:textId="356EAECA" w:rsidR="37464343" w:rsidRPr="005169DA" w:rsidRDefault="37464343" w:rsidP="005169DA">
      <w:pPr>
        <w:pStyle w:val="ListParagraph"/>
        <w:numPr>
          <w:ilvl w:val="0"/>
          <w:numId w:val="118"/>
        </w:numPr>
        <w:rPr>
          <w:rFonts w:eastAsia="Garamond" w:cs="Garamond"/>
          <w:color w:val="000000" w:themeColor="text1"/>
        </w:rPr>
      </w:pPr>
      <w:r w:rsidRPr="4E1893D1">
        <w:rPr>
          <w:rFonts w:eastAsia="Garamond" w:cs="Garamond"/>
          <w:color w:val="000000" w:themeColor="text1"/>
        </w:rPr>
        <w:t xml:space="preserve">Pumped Storage Hydro: remap </w:t>
      </w:r>
      <w:r w:rsidR="454B6C5A" w:rsidRPr="4E1893D1">
        <w:rPr>
          <w:rFonts w:eastAsia="Garamond" w:cs="Garamond"/>
          <w:color w:val="000000" w:themeColor="text1"/>
        </w:rPr>
        <w:t xml:space="preserve">a </w:t>
      </w:r>
      <w:r w:rsidR="454B6C5A" w:rsidRPr="0C79D6A3">
        <w:rPr>
          <w:rFonts w:eastAsia="Garamond" w:cs="Garamond"/>
          <w:color w:val="000000" w:themeColor="text1"/>
        </w:rPr>
        <w:t>portion</w:t>
      </w:r>
      <w:r w:rsidRPr="4E1893D1">
        <w:rPr>
          <w:rFonts w:eastAsia="Garamond" w:cs="Garamond"/>
          <w:color w:val="000000" w:themeColor="text1"/>
        </w:rPr>
        <w:t xml:space="preserve"> of the pump</w:t>
      </w:r>
      <w:r w:rsidR="38907716" w:rsidRPr="4E1893D1">
        <w:rPr>
          <w:rFonts w:eastAsia="Garamond" w:cs="Garamond"/>
          <w:color w:val="000000" w:themeColor="text1"/>
        </w:rPr>
        <w:t>ed</w:t>
      </w:r>
      <w:r w:rsidRPr="4E1893D1">
        <w:rPr>
          <w:rFonts w:eastAsia="Garamond" w:cs="Garamond"/>
          <w:color w:val="000000" w:themeColor="text1"/>
        </w:rPr>
        <w:t xml:space="preserve"> storage hydro resource</w:t>
      </w:r>
      <w:r w:rsidR="7D868933" w:rsidRPr="4E1893D1">
        <w:rPr>
          <w:rFonts w:eastAsia="Garamond" w:cs="Garamond"/>
          <w:color w:val="000000" w:themeColor="text1"/>
        </w:rPr>
        <w:t>s</w:t>
      </w:r>
      <w:r w:rsidRPr="4E1893D1">
        <w:rPr>
          <w:rFonts w:eastAsia="Garamond" w:cs="Garamond"/>
          <w:color w:val="000000" w:themeColor="text1"/>
        </w:rPr>
        <w:t xml:space="preserve"> to an additional busbar so that 314 MW</w:t>
      </w:r>
      <w:r w:rsidR="20AE313C" w:rsidRPr="4E1893D1">
        <w:rPr>
          <w:rFonts w:eastAsia="Garamond" w:cs="Garamond"/>
          <w:color w:val="000000" w:themeColor="text1"/>
        </w:rPr>
        <w:t>s</w:t>
      </w:r>
      <w:r w:rsidR="7C3C5560" w:rsidRPr="4E1893D1">
        <w:rPr>
          <w:rFonts w:eastAsia="Garamond" w:cs="Garamond"/>
          <w:color w:val="000000" w:themeColor="text1"/>
        </w:rPr>
        <w:t xml:space="preserve"> are mapped to Sycamore Canyon substation and 313</w:t>
      </w:r>
      <w:r w:rsidR="264ECD1E" w:rsidRPr="4E1893D1">
        <w:rPr>
          <w:rFonts w:eastAsia="Garamond" w:cs="Garamond"/>
          <w:color w:val="000000" w:themeColor="text1"/>
        </w:rPr>
        <w:t xml:space="preserve"> MWs</w:t>
      </w:r>
      <w:r w:rsidR="7C3C5560" w:rsidRPr="4E1893D1">
        <w:rPr>
          <w:rFonts w:eastAsia="Garamond" w:cs="Garamond"/>
          <w:color w:val="000000" w:themeColor="text1"/>
        </w:rPr>
        <w:t xml:space="preserve"> are mapped to Lee Lake</w:t>
      </w:r>
      <w:r w:rsidR="6F078CA8" w:rsidRPr="4E1893D1">
        <w:rPr>
          <w:rFonts w:eastAsia="Garamond" w:cs="Garamond"/>
          <w:color w:val="000000" w:themeColor="text1"/>
        </w:rPr>
        <w:t xml:space="preserve"> substation</w:t>
      </w:r>
      <w:r w:rsidR="7C3C5560" w:rsidRPr="4E1893D1">
        <w:rPr>
          <w:rFonts w:eastAsia="Garamond" w:cs="Garamond"/>
          <w:color w:val="000000" w:themeColor="text1"/>
        </w:rPr>
        <w:t>.</w:t>
      </w:r>
      <w:r w:rsidR="2F521434" w:rsidRPr="4E1893D1">
        <w:rPr>
          <w:rFonts w:eastAsia="Garamond" w:cs="Garamond"/>
          <w:color w:val="000000" w:themeColor="text1"/>
        </w:rPr>
        <w:t xml:space="preserve"> </w:t>
      </w:r>
      <w:r w:rsidR="73F4D397" w:rsidRPr="4E1893D1">
        <w:rPr>
          <w:rFonts w:eastAsia="Garamond" w:cs="Garamond"/>
          <w:color w:val="000000" w:themeColor="text1"/>
        </w:rPr>
        <w:t xml:space="preserve">This change makes the mapping of </w:t>
      </w:r>
      <w:r w:rsidR="3654C6A1" w:rsidRPr="4E1893D1">
        <w:rPr>
          <w:rFonts w:eastAsia="Garamond" w:cs="Garamond"/>
          <w:color w:val="000000" w:themeColor="text1"/>
        </w:rPr>
        <w:t>pumped</w:t>
      </w:r>
      <w:r w:rsidR="071BC742" w:rsidRPr="4E1893D1">
        <w:rPr>
          <w:rFonts w:eastAsia="Garamond" w:cs="Garamond"/>
          <w:color w:val="000000" w:themeColor="text1"/>
        </w:rPr>
        <w:t xml:space="preserve"> storage hydro resources more consistent with the </w:t>
      </w:r>
      <w:r w:rsidR="00677C05" w:rsidRPr="0C79D6A3">
        <w:rPr>
          <w:rFonts w:eastAsia="Garamond" w:cs="Garamond"/>
          <w:color w:val="000000" w:themeColor="text1"/>
        </w:rPr>
        <w:t>mapping</w:t>
      </w:r>
      <w:r w:rsidR="071BC742" w:rsidRPr="0C79D6A3">
        <w:rPr>
          <w:rFonts w:eastAsia="Garamond" w:cs="Garamond"/>
          <w:color w:val="000000" w:themeColor="text1"/>
        </w:rPr>
        <w:t xml:space="preserve"> </w:t>
      </w:r>
      <w:r w:rsidR="071BC742" w:rsidRPr="4E1893D1">
        <w:rPr>
          <w:rFonts w:eastAsia="Garamond" w:cs="Garamond"/>
          <w:color w:val="000000" w:themeColor="text1"/>
        </w:rPr>
        <w:t>of the 2020-</w:t>
      </w:r>
      <w:r w:rsidR="005B37D8">
        <w:rPr>
          <w:rFonts w:eastAsia="Garamond" w:cs="Garamond"/>
          <w:color w:val="000000" w:themeColor="text1"/>
        </w:rPr>
        <w:t>20</w:t>
      </w:r>
      <w:r w:rsidR="071BC742" w:rsidRPr="4E1893D1">
        <w:rPr>
          <w:rFonts w:eastAsia="Garamond" w:cs="Garamond"/>
          <w:color w:val="000000" w:themeColor="text1"/>
        </w:rPr>
        <w:t xml:space="preserve">21 TPP </w:t>
      </w:r>
      <w:r w:rsidR="624C9764" w:rsidRPr="4E1893D1">
        <w:rPr>
          <w:rFonts w:eastAsia="Garamond" w:cs="Garamond"/>
          <w:color w:val="000000" w:themeColor="text1"/>
        </w:rPr>
        <w:t>2019 RSP sensitivity portfolio</w:t>
      </w:r>
      <w:r w:rsidR="00294E7D">
        <w:rPr>
          <w:rFonts w:eastAsia="Garamond" w:cs="Garamond"/>
          <w:color w:val="000000" w:themeColor="text1"/>
        </w:rPr>
        <w:t>,</w:t>
      </w:r>
      <w:r w:rsidR="624C9764" w:rsidRPr="4E1893D1">
        <w:rPr>
          <w:rFonts w:eastAsia="Garamond" w:cs="Garamond"/>
          <w:color w:val="000000" w:themeColor="text1"/>
        </w:rPr>
        <w:t xml:space="preserve"> </w:t>
      </w:r>
      <w:r w:rsidR="071BC742" w:rsidRPr="4E1893D1">
        <w:rPr>
          <w:rFonts w:eastAsia="Garamond" w:cs="Garamond"/>
          <w:color w:val="000000" w:themeColor="text1"/>
        </w:rPr>
        <w:t>which had</w:t>
      </w:r>
      <w:r w:rsidR="327F2AC0" w:rsidRPr="4E1893D1">
        <w:rPr>
          <w:rFonts w:eastAsia="Garamond" w:cs="Garamond"/>
          <w:color w:val="000000" w:themeColor="text1"/>
        </w:rPr>
        <w:t xml:space="preserve"> pumped storage hydro resources</w:t>
      </w:r>
      <w:r w:rsidR="2205C96C" w:rsidRPr="4E1893D1">
        <w:rPr>
          <w:rFonts w:eastAsia="Garamond" w:cs="Garamond"/>
          <w:color w:val="000000" w:themeColor="text1"/>
        </w:rPr>
        <w:t xml:space="preserve"> mapped to multiple substations. </w:t>
      </w:r>
      <w:r w:rsidR="45F3CC49" w:rsidRPr="0C79D6A3">
        <w:rPr>
          <w:rFonts w:eastAsia="Garamond" w:cs="Garamond"/>
          <w:color w:val="000000" w:themeColor="text1"/>
        </w:rPr>
        <w:t>T</w:t>
      </w:r>
      <w:r w:rsidR="2205C96C" w:rsidRPr="0C79D6A3">
        <w:rPr>
          <w:rFonts w:eastAsia="Garamond" w:cs="Garamond"/>
          <w:color w:val="000000" w:themeColor="text1"/>
        </w:rPr>
        <w:t>his</w:t>
      </w:r>
      <w:r w:rsidR="2205C96C" w:rsidRPr="4E1893D1">
        <w:rPr>
          <w:rFonts w:eastAsia="Garamond" w:cs="Garamond"/>
          <w:color w:val="000000" w:themeColor="text1"/>
        </w:rPr>
        <w:t xml:space="preserve"> remapping</w:t>
      </w:r>
      <w:r w:rsidR="2F521434" w:rsidRPr="4E1893D1">
        <w:rPr>
          <w:rFonts w:eastAsia="Garamond" w:cs="Garamond"/>
          <w:color w:val="000000" w:themeColor="text1"/>
        </w:rPr>
        <w:t xml:space="preserve"> incorporates </w:t>
      </w:r>
      <w:r w:rsidR="0CDB1A23" w:rsidRPr="0C79D6A3">
        <w:rPr>
          <w:rFonts w:eastAsia="Garamond" w:cs="Garamond"/>
          <w:color w:val="000000" w:themeColor="text1"/>
        </w:rPr>
        <w:t xml:space="preserve">data </w:t>
      </w:r>
      <w:r w:rsidR="075A54DE" w:rsidRPr="0C79D6A3">
        <w:rPr>
          <w:rFonts w:eastAsia="Garamond" w:cs="Garamond"/>
          <w:color w:val="000000" w:themeColor="text1"/>
        </w:rPr>
        <w:t>on pumped storage hydro projects that have</w:t>
      </w:r>
      <w:r w:rsidR="0CDB1A23" w:rsidRPr="0C79D6A3">
        <w:rPr>
          <w:rFonts w:eastAsia="Garamond" w:cs="Garamond"/>
          <w:color w:val="000000" w:themeColor="text1"/>
        </w:rPr>
        <w:t xml:space="preserve"> active or pending preliminary permits</w:t>
      </w:r>
      <w:r w:rsidR="25CEAE6C" w:rsidRPr="0C79D6A3">
        <w:rPr>
          <w:rFonts w:eastAsia="Garamond" w:cs="Garamond"/>
          <w:color w:val="000000" w:themeColor="text1"/>
        </w:rPr>
        <w:t xml:space="preserve"> or license</w:t>
      </w:r>
      <w:r w:rsidR="6093F556" w:rsidRPr="0C79D6A3">
        <w:rPr>
          <w:rFonts w:eastAsia="Garamond" w:cs="Garamond"/>
          <w:color w:val="000000" w:themeColor="text1"/>
        </w:rPr>
        <w:t>s</w:t>
      </w:r>
      <w:r w:rsidR="0CDB1A23" w:rsidRPr="0C79D6A3">
        <w:rPr>
          <w:rFonts w:eastAsia="Garamond" w:cs="Garamond"/>
          <w:color w:val="000000" w:themeColor="text1"/>
        </w:rPr>
        <w:t xml:space="preserve"> </w:t>
      </w:r>
      <w:r w:rsidR="173C7AD4" w:rsidRPr="0C79D6A3">
        <w:rPr>
          <w:rFonts w:eastAsia="Garamond" w:cs="Garamond"/>
          <w:color w:val="000000" w:themeColor="text1"/>
        </w:rPr>
        <w:t>with the Federal Energy Regulatory Commissio</w:t>
      </w:r>
      <w:r w:rsidR="031C05EE" w:rsidRPr="0C79D6A3">
        <w:rPr>
          <w:rFonts w:eastAsia="Garamond" w:cs="Garamond"/>
          <w:color w:val="000000" w:themeColor="text1"/>
        </w:rPr>
        <w:t>n</w:t>
      </w:r>
      <w:r w:rsidR="173C7AD4" w:rsidRPr="0C79D6A3">
        <w:rPr>
          <w:rFonts w:eastAsia="Garamond" w:cs="Garamond"/>
          <w:color w:val="000000" w:themeColor="text1"/>
        </w:rPr>
        <w:t xml:space="preserve"> </w:t>
      </w:r>
      <w:r w:rsidR="0CDB1A23" w:rsidRPr="0C79D6A3">
        <w:rPr>
          <w:rFonts w:eastAsia="Garamond" w:cs="Garamond"/>
          <w:color w:val="000000" w:themeColor="text1"/>
        </w:rPr>
        <w:t xml:space="preserve">and </w:t>
      </w:r>
      <w:r w:rsidR="3658DF78" w:rsidRPr="0C79D6A3">
        <w:rPr>
          <w:rFonts w:eastAsia="Garamond" w:cs="Garamond"/>
          <w:color w:val="000000" w:themeColor="text1"/>
        </w:rPr>
        <w:t xml:space="preserve">data on </w:t>
      </w:r>
      <w:r w:rsidR="43500D2E" w:rsidRPr="0C79D6A3">
        <w:rPr>
          <w:rFonts w:eastAsia="Garamond" w:cs="Garamond"/>
          <w:color w:val="000000" w:themeColor="text1"/>
        </w:rPr>
        <w:t xml:space="preserve">projects formerly included in the CAISO interconnection queue. This </w:t>
      </w:r>
      <w:r w:rsidR="01F4F260" w:rsidRPr="0C79D6A3">
        <w:rPr>
          <w:rFonts w:eastAsia="Garamond" w:cs="Garamond"/>
          <w:color w:val="000000" w:themeColor="text1"/>
        </w:rPr>
        <w:t>information</w:t>
      </w:r>
      <w:r w:rsidR="43500D2E" w:rsidRPr="0C79D6A3">
        <w:rPr>
          <w:rFonts w:eastAsia="Garamond" w:cs="Garamond"/>
          <w:color w:val="000000" w:themeColor="text1"/>
        </w:rPr>
        <w:t xml:space="preserve"> </w:t>
      </w:r>
      <w:r w:rsidR="4D921965" w:rsidRPr="0C79D6A3">
        <w:rPr>
          <w:rFonts w:eastAsia="Garamond" w:cs="Garamond"/>
          <w:color w:val="000000" w:themeColor="text1"/>
        </w:rPr>
        <w:t>captures additional</w:t>
      </w:r>
      <w:r w:rsidR="0CDB1A23" w:rsidRPr="0C79D6A3">
        <w:rPr>
          <w:rFonts w:eastAsia="Garamond" w:cs="Garamond"/>
          <w:color w:val="000000" w:themeColor="text1"/>
        </w:rPr>
        <w:t xml:space="preserve"> </w:t>
      </w:r>
      <w:r w:rsidR="66E8C299" w:rsidRPr="4E1893D1">
        <w:rPr>
          <w:rFonts w:eastAsia="Garamond" w:cs="Garamond"/>
          <w:color w:val="000000" w:themeColor="text1"/>
        </w:rPr>
        <w:t xml:space="preserve">commercial interest that is not fully represented by the </w:t>
      </w:r>
      <w:r w:rsidR="79905D2F" w:rsidRPr="0C79D6A3">
        <w:rPr>
          <w:rFonts w:eastAsia="Garamond" w:cs="Garamond"/>
          <w:color w:val="000000" w:themeColor="text1"/>
        </w:rPr>
        <w:t xml:space="preserve">current </w:t>
      </w:r>
      <w:r w:rsidR="66E8C299" w:rsidRPr="4E1893D1">
        <w:rPr>
          <w:rFonts w:eastAsia="Garamond" w:cs="Garamond"/>
          <w:color w:val="000000" w:themeColor="text1"/>
        </w:rPr>
        <w:t>CAISO interconnection queue.</w:t>
      </w:r>
    </w:p>
    <w:p w14:paraId="7A3383DF" w14:textId="51055633" w:rsidR="7434859C" w:rsidRPr="005169DA" w:rsidRDefault="7434859C" w:rsidP="005169DA">
      <w:pPr>
        <w:pStyle w:val="ListParagraph"/>
        <w:numPr>
          <w:ilvl w:val="0"/>
          <w:numId w:val="118"/>
        </w:numPr>
        <w:rPr>
          <w:rFonts w:eastAsia="Garamond" w:cs="Garamond"/>
          <w:color w:val="000000" w:themeColor="text1"/>
        </w:rPr>
      </w:pPr>
      <w:r w:rsidRPr="4E1893D1">
        <w:rPr>
          <w:rFonts w:eastAsia="Garamond" w:cs="Garamond"/>
          <w:color w:val="000000" w:themeColor="text1"/>
        </w:rPr>
        <w:t xml:space="preserve">Greater </w:t>
      </w:r>
      <w:r w:rsidR="105A41DA" w:rsidRPr="4E1893D1">
        <w:rPr>
          <w:rFonts w:eastAsia="Garamond" w:cs="Garamond"/>
          <w:color w:val="000000" w:themeColor="text1"/>
        </w:rPr>
        <w:t>Imperial Geothermal: Add 600 MW of</w:t>
      </w:r>
      <w:r w:rsidR="63B206DA" w:rsidRPr="4E1893D1">
        <w:rPr>
          <w:rFonts w:eastAsia="Garamond" w:cs="Garamond"/>
          <w:color w:val="000000" w:themeColor="text1"/>
        </w:rPr>
        <w:t xml:space="preserve"> FD</w:t>
      </w:r>
      <w:r w:rsidR="105A41DA" w:rsidRPr="4E1893D1">
        <w:rPr>
          <w:rFonts w:eastAsia="Garamond" w:cs="Garamond"/>
          <w:color w:val="000000" w:themeColor="text1"/>
        </w:rPr>
        <w:t xml:space="preserve"> geothermal resources</w:t>
      </w:r>
      <w:r w:rsidR="00702BCE">
        <w:rPr>
          <w:rFonts w:eastAsia="Garamond" w:cs="Garamond"/>
          <w:color w:val="000000" w:themeColor="text1"/>
        </w:rPr>
        <w:t xml:space="preserve"> to the portfolio</w:t>
      </w:r>
      <w:r w:rsidR="105A41DA" w:rsidRPr="4E1893D1">
        <w:rPr>
          <w:rFonts w:eastAsia="Garamond" w:cs="Garamond"/>
          <w:color w:val="000000" w:themeColor="text1"/>
        </w:rPr>
        <w:t xml:space="preserve"> and map to </w:t>
      </w:r>
      <w:r w:rsidR="3BC0BC4B" w:rsidRPr="4E1893D1">
        <w:rPr>
          <w:rFonts w:eastAsia="Garamond" w:cs="Garamond"/>
          <w:color w:val="000000" w:themeColor="text1"/>
        </w:rPr>
        <w:t xml:space="preserve">the Bannister substation </w:t>
      </w:r>
      <w:r w:rsidR="105A41DA" w:rsidRPr="4E1893D1">
        <w:rPr>
          <w:rFonts w:eastAsia="Garamond" w:cs="Garamond"/>
          <w:color w:val="000000" w:themeColor="text1"/>
        </w:rPr>
        <w:t xml:space="preserve">in </w:t>
      </w:r>
      <w:r w:rsidR="0A77DD98" w:rsidRPr="4E1893D1">
        <w:rPr>
          <w:rFonts w:eastAsia="Garamond" w:cs="Garamond"/>
          <w:color w:val="000000" w:themeColor="text1"/>
        </w:rPr>
        <w:t xml:space="preserve">the Greater Imperial </w:t>
      </w:r>
      <w:r w:rsidR="2D0F64B5" w:rsidRPr="4E1893D1">
        <w:rPr>
          <w:rFonts w:eastAsia="Garamond" w:cs="Garamond"/>
          <w:color w:val="000000" w:themeColor="text1"/>
        </w:rPr>
        <w:t xml:space="preserve">transmission </w:t>
      </w:r>
      <w:r w:rsidR="0A77DD98" w:rsidRPr="4E1893D1">
        <w:rPr>
          <w:rFonts w:eastAsia="Garamond" w:cs="Garamond"/>
          <w:color w:val="000000" w:themeColor="text1"/>
        </w:rPr>
        <w:t>zone</w:t>
      </w:r>
      <w:r w:rsidR="76E185F9" w:rsidRPr="4E1893D1">
        <w:rPr>
          <w:rFonts w:eastAsia="Garamond" w:cs="Garamond"/>
          <w:color w:val="000000" w:themeColor="text1"/>
        </w:rPr>
        <w:t>, without substituting out resources currently in the portfolio.</w:t>
      </w:r>
      <w:r w:rsidR="748717AF" w:rsidRPr="4E1893D1">
        <w:rPr>
          <w:rFonts w:eastAsia="Garamond" w:cs="Garamond"/>
          <w:color w:val="000000" w:themeColor="text1"/>
        </w:rPr>
        <w:t xml:space="preserve"> </w:t>
      </w:r>
      <w:r w:rsidR="38A6B45E" w:rsidRPr="4E1893D1">
        <w:rPr>
          <w:rFonts w:eastAsia="Garamond" w:cs="Garamond"/>
          <w:color w:val="000000" w:themeColor="text1"/>
        </w:rPr>
        <w:t>The addition of geothermal i</w:t>
      </w:r>
      <w:r w:rsidR="5607B34E" w:rsidRPr="4E1893D1">
        <w:rPr>
          <w:rFonts w:eastAsia="Garamond" w:cs="Garamond"/>
          <w:color w:val="000000" w:themeColor="text1"/>
        </w:rPr>
        <w:t xml:space="preserve">mproves </w:t>
      </w:r>
      <w:r w:rsidR="706FFDB6" w:rsidRPr="4E1893D1">
        <w:rPr>
          <w:rFonts w:eastAsia="Garamond" w:cs="Garamond"/>
          <w:color w:val="000000" w:themeColor="text1"/>
        </w:rPr>
        <w:t xml:space="preserve">the portfolio mapping’s </w:t>
      </w:r>
      <w:r w:rsidR="5607B34E" w:rsidRPr="4E1893D1">
        <w:rPr>
          <w:rFonts w:eastAsia="Garamond" w:cs="Garamond"/>
          <w:color w:val="000000" w:themeColor="text1"/>
        </w:rPr>
        <w:t xml:space="preserve">consistency </w:t>
      </w:r>
      <w:r w:rsidR="073DC49F" w:rsidRPr="4E1893D1">
        <w:rPr>
          <w:rFonts w:eastAsia="Garamond" w:cs="Garamond"/>
          <w:color w:val="000000" w:themeColor="text1"/>
        </w:rPr>
        <w:t>with the</w:t>
      </w:r>
      <w:r w:rsidR="03949436" w:rsidRPr="4E1893D1">
        <w:rPr>
          <w:rFonts w:eastAsia="Garamond" w:cs="Garamond"/>
          <w:color w:val="000000" w:themeColor="text1"/>
        </w:rPr>
        <w:t xml:space="preserve"> resource portfolio mapped in</w:t>
      </w:r>
      <w:r w:rsidR="073DC49F" w:rsidRPr="4E1893D1">
        <w:rPr>
          <w:rFonts w:eastAsia="Garamond" w:cs="Garamond"/>
          <w:color w:val="000000" w:themeColor="text1"/>
        </w:rPr>
        <w:t xml:space="preserve"> the </w:t>
      </w:r>
      <w:r w:rsidR="748717AF" w:rsidRPr="4E1893D1">
        <w:rPr>
          <w:rFonts w:eastAsia="Garamond" w:cs="Garamond"/>
          <w:color w:val="000000" w:themeColor="text1"/>
        </w:rPr>
        <w:t>20</w:t>
      </w:r>
      <w:r w:rsidR="005B37D8">
        <w:rPr>
          <w:rFonts w:eastAsia="Garamond" w:cs="Garamond"/>
          <w:color w:val="000000" w:themeColor="text1"/>
        </w:rPr>
        <w:t>20</w:t>
      </w:r>
      <w:r w:rsidR="748717AF" w:rsidRPr="4E1893D1">
        <w:rPr>
          <w:rFonts w:eastAsia="Garamond" w:cs="Garamond"/>
          <w:color w:val="000000" w:themeColor="text1"/>
        </w:rPr>
        <w:t>-</w:t>
      </w:r>
      <w:r w:rsidR="005B37D8">
        <w:rPr>
          <w:rFonts w:eastAsia="Garamond" w:cs="Garamond"/>
          <w:color w:val="000000" w:themeColor="text1"/>
        </w:rPr>
        <w:t>20</w:t>
      </w:r>
      <w:r w:rsidR="748717AF" w:rsidRPr="4E1893D1">
        <w:rPr>
          <w:rFonts w:eastAsia="Garamond" w:cs="Garamond"/>
          <w:color w:val="000000" w:themeColor="text1"/>
        </w:rPr>
        <w:t xml:space="preserve">21 TPP base case, which had </w:t>
      </w:r>
      <w:r w:rsidR="3F90A6C1" w:rsidRPr="4E1893D1">
        <w:rPr>
          <w:rFonts w:eastAsia="Garamond" w:cs="Garamond"/>
          <w:color w:val="000000" w:themeColor="text1"/>
        </w:rPr>
        <w:t>604 MW of FD geothermal (</w:t>
      </w:r>
      <w:r w:rsidR="44ED3A13" w:rsidRPr="4E1893D1">
        <w:rPr>
          <w:rFonts w:eastAsia="Garamond" w:cs="Garamond"/>
          <w:color w:val="000000" w:themeColor="text1"/>
        </w:rPr>
        <w:t>and 652</w:t>
      </w:r>
      <w:r w:rsidR="3F90A6C1" w:rsidRPr="4E1893D1">
        <w:rPr>
          <w:rFonts w:eastAsia="Garamond" w:cs="Garamond"/>
          <w:color w:val="000000" w:themeColor="text1"/>
        </w:rPr>
        <w:t xml:space="preserve"> MW </w:t>
      </w:r>
      <w:r w:rsidR="459022D1" w:rsidRPr="4E1893D1">
        <w:rPr>
          <w:rFonts w:eastAsia="Garamond" w:cs="Garamond"/>
          <w:color w:val="000000" w:themeColor="text1"/>
        </w:rPr>
        <w:t>of EO</w:t>
      </w:r>
      <w:r w:rsidR="3F90A6C1" w:rsidRPr="4E1893D1">
        <w:rPr>
          <w:rFonts w:eastAsia="Garamond" w:cs="Garamond"/>
          <w:color w:val="000000" w:themeColor="text1"/>
        </w:rPr>
        <w:t xml:space="preserve">) mapped to </w:t>
      </w:r>
      <w:r w:rsidR="7DB22FF3" w:rsidRPr="4E1893D1">
        <w:rPr>
          <w:rFonts w:eastAsia="Garamond" w:cs="Garamond"/>
          <w:color w:val="000000" w:themeColor="text1"/>
        </w:rPr>
        <w:t>Greater I</w:t>
      </w:r>
      <w:r w:rsidR="3F90A6C1" w:rsidRPr="4E1893D1">
        <w:rPr>
          <w:rFonts w:eastAsia="Garamond" w:cs="Garamond"/>
          <w:color w:val="000000" w:themeColor="text1"/>
        </w:rPr>
        <w:t>mperial</w:t>
      </w:r>
      <w:r w:rsidR="6BF661AA" w:rsidRPr="4E1893D1">
        <w:rPr>
          <w:rFonts w:eastAsia="Garamond" w:cs="Garamond"/>
          <w:color w:val="000000" w:themeColor="text1"/>
        </w:rPr>
        <w:t xml:space="preserve">. </w:t>
      </w:r>
      <w:r w:rsidR="59B7A985" w:rsidRPr="4E1893D1">
        <w:rPr>
          <w:rFonts w:eastAsia="Garamond" w:cs="Garamond"/>
          <w:color w:val="000000" w:themeColor="text1"/>
        </w:rPr>
        <w:t>Additional geothermal further increase</w:t>
      </w:r>
      <w:r w:rsidR="238309F6" w:rsidRPr="4E1893D1">
        <w:rPr>
          <w:rFonts w:eastAsia="Garamond" w:cs="Garamond"/>
          <w:color w:val="000000" w:themeColor="text1"/>
        </w:rPr>
        <w:t>s</w:t>
      </w:r>
      <w:r w:rsidR="59B7A985" w:rsidRPr="4E1893D1">
        <w:rPr>
          <w:rFonts w:eastAsia="Garamond" w:cs="Garamond"/>
          <w:color w:val="000000" w:themeColor="text1"/>
        </w:rPr>
        <w:t xml:space="preserve"> the d</w:t>
      </w:r>
      <w:r w:rsidR="7BABDA89" w:rsidRPr="4E1893D1">
        <w:rPr>
          <w:rFonts w:eastAsia="Garamond" w:cs="Garamond"/>
          <w:color w:val="000000" w:themeColor="text1"/>
        </w:rPr>
        <w:t>iversity of resources</w:t>
      </w:r>
      <w:r w:rsidR="5A26722F" w:rsidRPr="4E1893D1">
        <w:rPr>
          <w:rFonts w:eastAsia="Garamond" w:cs="Garamond"/>
          <w:color w:val="000000" w:themeColor="text1"/>
        </w:rPr>
        <w:t xml:space="preserve"> in the portfolio</w:t>
      </w:r>
      <w:r w:rsidR="5F0F1134" w:rsidRPr="057D115D">
        <w:rPr>
          <w:rFonts w:eastAsia="Garamond" w:cs="Garamond"/>
          <w:color w:val="000000" w:themeColor="text1"/>
        </w:rPr>
        <w:t xml:space="preserve"> and </w:t>
      </w:r>
      <w:r w:rsidR="0A39B5F8" w:rsidRPr="057D115D">
        <w:rPr>
          <w:rFonts w:eastAsia="Garamond" w:cs="Garamond"/>
          <w:color w:val="000000" w:themeColor="text1"/>
        </w:rPr>
        <w:t>puts</w:t>
      </w:r>
      <w:r w:rsidR="1262E426" w:rsidRPr="057D115D">
        <w:rPr>
          <w:rFonts w:eastAsia="Garamond" w:cs="Garamond"/>
          <w:color w:val="000000" w:themeColor="text1"/>
        </w:rPr>
        <w:t xml:space="preserve"> </w:t>
      </w:r>
      <w:r w:rsidR="34CEBEC4" w:rsidRPr="057D115D">
        <w:rPr>
          <w:rFonts w:eastAsia="Garamond" w:cs="Garamond"/>
          <w:color w:val="000000" w:themeColor="text1"/>
        </w:rPr>
        <w:t xml:space="preserve">the portfolio </w:t>
      </w:r>
      <w:r w:rsidR="698C2890" w:rsidRPr="057D115D">
        <w:rPr>
          <w:rFonts w:eastAsia="Garamond" w:cs="Garamond"/>
          <w:color w:val="000000" w:themeColor="text1"/>
        </w:rPr>
        <w:t>on a path to lower GHG emissions.</w:t>
      </w:r>
      <w:r w:rsidR="6DBBD458" w:rsidRPr="4E1893D1">
        <w:rPr>
          <w:rFonts w:eastAsia="Garamond" w:cs="Garamond"/>
          <w:color w:val="000000" w:themeColor="text1"/>
        </w:rPr>
        <w:t xml:space="preserve"> Mapping the resource to the Great</w:t>
      </w:r>
      <w:r w:rsidR="2C067D0D" w:rsidRPr="4E1893D1">
        <w:rPr>
          <w:rFonts w:eastAsia="Garamond" w:cs="Garamond"/>
          <w:color w:val="000000" w:themeColor="text1"/>
        </w:rPr>
        <w:t>er</w:t>
      </w:r>
      <w:r w:rsidR="6DBBD458" w:rsidRPr="4E1893D1">
        <w:rPr>
          <w:rFonts w:eastAsia="Garamond" w:cs="Garamond"/>
          <w:color w:val="000000" w:themeColor="text1"/>
        </w:rPr>
        <w:t xml:space="preserve"> Imperial area </w:t>
      </w:r>
      <w:r w:rsidR="299D329E" w:rsidRPr="4E1893D1">
        <w:rPr>
          <w:rFonts w:eastAsia="Garamond" w:cs="Garamond"/>
          <w:color w:val="000000" w:themeColor="text1"/>
        </w:rPr>
        <w:t>aligns with the presence</w:t>
      </w:r>
      <w:r w:rsidR="2D5BBE03" w:rsidRPr="4E1893D1">
        <w:rPr>
          <w:rFonts w:eastAsia="Garamond" w:cs="Garamond"/>
          <w:color w:val="000000" w:themeColor="text1"/>
        </w:rPr>
        <w:t xml:space="preserve"> of</w:t>
      </w:r>
      <w:r w:rsidR="299D329E" w:rsidRPr="4E1893D1">
        <w:rPr>
          <w:rFonts w:eastAsia="Garamond" w:cs="Garamond"/>
          <w:color w:val="000000" w:themeColor="text1"/>
        </w:rPr>
        <w:t xml:space="preserve"> </w:t>
      </w:r>
      <w:r w:rsidR="56F44A3B" w:rsidRPr="4E1893D1">
        <w:rPr>
          <w:rFonts w:eastAsia="Garamond" w:cs="Garamond"/>
          <w:color w:val="000000" w:themeColor="text1"/>
        </w:rPr>
        <w:t>geothermal resources include</w:t>
      </w:r>
      <w:r w:rsidR="57787C5D" w:rsidRPr="4E1893D1">
        <w:rPr>
          <w:rFonts w:eastAsia="Garamond" w:cs="Garamond"/>
          <w:color w:val="000000" w:themeColor="text1"/>
        </w:rPr>
        <w:t>d</w:t>
      </w:r>
      <w:r w:rsidR="56F44A3B" w:rsidRPr="4E1893D1">
        <w:rPr>
          <w:rFonts w:eastAsia="Garamond" w:cs="Garamond"/>
          <w:color w:val="000000" w:themeColor="text1"/>
        </w:rPr>
        <w:t xml:space="preserve"> in LSE</w:t>
      </w:r>
      <w:r w:rsidR="00A2669D">
        <w:rPr>
          <w:rFonts w:eastAsia="Garamond" w:cs="Garamond"/>
          <w:color w:val="000000" w:themeColor="text1"/>
        </w:rPr>
        <w:t>s’</w:t>
      </w:r>
      <w:r w:rsidR="56F44A3B" w:rsidRPr="4E1893D1">
        <w:rPr>
          <w:rFonts w:eastAsia="Garamond" w:cs="Garamond"/>
          <w:color w:val="000000" w:themeColor="text1"/>
        </w:rPr>
        <w:t xml:space="preserve"> plans </w:t>
      </w:r>
      <w:r w:rsidR="6CEF56D9" w:rsidRPr="4E1893D1">
        <w:rPr>
          <w:rFonts w:eastAsia="Garamond" w:cs="Garamond"/>
          <w:color w:val="000000" w:themeColor="text1"/>
        </w:rPr>
        <w:t xml:space="preserve">and </w:t>
      </w:r>
      <w:r w:rsidR="7BABDA89" w:rsidRPr="4E1893D1">
        <w:rPr>
          <w:rFonts w:eastAsia="Garamond" w:cs="Garamond"/>
          <w:color w:val="000000" w:themeColor="text1"/>
        </w:rPr>
        <w:t xml:space="preserve">550 MW of </w:t>
      </w:r>
      <w:r w:rsidR="559286C5" w:rsidRPr="4E1893D1">
        <w:rPr>
          <w:rFonts w:eastAsia="Garamond" w:cs="Garamond"/>
          <w:color w:val="000000" w:themeColor="text1"/>
        </w:rPr>
        <w:t xml:space="preserve">geothermal </w:t>
      </w:r>
      <w:r w:rsidR="7BABDA89" w:rsidRPr="4E1893D1">
        <w:rPr>
          <w:rFonts w:eastAsia="Garamond" w:cs="Garamond"/>
          <w:color w:val="000000" w:themeColor="text1"/>
        </w:rPr>
        <w:t xml:space="preserve">commercial interest </w:t>
      </w:r>
      <w:r w:rsidR="1CBE49D5" w:rsidRPr="4E1893D1">
        <w:rPr>
          <w:rFonts w:eastAsia="Garamond" w:cs="Garamond"/>
          <w:color w:val="000000" w:themeColor="text1"/>
        </w:rPr>
        <w:t xml:space="preserve">listed in </w:t>
      </w:r>
      <w:r w:rsidR="7BABDA89" w:rsidRPr="4E1893D1">
        <w:rPr>
          <w:rFonts w:eastAsia="Garamond" w:cs="Garamond"/>
          <w:color w:val="000000" w:themeColor="text1"/>
        </w:rPr>
        <w:t>the Imperial Irrigation District’s interconnection queue.</w:t>
      </w:r>
    </w:p>
    <w:p w14:paraId="4ADC37F1" w14:textId="393D3602" w:rsidR="0AB23B2B" w:rsidRPr="005169DA" w:rsidRDefault="0AB23B2B" w:rsidP="005169DA">
      <w:pPr>
        <w:pStyle w:val="ListParagraph"/>
        <w:numPr>
          <w:ilvl w:val="0"/>
          <w:numId w:val="118"/>
        </w:numPr>
        <w:rPr>
          <w:rFonts w:eastAsia="Garamond" w:cs="Garamond"/>
          <w:color w:val="000000" w:themeColor="text1"/>
        </w:rPr>
      </w:pPr>
      <w:r w:rsidRPr="4E1893D1">
        <w:rPr>
          <w:rFonts w:eastAsia="Garamond" w:cs="Garamond"/>
          <w:color w:val="000000" w:themeColor="text1"/>
        </w:rPr>
        <w:t xml:space="preserve">Solano Geothermal: Add 51 MW of </w:t>
      </w:r>
      <w:r w:rsidR="36E8E8C5" w:rsidRPr="4E1893D1">
        <w:rPr>
          <w:rFonts w:eastAsia="Garamond" w:cs="Garamond"/>
          <w:color w:val="000000" w:themeColor="text1"/>
        </w:rPr>
        <w:t xml:space="preserve">FD </w:t>
      </w:r>
      <w:r w:rsidR="544AE834" w:rsidRPr="4E1893D1">
        <w:rPr>
          <w:rFonts w:eastAsia="Garamond" w:cs="Garamond"/>
          <w:color w:val="000000" w:themeColor="text1"/>
        </w:rPr>
        <w:t xml:space="preserve">Solano Geothermal </w:t>
      </w:r>
      <w:r w:rsidRPr="4E1893D1">
        <w:rPr>
          <w:rFonts w:eastAsia="Garamond" w:cs="Garamond"/>
          <w:color w:val="000000" w:themeColor="text1"/>
        </w:rPr>
        <w:t>and substitute out 57 MW of</w:t>
      </w:r>
      <w:r w:rsidR="55A01B02" w:rsidRPr="4E1893D1">
        <w:rPr>
          <w:rFonts w:eastAsia="Garamond" w:cs="Garamond"/>
          <w:color w:val="000000" w:themeColor="text1"/>
        </w:rPr>
        <w:t xml:space="preserve"> FD </w:t>
      </w:r>
      <w:r w:rsidRPr="4E1893D1">
        <w:rPr>
          <w:rFonts w:eastAsia="Garamond" w:cs="Garamond"/>
          <w:color w:val="000000" w:themeColor="text1"/>
        </w:rPr>
        <w:t xml:space="preserve">Solano </w:t>
      </w:r>
      <w:r w:rsidR="652B9A4C" w:rsidRPr="4E1893D1">
        <w:rPr>
          <w:rFonts w:eastAsia="Garamond" w:cs="Garamond"/>
          <w:color w:val="000000" w:themeColor="text1"/>
        </w:rPr>
        <w:t>S</w:t>
      </w:r>
      <w:r w:rsidRPr="4E1893D1">
        <w:rPr>
          <w:rFonts w:eastAsia="Garamond" w:cs="Garamond"/>
          <w:color w:val="000000" w:themeColor="text1"/>
        </w:rPr>
        <w:t xml:space="preserve">olar </w:t>
      </w:r>
      <w:r w:rsidR="06BCC4AD" w:rsidRPr="4E1893D1">
        <w:rPr>
          <w:rFonts w:eastAsia="Garamond" w:cs="Garamond"/>
          <w:color w:val="000000" w:themeColor="text1"/>
        </w:rPr>
        <w:t xml:space="preserve">and </w:t>
      </w:r>
      <w:r w:rsidRPr="4E1893D1">
        <w:rPr>
          <w:rFonts w:eastAsia="Garamond" w:cs="Garamond"/>
          <w:color w:val="000000" w:themeColor="text1"/>
        </w:rPr>
        <w:t>51 MW of co-locat</w:t>
      </w:r>
      <w:r w:rsidR="32507984" w:rsidRPr="4E1893D1">
        <w:rPr>
          <w:rFonts w:eastAsia="Garamond" w:cs="Garamond"/>
          <w:color w:val="000000" w:themeColor="text1"/>
        </w:rPr>
        <w:t xml:space="preserve">ed battery storage. </w:t>
      </w:r>
      <w:r w:rsidR="41AA50EB" w:rsidRPr="4E1893D1">
        <w:rPr>
          <w:rFonts w:eastAsia="Garamond" w:cs="Garamond"/>
          <w:color w:val="000000" w:themeColor="text1"/>
        </w:rPr>
        <w:t>This substitution addresses</w:t>
      </w:r>
      <w:r w:rsidR="32507984" w:rsidRPr="4E1893D1">
        <w:rPr>
          <w:rFonts w:eastAsia="Garamond" w:cs="Garamond"/>
          <w:color w:val="000000" w:themeColor="text1"/>
        </w:rPr>
        <w:t xml:space="preserve"> similar issues as noted for </w:t>
      </w:r>
      <w:r w:rsidR="49CEFA70" w:rsidRPr="4E1893D1">
        <w:rPr>
          <w:rFonts w:eastAsia="Garamond" w:cs="Garamond"/>
          <w:color w:val="000000" w:themeColor="text1"/>
        </w:rPr>
        <w:t xml:space="preserve">the addition of </w:t>
      </w:r>
      <w:r w:rsidR="6C8535A3" w:rsidRPr="4E1893D1">
        <w:rPr>
          <w:rFonts w:eastAsia="Garamond" w:cs="Garamond"/>
          <w:color w:val="000000" w:themeColor="text1"/>
        </w:rPr>
        <w:t>Greater I</w:t>
      </w:r>
      <w:r w:rsidR="32507984" w:rsidRPr="4E1893D1">
        <w:rPr>
          <w:rFonts w:eastAsia="Garamond" w:cs="Garamond"/>
          <w:color w:val="000000" w:themeColor="text1"/>
        </w:rPr>
        <w:t xml:space="preserve">mperial </w:t>
      </w:r>
      <w:r w:rsidR="0FD54E3A" w:rsidRPr="4E1893D1">
        <w:rPr>
          <w:rFonts w:eastAsia="Garamond" w:cs="Garamond"/>
          <w:color w:val="000000" w:themeColor="text1"/>
        </w:rPr>
        <w:t>G</w:t>
      </w:r>
      <w:r w:rsidR="32507984" w:rsidRPr="4E1893D1">
        <w:rPr>
          <w:rFonts w:eastAsia="Garamond" w:cs="Garamond"/>
          <w:color w:val="000000" w:themeColor="text1"/>
        </w:rPr>
        <w:t>eothermal</w:t>
      </w:r>
      <w:r w:rsidR="00583B27">
        <w:rPr>
          <w:rFonts w:eastAsia="Garamond" w:cs="Garamond"/>
          <w:color w:val="000000" w:themeColor="text1"/>
        </w:rPr>
        <w:t xml:space="preserve"> above</w:t>
      </w:r>
      <w:r w:rsidR="32507984" w:rsidRPr="4E1893D1">
        <w:rPr>
          <w:rFonts w:eastAsia="Garamond" w:cs="Garamond"/>
          <w:color w:val="000000" w:themeColor="text1"/>
        </w:rPr>
        <w:t xml:space="preserve">. </w:t>
      </w:r>
      <w:r w:rsidR="0219A14C" w:rsidRPr="4E1893D1">
        <w:rPr>
          <w:rFonts w:eastAsia="Garamond" w:cs="Garamond"/>
          <w:color w:val="000000" w:themeColor="text1"/>
        </w:rPr>
        <w:t xml:space="preserve">Additionally, </w:t>
      </w:r>
      <w:r w:rsidR="32507984" w:rsidRPr="4E1893D1">
        <w:rPr>
          <w:rFonts w:eastAsia="Garamond" w:cs="Garamond"/>
          <w:color w:val="000000" w:themeColor="text1"/>
        </w:rPr>
        <w:t xml:space="preserve">Solano geothermal was </w:t>
      </w:r>
      <w:r w:rsidR="6A0209CA" w:rsidRPr="4E1893D1">
        <w:rPr>
          <w:rFonts w:eastAsia="Garamond" w:cs="Garamond"/>
          <w:color w:val="000000" w:themeColor="text1"/>
        </w:rPr>
        <w:t>c</w:t>
      </w:r>
      <w:r w:rsidR="73C42BD4" w:rsidRPr="4E1893D1">
        <w:rPr>
          <w:rFonts w:eastAsia="Garamond" w:cs="Garamond"/>
          <w:color w:val="000000" w:themeColor="text1"/>
        </w:rPr>
        <w:t>hosen</w:t>
      </w:r>
      <w:r w:rsidR="47230F1F" w:rsidRPr="4E1893D1">
        <w:rPr>
          <w:rFonts w:eastAsia="Garamond" w:cs="Garamond"/>
          <w:color w:val="000000" w:themeColor="text1"/>
        </w:rPr>
        <w:t xml:space="preserve"> by RESOLVE</w:t>
      </w:r>
      <w:r w:rsidR="73C42BD4" w:rsidRPr="4E1893D1">
        <w:rPr>
          <w:rFonts w:eastAsia="Garamond" w:cs="Garamond"/>
          <w:color w:val="000000" w:themeColor="text1"/>
        </w:rPr>
        <w:t xml:space="preserve"> in the 38 </w:t>
      </w:r>
      <w:r w:rsidR="3BA4BE19" w:rsidRPr="4E1893D1">
        <w:rPr>
          <w:rFonts w:eastAsia="Garamond" w:cs="Garamond"/>
          <w:color w:val="000000" w:themeColor="text1"/>
        </w:rPr>
        <w:t xml:space="preserve">MMT portfolio. </w:t>
      </w:r>
      <w:r w:rsidR="690D4F06" w:rsidRPr="0C79D6A3">
        <w:rPr>
          <w:rFonts w:eastAsia="Garamond" w:cs="Garamond"/>
          <w:color w:val="000000" w:themeColor="text1"/>
        </w:rPr>
        <w:t>The</w:t>
      </w:r>
      <w:r w:rsidR="00544B06">
        <w:rPr>
          <w:rFonts w:eastAsia="Garamond" w:cs="Garamond"/>
          <w:color w:val="000000" w:themeColor="text1"/>
        </w:rPr>
        <w:t xml:space="preserve"> substitution of</w:t>
      </w:r>
      <w:r w:rsidR="3BA4BE19" w:rsidRPr="4E1893D1">
        <w:rPr>
          <w:rFonts w:eastAsia="Garamond" w:cs="Garamond"/>
          <w:color w:val="000000" w:themeColor="text1"/>
        </w:rPr>
        <w:t xml:space="preserve"> the solar and batter</w:t>
      </w:r>
      <w:r w:rsidR="00BDFEC7" w:rsidRPr="4E1893D1">
        <w:rPr>
          <w:rFonts w:eastAsia="Garamond" w:cs="Garamond"/>
          <w:color w:val="000000" w:themeColor="text1"/>
        </w:rPr>
        <w:t>y</w:t>
      </w:r>
      <w:r w:rsidR="3BA4BE19" w:rsidRPr="4E1893D1">
        <w:rPr>
          <w:rFonts w:eastAsia="Garamond" w:cs="Garamond"/>
          <w:color w:val="000000" w:themeColor="text1"/>
        </w:rPr>
        <w:t xml:space="preserve"> resources </w:t>
      </w:r>
      <w:r w:rsidR="70FA11DD" w:rsidRPr="0C79D6A3">
        <w:rPr>
          <w:rFonts w:eastAsia="Garamond" w:cs="Garamond"/>
          <w:color w:val="000000" w:themeColor="text1"/>
        </w:rPr>
        <w:t>is</w:t>
      </w:r>
      <w:r w:rsidR="00416E62">
        <w:rPr>
          <w:rFonts w:eastAsia="Garamond" w:cs="Garamond"/>
          <w:color w:val="000000" w:themeColor="text1"/>
        </w:rPr>
        <w:t xml:space="preserve"> necessary</w:t>
      </w:r>
      <w:r w:rsidR="732B874B" w:rsidRPr="4E1893D1">
        <w:rPr>
          <w:rFonts w:eastAsia="Garamond" w:cs="Garamond"/>
          <w:color w:val="000000" w:themeColor="text1"/>
        </w:rPr>
        <w:t xml:space="preserve"> in order</w:t>
      </w:r>
      <w:r w:rsidR="5F2A9760" w:rsidRPr="4E1893D1">
        <w:rPr>
          <w:rFonts w:eastAsia="Garamond" w:cs="Garamond"/>
          <w:color w:val="000000" w:themeColor="text1"/>
        </w:rPr>
        <w:t xml:space="preserve"> to include the 51 MW of geothermal</w:t>
      </w:r>
      <w:r w:rsidR="0084321B">
        <w:rPr>
          <w:rFonts w:eastAsia="Garamond" w:cs="Garamond"/>
          <w:color w:val="000000" w:themeColor="text1"/>
        </w:rPr>
        <w:t xml:space="preserve"> while </w:t>
      </w:r>
      <w:r w:rsidR="36080AC0" w:rsidRPr="4E1893D1">
        <w:rPr>
          <w:rFonts w:eastAsia="Garamond" w:cs="Garamond"/>
          <w:color w:val="000000" w:themeColor="text1"/>
        </w:rPr>
        <w:t>minimizing ratepayer costs</w:t>
      </w:r>
      <w:r w:rsidR="00D53B60">
        <w:rPr>
          <w:rFonts w:eastAsia="Garamond" w:cs="Garamond"/>
          <w:color w:val="000000" w:themeColor="text1"/>
        </w:rPr>
        <w:t>.</w:t>
      </w:r>
      <w:r w:rsidR="36080AC0" w:rsidRPr="4E1893D1">
        <w:rPr>
          <w:rFonts w:eastAsia="Garamond" w:cs="Garamond"/>
          <w:color w:val="000000" w:themeColor="text1"/>
        </w:rPr>
        <w:t xml:space="preserve"> </w:t>
      </w:r>
      <w:r w:rsidR="1793CCEF" w:rsidRPr="0C79D6A3">
        <w:rPr>
          <w:rFonts w:eastAsia="Garamond" w:cs="Garamond"/>
          <w:color w:val="000000" w:themeColor="text1"/>
        </w:rPr>
        <w:t>E</w:t>
      </w:r>
      <w:r w:rsidR="6C384291" w:rsidRPr="0C79D6A3">
        <w:rPr>
          <w:rFonts w:eastAsia="Garamond" w:cs="Garamond"/>
          <w:color w:val="000000" w:themeColor="text1"/>
        </w:rPr>
        <w:t>xceeding</w:t>
      </w:r>
      <w:r w:rsidR="36080AC0" w:rsidRPr="4E1893D1">
        <w:rPr>
          <w:rFonts w:eastAsia="Garamond" w:cs="Garamond"/>
          <w:color w:val="000000" w:themeColor="text1"/>
        </w:rPr>
        <w:t xml:space="preserve"> </w:t>
      </w:r>
      <w:r w:rsidR="006F3C54">
        <w:rPr>
          <w:rFonts w:eastAsia="Garamond" w:cs="Garamond"/>
          <w:color w:val="000000" w:themeColor="text1"/>
        </w:rPr>
        <w:t xml:space="preserve">the </w:t>
      </w:r>
      <w:r w:rsidR="36080AC0" w:rsidRPr="4E1893D1">
        <w:rPr>
          <w:rFonts w:eastAsia="Garamond" w:cs="Garamond"/>
          <w:color w:val="000000" w:themeColor="text1"/>
        </w:rPr>
        <w:t xml:space="preserve">transmission </w:t>
      </w:r>
      <w:r w:rsidR="6C384291" w:rsidRPr="0C79D6A3">
        <w:rPr>
          <w:rFonts w:eastAsia="Garamond" w:cs="Garamond"/>
          <w:color w:val="000000" w:themeColor="text1"/>
        </w:rPr>
        <w:t>limit</w:t>
      </w:r>
      <w:r w:rsidR="36080AC0" w:rsidRPr="4E1893D1" w:rsidDel="006F3C54">
        <w:rPr>
          <w:rFonts w:eastAsia="Garamond" w:cs="Garamond"/>
          <w:color w:val="000000" w:themeColor="text1"/>
        </w:rPr>
        <w:t xml:space="preserve"> </w:t>
      </w:r>
      <w:r w:rsidR="36080AC0" w:rsidRPr="4E1893D1">
        <w:rPr>
          <w:rFonts w:eastAsia="Garamond" w:cs="Garamond"/>
          <w:color w:val="000000" w:themeColor="text1"/>
        </w:rPr>
        <w:t xml:space="preserve">would lead to </w:t>
      </w:r>
      <w:r w:rsidR="6C384291" w:rsidRPr="0C79D6A3">
        <w:rPr>
          <w:rFonts w:eastAsia="Garamond" w:cs="Garamond"/>
          <w:color w:val="000000" w:themeColor="text1"/>
        </w:rPr>
        <w:t xml:space="preserve">investment that </w:t>
      </w:r>
      <w:r w:rsidR="60DC1A96" w:rsidRPr="0C79D6A3">
        <w:rPr>
          <w:rFonts w:eastAsia="Garamond" w:cs="Garamond"/>
          <w:color w:val="000000" w:themeColor="text1"/>
        </w:rPr>
        <w:t>is</w:t>
      </w:r>
      <w:r w:rsidR="78C4E904" w:rsidRPr="4E1893D1">
        <w:rPr>
          <w:rFonts w:eastAsia="Garamond" w:cs="Garamond"/>
          <w:color w:val="000000" w:themeColor="text1"/>
        </w:rPr>
        <w:t xml:space="preserve"> not required to accommodate the addition of the geothermal resource</w:t>
      </w:r>
      <w:r w:rsidRPr="4E1893D1" w:rsidDel="5F2A9760">
        <w:rPr>
          <w:rFonts w:eastAsia="Garamond" w:cs="Garamond"/>
          <w:color w:val="000000" w:themeColor="text1"/>
        </w:rPr>
        <w:t>.</w:t>
      </w:r>
    </w:p>
    <w:p w14:paraId="38774C6D" w14:textId="1F6DA4FB" w:rsidR="00957612" w:rsidRPr="005169DA" w:rsidRDefault="7FF41E7E" w:rsidP="005169DA">
      <w:pPr>
        <w:pStyle w:val="ListParagraph"/>
        <w:numPr>
          <w:ilvl w:val="0"/>
          <w:numId w:val="118"/>
        </w:numPr>
        <w:rPr>
          <w:rFonts w:eastAsia="Garamond" w:cs="Garamond"/>
          <w:color w:val="000000" w:themeColor="text1"/>
        </w:rPr>
      </w:pPr>
      <w:r w:rsidRPr="057D115D">
        <w:rPr>
          <w:rFonts w:eastAsia="Garamond" w:cs="Garamond"/>
          <w:color w:val="000000" w:themeColor="text1"/>
        </w:rPr>
        <w:t>Southern Nevada Solar</w:t>
      </w:r>
      <w:r w:rsidR="3D841EBE" w:rsidRPr="057D115D">
        <w:rPr>
          <w:rFonts w:eastAsia="Garamond" w:cs="Garamond"/>
          <w:color w:val="000000" w:themeColor="text1"/>
        </w:rPr>
        <w:t>:</w:t>
      </w:r>
      <w:r w:rsidR="0E213035" w:rsidRPr="057D115D">
        <w:rPr>
          <w:rFonts w:eastAsia="Garamond" w:cs="Garamond"/>
          <w:color w:val="000000" w:themeColor="text1"/>
        </w:rPr>
        <w:t xml:space="preserve"> Add 1</w:t>
      </w:r>
      <w:r w:rsidR="3D484C2A" w:rsidRPr="057D115D">
        <w:rPr>
          <w:rFonts w:eastAsia="Garamond" w:cs="Garamond"/>
          <w:color w:val="000000" w:themeColor="text1"/>
        </w:rPr>
        <w:t>,</w:t>
      </w:r>
      <w:r w:rsidR="0E213035" w:rsidRPr="057D115D">
        <w:rPr>
          <w:rFonts w:eastAsia="Garamond" w:cs="Garamond"/>
          <w:color w:val="000000" w:themeColor="text1"/>
        </w:rPr>
        <w:t xml:space="preserve">400 MW of EO </w:t>
      </w:r>
      <w:r w:rsidR="21812F06" w:rsidRPr="057D115D">
        <w:rPr>
          <w:rFonts w:eastAsia="Garamond" w:cs="Garamond"/>
          <w:color w:val="000000" w:themeColor="text1"/>
        </w:rPr>
        <w:t>Southern Nevada Solar</w:t>
      </w:r>
      <w:r w:rsidR="27380854" w:rsidRPr="057D115D">
        <w:rPr>
          <w:rFonts w:eastAsia="Garamond" w:cs="Garamond"/>
          <w:color w:val="000000" w:themeColor="text1"/>
        </w:rPr>
        <w:t xml:space="preserve"> and map to substations within GLW-VEA inner renewable transmission zone</w:t>
      </w:r>
      <w:r w:rsidR="1C0D4E27" w:rsidRPr="057D115D">
        <w:rPr>
          <w:rFonts w:eastAsia="Garamond" w:cs="Garamond"/>
          <w:color w:val="000000" w:themeColor="text1"/>
        </w:rPr>
        <w:t>.</w:t>
      </w:r>
      <w:r w:rsidR="1DACA8F1" w:rsidRPr="057D115D">
        <w:rPr>
          <w:rFonts w:eastAsia="Garamond" w:cs="Garamond"/>
          <w:color w:val="000000" w:themeColor="text1"/>
        </w:rPr>
        <w:t xml:space="preserve"> </w:t>
      </w:r>
      <w:r w:rsidR="5106BE7A" w:rsidRPr="057D115D">
        <w:rPr>
          <w:rFonts w:eastAsia="Garamond" w:cs="Garamond"/>
          <w:color w:val="000000" w:themeColor="text1"/>
        </w:rPr>
        <w:t xml:space="preserve"> </w:t>
      </w:r>
      <w:r w:rsidR="60771331" w:rsidRPr="057D115D">
        <w:rPr>
          <w:rFonts w:eastAsia="Garamond" w:cs="Garamond"/>
          <w:color w:val="000000" w:themeColor="text1"/>
        </w:rPr>
        <w:t>In</w:t>
      </w:r>
      <w:r w:rsidR="58662E1A" w:rsidRPr="057D115D">
        <w:rPr>
          <w:rFonts w:eastAsia="Garamond" w:cs="Garamond"/>
          <w:color w:val="000000" w:themeColor="text1"/>
        </w:rPr>
        <w:t xml:space="preserve"> proposing this adjust</w:t>
      </w:r>
      <w:r w:rsidR="65DBC7C9" w:rsidRPr="057D115D">
        <w:rPr>
          <w:rFonts w:eastAsia="Garamond" w:cs="Garamond"/>
          <w:color w:val="000000" w:themeColor="text1"/>
        </w:rPr>
        <w:t>ment</w:t>
      </w:r>
      <w:r w:rsidR="58662E1A" w:rsidRPr="057D115D">
        <w:rPr>
          <w:rFonts w:eastAsia="Garamond" w:cs="Garamond"/>
          <w:color w:val="000000" w:themeColor="text1"/>
        </w:rPr>
        <w:t>, CPUC staff focused analysis in the following areas:</w:t>
      </w:r>
    </w:p>
    <w:p w14:paraId="33A2980B" w14:textId="1E0F8CD6" w:rsidR="0065247B" w:rsidRDefault="4DA29BD0" w:rsidP="005169DA">
      <w:pPr>
        <w:pStyle w:val="ListParagraph"/>
        <w:numPr>
          <w:ilvl w:val="1"/>
          <w:numId w:val="118"/>
        </w:numPr>
        <w:rPr>
          <w:rFonts w:eastAsia="Garamond" w:cs="Garamond"/>
          <w:color w:val="000000" w:themeColor="text1"/>
        </w:rPr>
      </w:pPr>
      <w:r w:rsidRPr="005169DA">
        <w:rPr>
          <w:rFonts w:eastAsia="Garamond" w:cs="Garamond"/>
          <w:color w:val="000000" w:themeColor="text1"/>
        </w:rPr>
        <w:t xml:space="preserve">Consistency with prior year mappings: </w:t>
      </w:r>
      <w:r w:rsidR="097F5BD0" w:rsidRPr="005169DA">
        <w:rPr>
          <w:rFonts w:eastAsia="Garamond" w:cs="Garamond"/>
          <w:color w:val="000000" w:themeColor="text1"/>
        </w:rPr>
        <w:t>T</w:t>
      </w:r>
      <w:r w:rsidR="29E004D7" w:rsidRPr="005169DA">
        <w:rPr>
          <w:rFonts w:eastAsia="Garamond" w:cs="Garamond"/>
          <w:color w:val="000000" w:themeColor="text1"/>
        </w:rPr>
        <w:t xml:space="preserve">he 2020-2021 TPP base case portfolio had </w:t>
      </w:r>
      <w:r w:rsidR="008F2766" w:rsidRPr="005169DA">
        <w:rPr>
          <w:rFonts w:eastAsia="Garamond" w:cs="Garamond"/>
          <w:color w:val="000000" w:themeColor="text1"/>
        </w:rPr>
        <w:t xml:space="preserve">approximately </w:t>
      </w:r>
      <w:r w:rsidR="29E004D7" w:rsidRPr="005169DA">
        <w:rPr>
          <w:rFonts w:eastAsia="Garamond" w:cs="Garamond"/>
          <w:color w:val="000000" w:themeColor="text1"/>
        </w:rPr>
        <w:t>3,000 MW</w:t>
      </w:r>
      <w:r w:rsidR="4E384A2B" w:rsidRPr="005169DA">
        <w:rPr>
          <w:rFonts w:eastAsia="Garamond" w:cs="Garamond"/>
          <w:color w:val="000000" w:themeColor="text1"/>
        </w:rPr>
        <w:t xml:space="preserve"> </w:t>
      </w:r>
      <w:r w:rsidR="003A1A70" w:rsidRPr="005169DA">
        <w:rPr>
          <w:rFonts w:eastAsia="Garamond" w:cs="Garamond"/>
          <w:color w:val="000000" w:themeColor="text1"/>
        </w:rPr>
        <w:t xml:space="preserve">of </w:t>
      </w:r>
      <w:r w:rsidR="28EF3011" w:rsidRPr="005169DA">
        <w:rPr>
          <w:rFonts w:eastAsia="Garamond" w:cs="Garamond"/>
          <w:color w:val="000000" w:themeColor="text1"/>
        </w:rPr>
        <w:t xml:space="preserve">Southern Nevada Solar </w:t>
      </w:r>
      <w:r w:rsidR="003A1A70" w:rsidRPr="005169DA">
        <w:rPr>
          <w:rFonts w:eastAsia="Garamond" w:cs="Garamond"/>
          <w:color w:val="000000" w:themeColor="text1"/>
        </w:rPr>
        <w:t xml:space="preserve">selected </w:t>
      </w:r>
      <w:r w:rsidR="28EF3011" w:rsidRPr="005169DA">
        <w:rPr>
          <w:rFonts w:eastAsia="Garamond" w:cs="Garamond"/>
          <w:color w:val="000000" w:themeColor="text1"/>
        </w:rPr>
        <w:t xml:space="preserve">but as shown in </w:t>
      </w:r>
      <w:r w:rsidR="002829AA" w:rsidRPr="005169DA">
        <w:rPr>
          <w:rFonts w:eastAsia="Garamond" w:cs="Garamond"/>
          <w:color w:val="000000" w:themeColor="text1"/>
        </w:rPr>
        <w:fldChar w:fldCharType="begin"/>
      </w:r>
      <w:r w:rsidR="002829AA" w:rsidRPr="005169DA">
        <w:rPr>
          <w:rFonts w:eastAsia="Garamond" w:cs="Garamond"/>
          <w:color w:val="000000" w:themeColor="text1"/>
        </w:rPr>
        <w:instrText xml:space="preserve"> REF _Ref63665244 \h </w:instrText>
      </w:r>
      <w:r w:rsidR="002829AA" w:rsidRPr="005169DA">
        <w:rPr>
          <w:rFonts w:eastAsia="Garamond" w:cs="Garamond"/>
          <w:color w:val="000000" w:themeColor="text1"/>
        </w:rPr>
      </w:r>
      <w:r w:rsidR="002829AA" w:rsidRPr="005169DA">
        <w:rPr>
          <w:rFonts w:eastAsia="Garamond" w:cs="Garamond"/>
          <w:color w:val="000000" w:themeColor="text1"/>
        </w:rPr>
        <w:fldChar w:fldCharType="separate"/>
      </w:r>
      <w:r w:rsidR="002829AA">
        <w:t xml:space="preserve">Table </w:t>
      </w:r>
      <w:r w:rsidR="002829AA">
        <w:rPr>
          <w:noProof/>
        </w:rPr>
        <w:t>11</w:t>
      </w:r>
      <w:r w:rsidR="002829AA" w:rsidRPr="005169DA">
        <w:rPr>
          <w:rFonts w:eastAsia="Garamond" w:cs="Garamond"/>
          <w:color w:val="000000" w:themeColor="text1"/>
        </w:rPr>
        <w:fldChar w:fldCharType="end"/>
      </w:r>
      <w:r w:rsidR="28EF3011" w:rsidRPr="005169DA">
        <w:rPr>
          <w:rFonts w:eastAsia="Garamond" w:cs="Garamond"/>
          <w:color w:val="000000" w:themeColor="text1"/>
        </w:rPr>
        <w:t xml:space="preserve">, most of those resources were mapped to El Dorado or Mohave substations. In contrast, the 2020-2021 TPP 2019 RSP policy </w:t>
      </w:r>
      <w:r w:rsidR="01062042" w:rsidRPr="005169DA">
        <w:rPr>
          <w:rFonts w:eastAsia="Garamond" w:cs="Garamond"/>
          <w:color w:val="000000" w:themeColor="text1"/>
        </w:rPr>
        <w:t>driven</w:t>
      </w:r>
      <w:r w:rsidR="28EF3011" w:rsidRPr="005169DA">
        <w:rPr>
          <w:rFonts w:eastAsia="Garamond" w:cs="Garamond"/>
          <w:color w:val="000000" w:themeColor="text1"/>
        </w:rPr>
        <w:t xml:space="preserve"> port</w:t>
      </w:r>
      <w:r w:rsidR="2FEE209B" w:rsidRPr="005169DA">
        <w:rPr>
          <w:rFonts w:eastAsia="Garamond" w:cs="Garamond"/>
          <w:color w:val="000000" w:themeColor="text1"/>
        </w:rPr>
        <w:t>folio</w:t>
      </w:r>
      <w:r w:rsidR="6A50A304" w:rsidRPr="005169DA">
        <w:rPr>
          <w:rFonts w:eastAsia="Garamond" w:cs="Garamond"/>
          <w:color w:val="000000" w:themeColor="text1"/>
        </w:rPr>
        <w:t xml:space="preserve"> had </w:t>
      </w:r>
      <w:r w:rsidR="00134BA9" w:rsidRPr="005169DA">
        <w:rPr>
          <w:rFonts w:eastAsia="Garamond" w:cs="Garamond"/>
          <w:color w:val="000000" w:themeColor="text1"/>
        </w:rPr>
        <w:t xml:space="preserve">a </w:t>
      </w:r>
      <w:r w:rsidR="6A50A304" w:rsidRPr="005169DA">
        <w:rPr>
          <w:rFonts w:eastAsia="Garamond" w:cs="Garamond"/>
          <w:color w:val="000000" w:themeColor="text1"/>
        </w:rPr>
        <w:t xml:space="preserve">significant </w:t>
      </w:r>
      <w:r w:rsidR="00134BA9" w:rsidRPr="005169DA">
        <w:rPr>
          <w:rFonts w:eastAsia="Garamond" w:cs="Garamond"/>
          <w:color w:val="000000" w:themeColor="text1"/>
        </w:rPr>
        <w:t xml:space="preserve">amount of Arizona Solar selected and this was </w:t>
      </w:r>
      <w:r w:rsidR="6A50A304" w:rsidRPr="005169DA">
        <w:rPr>
          <w:rFonts w:eastAsia="Garamond" w:cs="Garamond"/>
          <w:color w:val="000000" w:themeColor="text1"/>
        </w:rPr>
        <w:t>mapped to</w:t>
      </w:r>
      <w:r w:rsidR="4E5C4D40" w:rsidRPr="005169DA">
        <w:rPr>
          <w:rFonts w:eastAsia="Garamond" w:cs="Garamond"/>
          <w:color w:val="000000" w:themeColor="text1"/>
        </w:rPr>
        <w:t xml:space="preserve"> </w:t>
      </w:r>
      <w:r w:rsidR="00134BA9" w:rsidRPr="005169DA">
        <w:rPr>
          <w:rFonts w:eastAsia="Garamond" w:cs="Garamond"/>
          <w:color w:val="000000" w:themeColor="text1"/>
        </w:rPr>
        <w:t xml:space="preserve">CAISO </w:t>
      </w:r>
      <w:r w:rsidR="4E5C4D40" w:rsidRPr="005169DA">
        <w:rPr>
          <w:rFonts w:eastAsia="Garamond" w:cs="Garamond"/>
          <w:color w:val="000000" w:themeColor="text1"/>
        </w:rPr>
        <w:t>substations</w:t>
      </w:r>
      <w:r w:rsidR="00134BA9" w:rsidRPr="005169DA">
        <w:rPr>
          <w:rFonts w:eastAsia="Garamond" w:cs="Garamond"/>
          <w:color w:val="000000" w:themeColor="text1"/>
        </w:rPr>
        <w:t xml:space="preserve"> in Arizona</w:t>
      </w:r>
      <w:r w:rsidR="4E5C4D40" w:rsidRPr="005169DA">
        <w:rPr>
          <w:rFonts w:eastAsia="Garamond" w:cs="Garamond"/>
          <w:color w:val="000000" w:themeColor="text1"/>
        </w:rPr>
        <w:t xml:space="preserve">. </w:t>
      </w:r>
    </w:p>
    <w:p w14:paraId="559ABA8B" w14:textId="77777777" w:rsidR="0065247B" w:rsidRDefault="0065247B">
      <w:pPr>
        <w:spacing w:after="160" w:line="259" w:lineRule="auto"/>
        <w:ind w:left="0"/>
        <w:rPr>
          <w:rFonts w:eastAsia="Garamond" w:cs="Garamond"/>
          <w:color w:val="000000" w:themeColor="text1"/>
        </w:rPr>
      </w:pPr>
      <w:r>
        <w:rPr>
          <w:rFonts w:eastAsia="Garamond" w:cs="Garamond"/>
          <w:color w:val="000000" w:themeColor="text1"/>
        </w:rPr>
        <w:br w:type="page"/>
      </w:r>
    </w:p>
    <w:p w14:paraId="4794445D" w14:textId="77777777" w:rsidR="4DA29BD0" w:rsidRPr="005169DA" w:rsidRDefault="4DA29BD0" w:rsidP="005169DA">
      <w:pPr>
        <w:pStyle w:val="ListParagraph"/>
        <w:numPr>
          <w:ilvl w:val="1"/>
          <w:numId w:val="118"/>
        </w:numPr>
        <w:rPr>
          <w:rFonts w:asciiTheme="minorHAnsi" w:eastAsiaTheme="minorEastAsia" w:hAnsiTheme="minorHAnsi" w:cstheme="minorBidi"/>
          <w:color w:val="000000" w:themeColor="text1"/>
        </w:rPr>
      </w:pPr>
    </w:p>
    <w:p w14:paraId="31C5BD69" w14:textId="64CF9F3C" w:rsidR="00C94E39" w:rsidRDefault="00C94E39" w:rsidP="005169DA">
      <w:pPr>
        <w:pStyle w:val="Caption"/>
        <w:keepNext/>
      </w:pPr>
      <w:bookmarkStart w:id="52" w:name="_Ref63665244"/>
      <w:r>
        <w:t xml:space="preserve">Table </w:t>
      </w:r>
      <w:r w:rsidR="00F02B49">
        <w:fldChar w:fldCharType="begin"/>
      </w:r>
      <w:r w:rsidR="00F02B49">
        <w:instrText xml:space="preserve"> SEQ Table \* ARABIC </w:instrText>
      </w:r>
      <w:r w:rsidR="00F02B49">
        <w:fldChar w:fldCharType="separate"/>
      </w:r>
      <w:r w:rsidR="001D72D3">
        <w:rPr>
          <w:noProof/>
        </w:rPr>
        <w:t>11</w:t>
      </w:r>
      <w:r w:rsidR="00F02B49">
        <w:rPr>
          <w:noProof/>
        </w:rPr>
        <w:fldChar w:fldCharType="end"/>
      </w:r>
      <w:bookmarkEnd w:id="52"/>
      <w:r>
        <w:t>. T</w:t>
      </w:r>
      <w:r w:rsidRPr="00C94E39">
        <w:t xml:space="preserve">otal amount of solar resources mapped to certain locations </w:t>
      </w:r>
      <w:r w:rsidR="001D72D3">
        <w:t>relevant to</w:t>
      </w:r>
      <w:r w:rsidRPr="00C94E39">
        <w:t xml:space="preserve"> Southern Nevada and Arizona</w:t>
      </w:r>
      <w:r w:rsidR="001D72D3">
        <w:t xml:space="preserve"> Solar</w:t>
      </w:r>
      <w:r w:rsidRPr="00C94E39">
        <w:t xml:space="preserve"> for the 46 MMT base case portfolio </w:t>
      </w:r>
      <w:r w:rsidR="001D72D3">
        <w:t>compared to 2020-2021 TPP portfolios</w:t>
      </w:r>
    </w:p>
    <w:tbl>
      <w:tblPr>
        <w:tblStyle w:val="TableGrid"/>
        <w:tblW w:w="9000" w:type="dxa"/>
        <w:tblInd w:w="360" w:type="dxa"/>
        <w:tblLayout w:type="fixed"/>
        <w:tblLook w:val="06A0" w:firstRow="1" w:lastRow="0" w:firstColumn="1" w:lastColumn="0" w:noHBand="1" w:noVBand="1"/>
      </w:tblPr>
      <w:tblGrid>
        <w:gridCol w:w="2235"/>
        <w:gridCol w:w="2265"/>
        <w:gridCol w:w="2145"/>
        <w:gridCol w:w="2355"/>
      </w:tblGrid>
      <w:tr w:rsidR="057D115D" w14:paraId="0A93E67D" w14:textId="77777777" w:rsidTr="005169DA">
        <w:tc>
          <w:tcPr>
            <w:tcW w:w="2235" w:type="dxa"/>
          </w:tcPr>
          <w:p w14:paraId="3C904AE2" w14:textId="606A0431" w:rsidR="2CA22D12" w:rsidRDefault="2CA22D12" w:rsidP="057D115D">
            <w:pPr>
              <w:rPr>
                <w:rFonts w:eastAsia="Garamond" w:cs="Garamond"/>
                <w:color w:val="000000" w:themeColor="text1"/>
              </w:rPr>
            </w:pPr>
            <w:r w:rsidRPr="057D115D">
              <w:rPr>
                <w:rFonts w:eastAsia="Garamond" w:cs="Garamond"/>
                <w:color w:val="000000" w:themeColor="text1"/>
              </w:rPr>
              <w:t>Location</w:t>
            </w:r>
          </w:p>
        </w:tc>
        <w:tc>
          <w:tcPr>
            <w:tcW w:w="2265" w:type="dxa"/>
          </w:tcPr>
          <w:p w14:paraId="7CB751F6" w14:textId="29268564" w:rsidR="2CA22D12" w:rsidRDefault="2CA22D12" w:rsidP="057D115D">
            <w:pPr>
              <w:rPr>
                <w:rFonts w:eastAsia="Garamond" w:cs="Garamond"/>
                <w:color w:val="000000" w:themeColor="text1"/>
              </w:rPr>
            </w:pPr>
            <w:r w:rsidRPr="7CF97DD6">
              <w:rPr>
                <w:rFonts w:eastAsia="Garamond" w:cs="Garamond"/>
                <w:color w:val="000000" w:themeColor="text1"/>
              </w:rPr>
              <w:t xml:space="preserve">46 MMT </w:t>
            </w:r>
            <w:r w:rsidR="1A0FB397" w:rsidRPr="7CF97DD6">
              <w:rPr>
                <w:rFonts w:eastAsia="Garamond" w:cs="Garamond"/>
                <w:color w:val="000000" w:themeColor="text1"/>
              </w:rPr>
              <w:t>p</w:t>
            </w:r>
            <w:r w:rsidRPr="7CF97DD6">
              <w:rPr>
                <w:rFonts w:eastAsia="Garamond" w:cs="Garamond"/>
                <w:color w:val="000000" w:themeColor="text1"/>
              </w:rPr>
              <w:t>ortfolio</w:t>
            </w:r>
            <w:r w:rsidR="6E78A0B2" w:rsidRPr="7CF97DD6">
              <w:rPr>
                <w:rFonts w:eastAsia="Garamond" w:cs="Garamond"/>
                <w:color w:val="000000" w:themeColor="text1"/>
              </w:rPr>
              <w:t>:</w:t>
            </w:r>
            <w:r w:rsidRPr="7CF97DD6">
              <w:rPr>
                <w:rFonts w:eastAsia="Garamond" w:cs="Garamond"/>
                <w:color w:val="000000" w:themeColor="text1"/>
              </w:rPr>
              <w:t xml:space="preserve"> </w:t>
            </w:r>
            <w:r w:rsidR="3394A3AF" w:rsidRPr="7CF97DD6">
              <w:rPr>
                <w:rFonts w:eastAsia="Garamond" w:cs="Garamond"/>
                <w:color w:val="000000" w:themeColor="text1"/>
              </w:rPr>
              <w:t xml:space="preserve">Round 2 </w:t>
            </w:r>
            <w:r w:rsidRPr="7CF97DD6">
              <w:rPr>
                <w:rFonts w:eastAsia="Garamond" w:cs="Garamond"/>
                <w:color w:val="000000" w:themeColor="text1"/>
              </w:rPr>
              <w:t>mapping (FD+EO)</w:t>
            </w:r>
          </w:p>
        </w:tc>
        <w:tc>
          <w:tcPr>
            <w:tcW w:w="2145" w:type="dxa"/>
          </w:tcPr>
          <w:p w14:paraId="17E58378" w14:textId="50C91104" w:rsidR="2CA22D12" w:rsidRDefault="2CA22D12" w:rsidP="057D115D">
            <w:pPr>
              <w:rPr>
                <w:rFonts w:eastAsia="Garamond" w:cs="Garamond"/>
                <w:color w:val="000000" w:themeColor="text1"/>
              </w:rPr>
            </w:pPr>
            <w:r w:rsidRPr="7CF97DD6">
              <w:rPr>
                <w:rFonts w:eastAsia="Garamond" w:cs="Garamond"/>
                <w:color w:val="000000" w:themeColor="text1"/>
              </w:rPr>
              <w:t>2020-21 TPP Base case</w:t>
            </w:r>
            <w:r w:rsidR="5C464E5A" w:rsidRPr="7CF97DD6">
              <w:rPr>
                <w:rFonts w:eastAsia="Garamond" w:cs="Garamond"/>
                <w:color w:val="000000" w:themeColor="text1"/>
              </w:rPr>
              <w:t xml:space="preserve"> portfolio</w:t>
            </w:r>
            <w:r w:rsidR="7475D607" w:rsidRPr="7CF97DD6">
              <w:rPr>
                <w:rFonts w:eastAsia="Garamond" w:cs="Garamond"/>
                <w:color w:val="000000" w:themeColor="text1"/>
              </w:rPr>
              <w:t>:</w:t>
            </w:r>
            <w:r w:rsidRPr="7CF97DD6">
              <w:rPr>
                <w:rFonts w:eastAsia="Garamond" w:cs="Garamond"/>
                <w:color w:val="000000" w:themeColor="text1"/>
              </w:rPr>
              <w:t xml:space="preserve"> </w:t>
            </w:r>
            <w:r w:rsidR="545E877F" w:rsidRPr="7CF97DD6">
              <w:rPr>
                <w:rFonts w:eastAsia="Garamond" w:cs="Garamond"/>
                <w:color w:val="000000" w:themeColor="text1"/>
              </w:rPr>
              <w:t xml:space="preserve">final </w:t>
            </w:r>
            <w:r w:rsidRPr="7CF97DD6">
              <w:rPr>
                <w:rFonts w:eastAsia="Garamond" w:cs="Garamond"/>
                <w:color w:val="000000" w:themeColor="text1"/>
              </w:rPr>
              <w:t>mapping (FD+EO)</w:t>
            </w:r>
          </w:p>
        </w:tc>
        <w:tc>
          <w:tcPr>
            <w:tcW w:w="2355" w:type="dxa"/>
          </w:tcPr>
          <w:p w14:paraId="3B99C28A" w14:textId="6E44697F" w:rsidR="044DF12B" w:rsidRDefault="044DF12B" w:rsidP="057D115D">
            <w:pPr>
              <w:rPr>
                <w:rFonts w:eastAsia="Garamond" w:cs="Garamond"/>
                <w:color w:val="000000" w:themeColor="text1"/>
              </w:rPr>
            </w:pPr>
            <w:r w:rsidRPr="7CF97DD6">
              <w:rPr>
                <w:rFonts w:eastAsia="Garamond" w:cs="Garamond"/>
                <w:color w:val="000000" w:themeColor="text1"/>
              </w:rPr>
              <w:t>2020-21 TPP 2019 RSP portfolio</w:t>
            </w:r>
            <w:r w:rsidR="0C2A7946" w:rsidRPr="7CF97DD6">
              <w:rPr>
                <w:rFonts w:eastAsia="Garamond" w:cs="Garamond"/>
                <w:color w:val="000000" w:themeColor="text1"/>
              </w:rPr>
              <w:t>:</w:t>
            </w:r>
            <w:r w:rsidRPr="7CF97DD6">
              <w:rPr>
                <w:rFonts w:eastAsia="Garamond" w:cs="Garamond"/>
                <w:color w:val="000000" w:themeColor="text1"/>
              </w:rPr>
              <w:t xml:space="preserve"> </w:t>
            </w:r>
            <w:r w:rsidR="1F307D63" w:rsidRPr="7CF97DD6">
              <w:rPr>
                <w:rFonts w:eastAsia="Garamond" w:cs="Garamond"/>
                <w:color w:val="000000" w:themeColor="text1"/>
              </w:rPr>
              <w:t xml:space="preserve">final </w:t>
            </w:r>
            <w:r w:rsidRPr="7CF97DD6">
              <w:rPr>
                <w:rFonts w:eastAsia="Garamond" w:cs="Garamond"/>
                <w:color w:val="000000" w:themeColor="text1"/>
              </w:rPr>
              <w:t>mapping (FD+EO)</w:t>
            </w:r>
          </w:p>
        </w:tc>
      </w:tr>
      <w:tr w:rsidR="057D115D" w14:paraId="40900C46" w14:textId="77777777" w:rsidTr="005169DA">
        <w:tc>
          <w:tcPr>
            <w:tcW w:w="2235" w:type="dxa"/>
          </w:tcPr>
          <w:p w14:paraId="221BC156" w14:textId="32B5F3CF" w:rsidR="2CA22D12" w:rsidRDefault="2CA22D12" w:rsidP="057D115D">
            <w:pPr>
              <w:rPr>
                <w:rFonts w:eastAsia="Garamond" w:cs="Garamond"/>
                <w:color w:val="000000" w:themeColor="text1"/>
              </w:rPr>
            </w:pPr>
            <w:r w:rsidRPr="057D115D">
              <w:rPr>
                <w:rFonts w:eastAsia="Garamond" w:cs="Garamond"/>
                <w:color w:val="000000" w:themeColor="text1"/>
              </w:rPr>
              <w:t xml:space="preserve">GLW-VEA </w:t>
            </w:r>
            <w:r w:rsidR="5A0D9EBA" w:rsidRPr="057D115D">
              <w:rPr>
                <w:rFonts w:eastAsia="Garamond" w:cs="Garamond"/>
                <w:color w:val="000000" w:themeColor="text1"/>
              </w:rPr>
              <w:t>t</w:t>
            </w:r>
            <w:r w:rsidRPr="057D115D">
              <w:rPr>
                <w:rFonts w:eastAsia="Garamond" w:cs="Garamond"/>
                <w:color w:val="000000" w:themeColor="text1"/>
              </w:rPr>
              <w:t>ransmission zone</w:t>
            </w:r>
            <w:r w:rsidR="0B779DE7" w:rsidRPr="057D115D">
              <w:rPr>
                <w:rFonts w:eastAsia="Garamond" w:cs="Garamond"/>
                <w:color w:val="000000" w:themeColor="text1"/>
              </w:rPr>
              <w:t xml:space="preserve"> substations</w:t>
            </w:r>
          </w:p>
        </w:tc>
        <w:tc>
          <w:tcPr>
            <w:tcW w:w="2265" w:type="dxa"/>
          </w:tcPr>
          <w:p w14:paraId="79B97798" w14:textId="2A36DADC" w:rsidR="2CA22D12" w:rsidRDefault="2CA22D12" w:rsidP="00897654">
            <w:pPr>
              <w:jc w:val="right"/>
              <w:rPr>
                <w:rFonts w:eastAsia="Garamond" w:cs="Garamond"/>
                <w:color w:val="000000" w:themeColor="text1"/>
              </w:rPr>
            </w:pPr>
            <w:r w:rsidRPr="057D115D">
              <w:rPr>
                <w:rFonts w:eastAsia="Garamond" w:cs="Garamond"/>
                <w:color w:val="000000" w:themeColor="text1"/>
              </w:rPr>
              <w:t>624 MW</w:t>
            </w:r>
          </w:p>
        </w:tc>
        <w:tc>
          <w:tcPr>
            <w:tcW w:w="2145" w:type="dxa"/>
          </w:tcPr>
          <w:p w14:paraId="325BE7D4" w14:textId="5A002B7D" w:rsidR="2CA22D12" w:rsidRDefault="2CA22D12" w:rsidP="00897654">
            <w:pPr>
              <w:jc w:val="right"/>
              <w:rPr>
                <w:rFonts w:eastAsia="Garamond" w:cs="Garamond"/>
                <w:color w:val="000000" w:themeColor="text1"/>
              </w:rPr>
            </w:pPr>
            <w:r w:rsidRPr="057D115D">
              <w:rPr>
                <w:rFonts w:eastAsia="Garamond" w:cs="Garamond"/>
                <w:color w:val="000000" w:themeColor="text1"/>
              </w:rPr>
              <w:t>700 MW</w:t>
            </w:r>
          </w:p>
        </w:tc>
        <w:tc>
          <w:tcPr>
            <w:tcW w:w="2355" w:type="dxa"/>
          </w:tcPr>
          <w:p w14:paraId="253A5862" w14:textId="06C09D2D" w:rsidR="36B49072" w:rsidRDefault="36B49072" w:rsidP="00897654">
            <w:pPr>
              <w:jc w:val="right"/>
              <w:rPr>
                <w:rFonts w:eastAsia="Garamond" w:cs="Garamond"/>
                <w:color w:val="000000" w:themeColor="text1"/>
              </w:rPr>
            </w:pPr>
            <w:r w:rsidRPr="057D115D">
              <w:rPr>
                <w:rFonts w:eastAsia="Garamond" w:cs="Garamond"/>
                <w:color w:val="000000" w:themeColor="text1"/>
              </w:rPr>
              <w:t>700 MW</w:t>
            </w:r>
          </w:p>
        </w:tc>
      </w:tr>
      <w:tr w:rsidR="057D115D" w14:paraId="5CF8402E" w14:textId="77777777" w:rsidTr="005169DA">
        <w:tc>
          <w:tcPr>
            <w:tcW w:w="2235" w:type="dxa"/>
          </w:tcPr>
          <w:p w14:paraId="72389773" w14:textId="7CEBEE26" w:rsidR="2CA22D12" w:rsidRDefault="2CA22D12" w:rsidP="057D115D">
            <w:pPr>
              <w:rPr>
                <w:rFonts w:eastAsia="Garamond" w:cs="Garamond"/>
                <w:color w:val="000000" w:themeColor="text1"/>
              </w:rPr>
            </w:pPr>
            <w:r w:rsidRPr="7CF97DD6">
              <w:rPr>
                <w:rFonts w:eastAsia="Garamond" w:cs="Garamond"/>
                <w:color w:val="000000" w:themeColor="text1"/>
              </w:rPr>
              <w:t>El Dorado substation</w:t>
            </w:r>
            <w:r w:rsidR="1E4A2AD6" w:rsidRPr="7CF97DD6">
              <w:rPr>
                <w:rFonts w:eastAsia="Garamond" w:cs="Garamond"/>
                <w:color w:val="000000" w:themeColor="text1"/>
              </w:rPr>
              <w:t xml:space="preserve"> (230 kV and 500 kV)</w:t>
            </w:r>
          </w:p>
        </w:tc>
        <w:tc>
          <w:tcPr>
            <w:tcW w:w="2265" w:type="dxa"/>
          </w:tcPr>
          <w:p w14:paraId="57951F30" w14:textId="63F6458A" w:rsidR="2CA22D12" w:rsidRDefault="2CA22D12" w:rsidP="00897654">
            <w:pPr>
              <w:jc w:val="right"/>
              <w:rPr>
                <w:rFonts w:eastAsia="Garamond" w:cs="Garamond"/>
                <w:color w:val="000000" w:themeColor="text1"/>
              </w:rPr>
            </w:pPr>
            <w:r w:rsidRPr="057D115D">
              <w:rPr>
                <w:rFonts w:eastAsia="Garamond" w:cs="Garamond"/>
                <w:color w:val="000000" w:themeColor="text1"/>
              </w:rPr>
              <w:t>248</w:t>
            </w:r>
            <w:r w:rsidR="115A0229" w:rsidRPr="057D115D">
              <w:rPr>
                <w:rFonts w:eastAsia="Garamond" w:cs="Garamond"/>
                <w:color w:val="000000" w:themeColor="text1"/>
              </w:rPr>
              <w:t xml:space="preserve"> MW</w:t>
            </w:r>
          </w:p>
        </w:tc>
        <w:tc>
          <w:tcPr>
            <w:tcW w:w="2145" w:type="dxa"/>
          </w:tcPr>
          <w:p w14:paraId="453533C1" w14:textId="405C5121" w:rsidR="115A0229" w:rsidRDefault="115A0229" w:rsidP="00897654">
            <w:pPr>
              <w:jc w:val="right"/>
              <w:rPr>
                <w:rFonts w:eastAsia="Garamond" w:cs="Garamond"/>
                <w:color w:val="000000" w:themeColor="text1"/>
              </w:rPr>
            </w:pPr>
            <w:r w:rsidRPr="057D115D">
              <w:rPr>
                <w:rFonts w:eastAsia="Garamond" w:cs="Garamond"/>
                <w:color w:val="000000" w:themeColor="text1"/>
              </w:rPr>
              <w:t>1,070 MW</w:t>
            </w:r>
          </w:p>
        </w:tc>
        <w:tc>
          <w:tcPr>
            <w:tcW w:w="2355" w:type="dxa"/>
          </w:tcPr>
          <w:p w14:paraId="1B015F67" w14:textId="573E6BDE" w:rsidR="7358AFA8" w:rsidRDefault="7358AFA8" w:rsidP="00897654">
            <w:pPr>
              <w:jc w:val="right"/>
              <w:rPr>
                <w:rFonts w:eastAsia="Garamond" w:cs="Garamond"/>
                <w:color w:val="000000" w:themeColor="text1"/>
              </w:rPr>
            </w:pPr>
            <w:r w:rsidRPr="057D115D">
              <w:rPr>
                <w:rFonts w:eastAsia="Garamond" w:cs="Garamond"/>
                <w:color w:val="000000" w:themeColor="text1"/>
              </w:rPr>
              <w:t>410 MW</w:t>
            </w:r>
          </w:p>
        </w:tc>
      </w:tr>
      <w:tr w:rsidR="057D115D" w14:paraId="4DC134A3" w14:textId="77777777" w:rsidTr="005169DA">
        <w:tc>
          <w:tcPr>
            <w:tcW w:w="2235" w:type="dxa"/>
          </w:tcPr>
          <w:p w14:paraId="775E2ECC" w14:textId="360B3DF6" w:rsidR="115A0229" w:rsidRDefault="115A0229" w:rsidP="057D115D">
            <w:pPr>
              <w:rPr>
                <w:rFonts w:eastAsia="Garamond" w:cs="Garamond"/>
                <w:color w:val="000000" w:themeColor="text1"/>
              </w:rPr>
            </w:pPr>
            <w:r w:rsidRPr="057D115D">
              <w:rPr>
                <w:rFonts w:eastAsia="Garamond" w:cs="Garamond"/>
                <w:color w:val="000000" w:themeColor="text1"/>
              </w:rPr>
              <w:t>Mohave</w:t>
            </w:r>
            <w:r w:rsidR="6A805398" w:rsidRPr="057D115D">
              <w:rPr>
                <w:rFonts w:eastAsia="Garamond" w:cs="Garamond"/>
                <w:color w:val="000000" w:themeColor="text1"/>
              </w:rPr>
              <w:t xml:space="preserve"> 500 kV</w:t>
            </w:r>
            <w:r w:rsidRPr="057D115D">
              <w:rPr>
                <w:rFonts w:eastAsia="Garamond" w:cs="Garamond"/>
                <w:color w:val="000000" w:themeColor="text1"/>
              </w:rPr>
              <w:t xml:space="preserve"> substation</w:t>
            </w:r>
          </w:p>
        </w:tc>
        <w:tc>
          <w:tcPr>
            <w:tcW w:w="2265" w:type="dxa"/>
          </w:tcPr>
          <w:p w14:paraId="019C8B68" w14:textId="356852F5" w:rsidR="115A0229" w:rsidRDefault="115A0229" w:rsidP="00897654">
            <w:pPr>
              <w:jc w:val="right"/>
              <w:rPr>
                <w:rFonts w:eastAsia="Garamond" w:cs="Garamond"/>
                <w:color w:val="000000" w:themeColor="text1"/>
              </w:rPr>
            </w:pPr>
            <w:r w:rsidRPr="057D115D">
              <w:rPr>
                <w:rFonts w:eastAsia="Garamond" w:cs="Garamond"/>
                <w:color w:val="000000" w:themeColor="text1"/>
              </w:rPr>
              <w:t>568 MW</w:t>
            </w:r>
          </w:p>
        </w:tc>
        <w:tc>
          <w:tcPr>
            <w:tcW w:w="2145" w:type="dxa"/>
          </w:tcPr>
          <w:p w14:paraId="11CC98CE" w14:textId="7219BF74" w:rsidR="115A0229" w:rsidRDefault="115A0229" w:rsidP="00897654">
            <w:pPr>
              <w:jc w:val="right"/>
              <w:rPr>
                <w:rFonts w:eastAsia="Garamond" w:cs="Garamond"/>
                <w:color w:val="000000" w:themeColor="text1"/>
              </w:rPr>
            </w:pPr>
            <w:r w:rsidRPr="057D115D">
              <w:rPr>
                <w:rFonts w:eastAsia="Garamond" w:cs="Garamond"/>
                <w:color w:val="000000" w:themeColor="text1"/>
              </w:rPr>
              <w:t>1,236 MW</w:t>
            </w:r>
          </w:p>
        </w:tc>
        <w:tc>
          <w:tcPr>
            <w:tcW w:w="2355" w:type="dxa"/>
          </w:tcPr>
          <w:p w14:paraId="205E01F7" w14:textId="4C2A4EE5" w:rsidR="1DA8AE9D" w:rsidRDefault="1DA8AE9D" w:rsidP="00897654">
            <w:pPr>
              <w:jc w:val="right"/>
              <w:rPr>
                <w:rFonts w:eastAsia="Garamond" w:cs="Garamond"/>
                <w:color w:val="000000" w:themeColor="text1"/>
              </w:rPr>
            </w:pPr>
            <w:r w:rsidRPr="057D115D">
              <w:rPr>
                <w:rFonts w:eastAsia="Garamond" w:cs="Garamond"/>
                <w:color w:val="000000" w:themeColor="text1"/>
              </w:rPr>
              <w:t>330 MW</w:t>
            </w:r>
          </w:p>
        </w:tc>
      </w:tr>
      <w:tr w:rsidR="057D115D" w14:paraId="00520323" w14:textId="77777777" w:rsidTr="005169DA">
        <w:tc>
          <w:tcPr>
            <w:tcW w:w="2235" w:type="dxa"/>
          </w:tcPr>
          <w:p w14:paraId="4CE1A0B9" w14:textId="3612286B" w:rsidR="115A0229" w:rsidRDefault="115A0229" w:rsidP="057D115D">
            <w:pPr>
              <w:rPr>
                <w:rFonts w:eastAsia="Garamond" w:cs="Garamond"/>
                <w:color w:val="000000" w:themeColor="text1"/>
              </w:rPr>
            </w:pPr>
            <w:r w:rsidRPr="057D115D">
              <w:rPr>
                <w:rFonts w:eastAsia="Garamond" w:cs="Garamond"/>
                <w:color w:val="000000" w:themeColor="text1"/>
              </w:rPr>
              <w:t xml:space="preserve">Arizona </w:t>
            </w:r>
            <w:r w:rsidR="0CDEAD6D" w:rsidRPr="057D115D">
              <w:rPr>
                <w:rFonts w:eastAsia="Garamond" w:cs="Garamond"/>
                <w:color w:val="000000" w:themeColor="text1"/>
              </w:rPr>
              <w:t>substations</w:t>
            </w:r>
          </w:p>
        </w:tc>
        <w:tc>
          <w:tcPr>
            <w:tcW w:w="2265" w:type="dxa"/>
          </w:tcPr>
          <w:p w14:paraId="69B48369" w14:textId="181E0DBB" w:rsidR="756BB0D4" w:rsidRDefault="756BB0D4" w:rsidP="00897654">
            <w:pPr>
              <w:jc w:val="right"/>
              <w:rPr>
                <w:rFonts w:eastAsia="Garamond" w:cs="Garamond"/>
                <w:color w:val="000000" w:themeColor="text1"/>
              </w:rPr>
            </w:pPr>
            <w:r w:rsidRPr="057D115D">
              <w:rPr>
                <w:rFonts w:eastAsia="Garamond" w:cs="Garamond"/>
                <w:color w:val="000000" w:themeColor="text1"/>
              </w:rPr>
              <w:t>2,352 MW</w:t>
            </w:r>
          </w:p>
        </w:tc>
        <w:tc>
          <w:tcPr>
            <w:tcW w:w="2145" w:type="dxa"/>
          </w:tcPr>
          <w:p w14:paraId="64A5B784" w14:textId="64341D1F" w:rsidR="75B65933" w:rsidRDefault="75B65933" w:rsidP="00897654">
            <w:pPr>
              <w:jc w:val="right"/>
              <w:rPr>
                <w:rFonts w:eastAsia="Garamond" w:cs="Garamond"/>
                <w:color w:val="000000" w:themeColor="text1"/>
              </w:rPr>
            </w:pPr>
            <w:r w:rsidRPr="057D115D">
              <w:rPr>
                <w:rFonts w:eastAsia="Garamond" w:cs="Garamond"/>
                <w:color w:val="000000" w:themeColor="text1"/>
              </w:rPr>
              <w:t>428 MW</w:t>
            </w:r>
          </w:p>
        </w:tc>
        <w:tc>
          <w:tcPr>
            <w:tcW w:w="2355" w:type="dxa"/>
          </w:tcPr>
          <w:p w14:paraId="0632DEA6" w14:textId="4C1DD408" w:rsidR="43C6C261" w:rsidRDefault="43C6C261" w:rsidP="00897654">
            <w:pPr>
              <w:jc w:val="right"/>
              <w:rPr>
                <w:rFonts w:eastAsia="Garamond" w:cs="Garamond"/>
                <w:color w:val="000000" w:themeColor="text1"/>
              </w:rPr>
            </w:pPr>
            <w:r w:rsidRPr="057D115D">
              <w:rPr>
                <w:rFonts w:eastAsia="Garamond" w:cs="Garamond"/>
                <w:color w:val="000000" w:themeColor="text1"/>
              </w:rPr>
              <w:t>2,352 MW</w:t>
            </w:r>
          </w:p>
        </w:tc>
      </w:tr>
    </w:tbl>
    <w:p w14:paraId="4C1C6783" w14:textId="15CF5462" w:rsidR="057D115D" w:rsidRDefault="057D115D" w:rsidP="057D115D">
      <w:pPr>
        <w:rPr>
          <w:rFonts w:eastAsia="Garamond" w:cs="Garamond"/>
          <w:color w:val="000000" w:themeColor="text1"/>
        </w:rPr>
      </w:pPr>
    </w:p>
    <w:p w14:paraId="4909CD33" w14:textId="370B1E5D" w:rsidR="5F2A9760" w:rsidRPr="005169DA" w:rsidRDefault="6ED45B59" w:rsidP="005169DA">
      <w:pPr>
        <w:pStyle w:val="ListParagraph"/>
        <w:numPr>
          <w:ilvl w:val="1"/>
          <w:numId w:val="118"/>
        </w:numPr>
        <w:rPr>
          <w:rFonts w:eastAsia="Garamond" w:cs="Garamond"/>
          <w:color w:val="000000" w:themeColor="text1"/>
        </w:rPr>
      </w:pPr>
      <w:r w:rsidRPr="057D115D">
        <w:rPr>
          <w:rFonts w:eastAsia="Garamond" w:cs="Garamond"/>
          <w:color w:val="000000" w:themeColor="text1"/>
        </w:rPr>
        <w:t xml:space="preserve">Interconnection cost estimates: </w:t>
      </w:r>
      <w:r w:rsidR="1EE7554D" w:rsidRPr="057D115D">
        <w:rPr>
          <w:rFonts w:eastAsia="Garamond" w:cs="Garamond"/>
          <w:color w:val="000000" w:themeColor="text1"/>
        </w:rPr>
        <w:t xml:space="preserve">CPUC staff conducted an interconnection cost analysis for solar resources at </w:t>
      </w:r>
      <w:r w:rsidR="12DDB0C1" w:rsidRPr="057D115D">
        <w:rPr>
          <w:rFonts w:eastAsia="Garamond" w:cs="Garamond"/>
          <w:color w:val="000000" w:themeColor="text1"/>
        </w:rPr>
        <w:t>GLW-VEA</w:t>
      </w:r>
      <w:r w:rsidR="1EE7554D" w:rsidRPr="057D115D">
        <w:rPr>
          <w:rFonts w:eastAsia="Garamond" w:cs="Garamond"/>
          <w:color w:val="000000" w:themeColor="text1"/>
        </w:rPr>
        <w:t xml:space="preserve"> substations and Arizona substations</w:t>
      </w:r>
      <w:r w:rsidR="69554A00" w:rsidRPr="057D115D">
        <w:rPr>
          <w:rFonts w:eastAsia="Garamond" w:cs="Garamond"/>
          <w:color w:val="000000" w:themeColor="text1"/>
        </w:rPr>
        <w:t>.</w:t>
      </w:r>
      <w:r w:rsidR="6E7B9206" w:rsidRPr="057D115D">
        <w:rPr>
          <w:rFonts w:eastAsia="Garamond" w:cs="Garamond"/>
          <w:color w:val="000000" w:themeColor="text1"/>
        </w:rPr>
        <w:t xml:space="preserve"> In past TPPs, parties expressed concerns that RESOLVE underestimated interconnection costs to 500</w:t>
      </w:r>
      <w:r w:rsidR="7550F114" w:rsidRPr="057D115D">
        <w:rPr>
          <w:rFonts w:eastAsia="Garamond" w:cs="Garamond"/>
          <w:color w:val="000000" w:themeColor="text1"/>
        </w:rPr>
        <w:t xml:space="preserve"> </w:t>
      </w:r>
      <w:r w:rsidR="6E7B9206" w:rsidRPr="057D115D">
        <w:rPr>
          <w:rFonts w:eastAsia="Garamond" w:cs="Garamond"/>
          <w:color w:val="000000" w:themeColor="text1"/>
        </w:rPr>
        <w:t>kV substations.</w:t>
      </w:r>
      <w:r w:rsidR="62E82617" w:rsidRPr="057D115D">
        <w:rPr>
          <w:rFonts w:eastAsia="Garamond" w:cs="Garamond"/>
          <w:color w:val="000000" w:themeColor="text1"/>
        </w:rPr>
        <w:t xml:space="preserve"> For this TPP, staff compared </w:t>
      </w:r>
      <w:r w:rsidR="4B31CFAB" w:rsidRPr="057D115D">
        <w:rPr>
          <w:rFonts w:eastAsia="Garamond" w:cs="Garamond"/>
          <w:color w:val="000000" w:themeColor="text1"/>
        </w:rPr>
        <w:t xml:space="preserve">the estimated </w:t>
      </w:r>
      <w:r w:rsidR="62E82617" w:rsidRPr="057D115D">
        <w:rPr>
          <w:rFonts w:eastAsia="Garamond" w:cs="Garamond"/>
          <w:color w:val="000000" w:themeColor="text1"/>
        </w:rPr>
        <w:t xml:space="preserve">interconnection costs </w:t>
      </w:r>
      <w:r w:rsidR="1E8B017B" w:rsidRPr="057D115D">
        <w:rPr>
          <w:rFonts w:eastAsia="Garamond" w:cs="Garamond"/>
          <w:color w:val="000000" w:themeColor="text1"/>
        </w:rPr>
        <w:t xml:space="preserve">of </w:t>
      </w:r>
      <w:r w:rsidR="62E82617" w:rsidRPr="057D115D">
        <w:rPr>
          <w:rFonts w:eastAsia="Garamond" w:cs="Garamond"/>
          <w:color w:val="000000" w:themeColor="text1"/>
        </w:rPr>
        <w:t xml:space="preserve">500 </w:t>
      </w:r>
      <w:r w:rsidR="7550F114" w:rsidRPr="057D115D">
        <w:rPr>
          <w:rFonts w:eastAsia="Garamond" w:cs="Garamond"/>
          <w:color w:val="000000" w:themeColor="text1"/>
        </w:rPr>
        <w:t>kV substations for Ar</w:t>
      </w:r>
      <w:r w:rsidR="27CF92BB" w:rsidRPr="057D115D">
        <w:rPr>
          <w:rFonts w:eastAsia="Garamond" w:cs="Garamond"/>
          <w:color w:val="000000" w:themeColor="text1"/>
        </w:rPr>
        <w:t>izona solar and 230 kV substations for solar in the GLW-VEA area.</w:t>
      </w:r>
      <w:r w:rsidR="2360CD8D" w:rsidRPr="057D115D">
        <w:rPr>
          <w:rFonts w:eastAsia="Garamond" w:cs="Garamond"/>
          <w:color w:val="000000" w:themeColor="text1"/>
        </w:rPr>
        <w:t xml:space="preserve"> </w:t>
      </w:r>
    </w:p>
    <w:p w14:paraId="7C895C12" w14:textId="33BE6968" w:rsidR="5F2A9760" w:rsidRDefault="2360CD8D" w:rsidP="00EA6A70">
      <w:pPr>
        <w:pStyle w:val="ListParagraph"/>
        <w:numPr>
          <w:ilvl w:val="2"/>
          <w:numId w:val="13"/>
        </w:numPr>
        <w:rPr>
          <w:color w:val="000000" w:themeColor="text1"/>
        </w:rPr>
      </w:pPr>
      <w:r w:rsidRPr="057D115D">
        <w:rPr>
          <w:rFonts w:eastAsia="Garamond" w:cs="Garamond"/>
          <w:color w:val="000000" w:themeColor="text1"/>
        </w:rPr>
        <w:t xml:space="preserve">For </w:t>
      </w:r>
      <w:r w:rsidR="00C71352">
        <w:rPr>
          <w:rFonts w:eastAsia="Garamond" w:cs="Garamond"/>
          <w:color w:val="000000" w:themeColor="text1"/>
        </w:rPr>
        <w:t>gen-tie</w:t>
      </w:r>
      <w:r w:rsidR="427CC032" w:rsidRPr="057D115D">
        <w:rPr>
          <w:rFonts w:eastAsia="Garamond" w:cs="Garamond"/>
          <w:color w:val="000000" w:themeColor="text1"/>
        </w:rPr>
        <w:t xml:space="preserve"> </w:t>
      </w:r>
      <w:r w:rsidRPr="057D115D">
        <w:rPr>
          <w:rFonts w:eastAsia="Garamond" w:cs="Garamond"/>
          <w:color w:val="000000" w:themeColor="text1"/>
        </w:rPr>
        <w:t xml:space="preserve">costs, CPUC staff utilized </w:t>
      </w:r>
      <w:r w:rsidR="420DF788" w:rsidRPr="057D115D">
        <w:rPr>
          <w:rFonts w:eastAsia="Garamond" w:cs="Garamond"/>
          <w:color w:val="000000" w:themeColor="text1"/>
        </w:rPr>
        <w:t xml:space="preserve">available </w:t>
      </w:r>
      <w:r w:rsidRPr="057D115D">
        <w:rPr>
          <w:rFonts w:eastAsia="Garamond" w:cs="Garamond"/>
          <w:color w:val="000000" w:themeColor="text1"/>
        </w:rPr>
        <w:t xml:space="preserve">data from the 2020 </w:t>
      </w:r>
      <w:r w:rsidR="16348F4C" w:rsidRPr="057D115D">
        <w:rPr>
          <w:rFonts w:eastAsia="Garamond" w:cs="Garamond"/>
          <w:color w:val="000000" w:themeColor="text1"/>
        </w:rPr>
        <w:t>f</w:t>
      </w:r>
      <w:r w:rsidRPr="057D115D">
        <w:rPr>
          <w:rFonts w:eastAsia="Garamond" w:cs="Garamond"/>
          <w:color w:val="000000" w:themeColor="text1"/>
        </w:rPr>
        <w:t>inal per unit cost guides shared by CAISO</w:t>
      </w:r>
      <w:r w:rsidR="4A61358D" w:rsidRPr="057D115D">
        <w:rPr>
          <w:rFonts w:eastAsia="Garamond" w:cs="Garamond"/>
          <w:color w:val="000000" w:themeColor="text1"/>
        </w:rPr>
        <w:t>, specifically GLW data for the 230 kV</w:t>
      </w:r>
      <w:r w:rsidR="16EC1D03" w:rsidRPr="057D115D">
        <w:rPr>
          <w:rFonts w:eastAsia="Garamond" w:cs="Garamond"/>
          <w:color w:val="000000" w:themeColor="text1"/>
        </w:rPr>
        <w:t xml:space="preserve"> substations in the GLW-VEA area and DCRT data for the Arizona solar</w:t>
      </w:r>
      <w:r w:rsidR="1DA9009E" w:rsidRPr="057D115D">
        <w:rPr>
          <w:rFonts w:eastAsia="Garamond" w:cs="Garamond"/>
          <w:color w:val="000000" w:themeColor="text1"/>
        </w:rPr>
        <w:t xml:space="preserve"> 500 kV substations</w:t>
      </w:r>
      <w:r w:rsidR="16EC1D03" w:rsidRPr="057D115D">
        <w:rPr>
          <w:rFonts w:eastAsia="Garamond" w:cs="Garamond"/>
          <w:color w:val="000000" w:themeColor="text1"/>
        </w:rPr>
        <w:t>. While DRCT costs data only appl</w:t>
      </w:r>
      <w:r w:rsidR="5315A51B" w:rsidRPr="057D115D">
        <w:rPr>
          <w:rFonts w:eastAsia="Garamond" w:cs="Garamond"/>
          <w:color w:val="000000" w:themeColor="text1"/>
        </w:rPr>
        <w:t>y</w:t>
      </w:r>
      <w:r w:rsidR="16EC1D03" w:rsidRPr="057D115D">
        <w:rPr>
          <w:rFonts w:eastAsia="Garamond" w:cs="Garamond"/>
          <w:color w:val="000000" w:themeColor="text1"/>
        </w:rPr>
        <w:t xml:space="preserve"> to some of the Arizona substations,</w:t>
      </w:r>
      <w:r w:rsidR="599EB8EE" w:rsidRPr="057D115D">
        <w:rPr>
          <w:rFonts w:eastAsia="Garamond" w:cs="Garamond"/>
          <w:color w:val="000000" w:themeColor="text1"/>
        </w:rPr>
        <w:t xml:space="preserve"> data on interconnection</w:t>
      </w:r>
      <w:r w:rsidR="0322264F" w:rsidRPr="057D115D">
        <w:rPr>
          <w:rFonts w:eastAsia="Garamond" w:cs="Garamond"/>
          <w:color w:val="000000" w:themeColor="text1"/>
        </w:rPr>
        <w:t xml:space="preserve"> cost</w:t>
      </w:r>
      <w:r w:rsidR="599EB8EE" w:rsidRPr="057D115D">
        <w:rPr>
          <w:rFonts w:eastAsia="Garamond" w:cs="Garamond"/>
          <w:color w:val="000000" w:themeColor="text1"/>
        </w:rPr>
        <w:t xml:space="preserve">s for the other Arizona transmission owners is not readily available. </w:t>
      </w:r>
      <w:r w:rsidR="11F27134" w:rsidRPr="057D115D">
        <w:rPr>
          <w:rFonts w:eastAsia="Garamond" w:cs="Garamond"/>
          <w:color w:val="000000" w:themeColor="text1"/>
        </w:rPr>
        <w:t>To account for this particular uncertainty for Arizona</w:t>
      </w:r>
      <w:r w:rsidR="004D3A87">
        <w:rPr>
          <w:rFonts w:eastAsia="Garamond" w:cs="Garamond"/>
          <w:color w:val="000000" w:themeColor="text1"/>
        </w:rPr>
        <w:t xml:space="preserve"> substations</w:t>
      </w:r>
      <w:r w:rsidR="11F27134" w:rsidRPr="057D115D">
        <w:rPr>
          <w:rFonts w:eastAsia="Garamond" w:cs="Garamond"/>
          <w:color w:val="000000" w:themeColor="text1"/>
        </w:rPr>
        <w:t xml:space="preserve"> and </w:t>
      </w:r>
      <w:r w:rsidR="00F63FB5">
        <w:rPr>
          <w:rFonts w:eastAsia="Garamond" w:cs="Garamond"/>
          <w:color w:val="000000" w:themeColor="text1"/>
        </w:rPr>
        <w:t xml:space="preserve">for </w:t>
      </w:r>
      <w:r w:rsidR="11F27134" w:rsidRPr="057D115D">
        <w:rPr>
          <w:rFonts w:eastAsia="Garamond" w:cs="Garamond"/>
          <w:color w:val="000000" w:themeColor="text1"/>
        </w:rPr>
        <w:t>interconnection cost uncertainty</w:t>
      </w:r>
      <w:r w:rsidR="00F63FB5">
        <w:rPr>
          <w:rFonts w:eastAsia="Garamond" w:cs="Garamond"/>
          <w:color w:val="000000" w:themeColor="text1"/>
        </w:rPr>
        <w:t xml:space="preserve"> in general</w:t>
      </w:r>
      <w:r w:rsidR="11F27134" w:rsidRPr="057D115D">
        <w:rPr>
          <w:rFonts w:eastAsia="Garamond" w:cs="Garamond"/>
          <w:color w:val="000000" w:themeColor="text1"/>
        </w:rPr>
        <w:t>, staff applied</w:t>
      </w:r>
      <w:r w:rsidR="5679BAA7" w:rsidRPr="057D115D">
        <w:rPr>
          <w:rFonts w:eastAsia="Garamond" w:cs="Garamond"/>
          <w:color w:val="000000" w:themeColor="text1"/>
        </w:rPr>
        <w:t xml:space="preserve"> simplified sensitivity analysis for possible higher or lower </w:t>
      </w:r>
      <w:r w:rsidR="7BED22CB" w:rsidRPr="057D115D">
        <w:rPr>
          <w:rFonts w:eastAsia="Garamond" w:cs="Garamond"/>
          <w:color w:val="000000" w:themeColor="text1"/>
        </w:rPr>
        <w:t xml:space="preserve">gen-tie </w:t>
      </w:r>
      <w:r w:rsidR="5679BAA7" w:rsidRPr="057D115D">
        <w:rPr>
          <w:rFonts w:eastAsia="Garamond" w:cs="Garamond"/>
          <w:color w:val="000000" w:themeColor="text1"/>
        </w:rPr>
        <w:t xml:space="preserve">costs. </w:t>
      </w:r>
      <w:r w:rsidR="0CCF48D5" w:rsidRPr="057D115D">
        <w:rPr>
          <w:rFonts w:eastAsia="Garamond" w:cs="Garamond"/>
          <w:color w:val="000000" w:themeColor="text1"/>
        </w:rPr>
        <w:t>Based on these calculations, on a per project basis, interconnection</w:t>
      </w:r>
      <w:r w:rsidR="5D09D8F1" w:rsidRPr="057D115D">
        <w:rPr>
          <w:rFonts w:eastAsia="Garamond" w:cs="Garamond"/>
          <w:color w:val="000000" w:themeColor="text1"/>
        </w:rPr>
        <w:t xml:space="preserve"> to 230 kV substations in the GLW-VEA area cost</w:t>
      </w:r>
      <w:r w:rsidR="00E658D6">
        <w:rPr>
          <w:rFonts w:eastAsia="Garamond" w:cs="Garamond"/>
          <w:color w:val="000000" w:themeColor="text1"/>
        </w:rPr>
        <w:t>s</w:t>
      </w:r>
      <w:r w:rsidR="5D09D8F1" w:rsidRPr="057D115D">
        <w:rPr>
          <w:rFonts w:eastAsia="Garamond" w:cs="Garamond"/>
          <w:color w:val="000000" w:themeColor="text1"/>
        </w:rPr>
        <w:t xml:space="preserve"> significantly less than interconnection to </w:t>
      </w:r>
      <w:r w:rsidR="06C5F940" w:rsidRPr="057D115D">
        <w:rPr>
          <w:rFonts w:eastAsia="Garamond" w:cs="Garamond"/>
          <w:color w:val="000000" w:themeColor="text1"/>
        </w:rPr>
        <w:t>500 kV substations</w:t>
      </w:r>
      <w:r w:rsidR="0B785F87" w:rsidRPr="057D115D">
        <w:rPr>
          <w:rFonts w:eastAsia="Garamond" w:cs="Garamond"/>
          <w:color w:val="000000" w:themeColor="text1"/>
        </w:rPr>
        <w:t>.</w:t>
      </w:r>
    </w:p>
    <w:p w14:paraId="56EB65F0" w14:textId="3DD2EE39" w:rsidR="749A9A57" w:rsidRDefault="749A9A57" w:rsidP="7CF97DD6">
      <w:pPr>
        <w:pStyle w:val="ListParagraph"/>
        <w:numPr>
          <w:ilvl w:val="2"/>
          <w:numId w:val="13"/>
        </w:numPr>
        <w:rPr>
          <w:rFonts w:asciiTheme="minorHAnsi" w:eastAsiaTheme="minorEastAsia" w:hAnsiTheme="minorHAnsi" w:cstheme="minorBidi"/>
          <w:color w:val="000000" w:themeColor="text1"/>
        </w:rPr>
      </w:pPr>
      <w:r w:rsidRPr="057D115D">
        <w:rPr>
          <w:rFonts w:eastAsia="Garamond" w:cs="Garamond"/>
          <w:color w:val="000000" w:themeColor="text1"/>
        </w:rPr>
        <w:t>CPUC</w:t>
      </w:r>
      <w:r w:rsidR="00A90EB0" w:rsidRPr="7CF97DD6">
        <w:rPr>
          <w:rFonts w:eastAsia="Garamond" w:cs="Garamond"/>
          <w:color w:val="000000" w:themeColor="text1"/>
        </w:rPr>
        <w:t xml:space="preserve"> staff</w:t>
      </w:r>
      <w:r w:rsidRPr="057D115D">
        <w:rPr>
          <w:rFonts w:eastAsia="Garamond" w:cs="Garamond"/>
          <w:color w:val="000000" w:themeColor="text1"/>
        </w:rPr>
        <w:t xml:space="preserve"> then incorporated possible transmission upgrade costs to compare the total costs of </w:t>
      </w:r>
      <w:r w:rsidR="038B9181" w:rsidRPr="057D115D">
        <w:rPr>
          <w:rFonts w:eastAsia="Garamond" w:cs="Garamond"/>
          <w:color w:val="000000" w:themeColor="text1"/>
        </w:rPr>
        <w:t>remapping</w:t>
      </w:r>
      <w:r w:rsidR="00A90EB0" w:rsidRPr="7CF97DD6">
        <w:rPr>
          <w:rFonts w:eastAsia="Garamond" w:cs="Garamond"/>
          <w:color w:val="000000" w:themeColor="text1"/>
        </w:rPr>
        <w:t xml:space="preserve"> the approximately</w:t>
      </w:r>
      <w:r w:rsidR="227D1475" w:rsidRPr="057D115D">
        <w:rPr>
          <w:rFonts w:eastAsia="Garamond" w:cs="Garamond"/>
          <w:color w:val="000000" w:themeColor="text1"/>
        </w:rPr>
        <w:t xml:space="preserve"> </w:t>
      </w:r>
      <w:r w:rsidR="038B9181" w:rsidRPr="057D115D">
        <w:rPr>
          <w:rFonts w:eastAsia="Garamond" w:cs="Garamond"/>
          <w:color w:val="000000" w:themeColor="text1"/>
        </w:rPr>
        <w:t>1</w:t>
      </w:r>
      <w:r w:rsidR="00A90EB0" w:rsidRPr="7CF97DD6">
        <w:rPr>
          <w:rFonts w:eastAsia="Garamond" w:cs="Garamond"/>
          <w:color w:val="000000" w:themeColor="text1"/>
        </w:rPr>
        <w:t>,</w:t>
      </w:r>
      <w:r w:rsidR="038B9181" w:rsidRPr="057D115D">
        <w:rPr>
          <w:rFonts w:eastAsia="Garamond" w:cs="Garamond"/>
          <w:color w:val="000000" w:themeColor="text1"/>
        </w:rPr>
        <w:t>5</w:t>
      </w:r>
      <w:r w:rsidR="2595FCCF" w:rsidRPr="057D115D">
        <w:rPr>
          <w:rFonts w:eastAsia="Garamond" w:cs="Garamond"/>
          <w:color w:val="000000" w:themeColor="text1"/>
        </w:rPr>
        <w:t>0</w:t>
      </w:r>
      <w:r w:rsidR="038B9181" w:rsidRPr="057D115D">
        <w:rPr>
          <w:rFonts w:eastAsia="Garamond" w:cs="Garamond"/>
          <w:color w:val="000000" w:themeColor="text1"/>
        </w:rPr>
        <w:t xml:space="preserve">0 MW of EO solar mapped to Arizona solar substations </w:t>
      </w:r>
      <w:r w:rsidR="00BC2A21" w:rsidRPr="7CF97DD6">
        <w:rPr>
          <w:rFonts w:eastAsia="Garamond" w:cs="Garamond"/>
          <w:color w:val="000000" w:themeColor="text1"/>
        </w:rPr>
        <w:t xml:space="preserve">during </w:t>
      </w:r>
      <w:r w:rsidR="038B9181" w:rsidRPr="057D115D">
        <w:rPr>
          <w:rFonts w:eastAsia="Garamond" w:cs="Garamond"/>
          <w:color w:val="000000" w:themeColor="text1"/>
        </w:rPr>
        <w:t>Round 2 to GLW-VEA area substations.</w:t>
      </w:r>
      <w:r w:rsidR="57193B95" w:rsidRPr="057D115D">
        <w:rPr>
          <w:rFonts w:eastAsia="Garamond" w:cs="Garamond"/>
          <w:color w:val="000000" w:themeColor="text1"/>
        </w:rPr>
        <w:t xml:space="preserve"> The placement of the resources to Arizona substations requires no apparent transmission upgrades. </w:t>
      </w:r>
      <w:r w:rsidR="32680F26" w:rsidRPr="057D115D">
        <w:rPr>
          <w:rFonts w:eastAsia="Garamond" w:cs="Garamond"/>
          <w:color w:val="000000" w:themeColor="text1"/>
        </w:rPr>
        <w:t>Reallocating the resource to GLW-VEA area would require two transmission upgrades</w:t>
      </w:r>
      <w:r w:rsidR="6212483A" w:rsidRPr="057D115D">
        <w:rPr>
          <w:rFonts w:eastAsia="Garamond" w:cs="Garamond"/>
          <w:color w:val="000000" w:themeColor="text1"/>
        </w:rPr>
        <w:t>. The first upgrade is noted in CAISO’s 2020-2021 preliminary TPP report</w:t>
      </w:r>
      <w:r w:rsidRPr="00BC2A21">
        <w:rPr>
          <w:rFonts w:eastAsia="Garamond" w:cs="Garamond"/>
          <w:color w:val="000000" w:themeColor="text1"/>
          <w:vertAlign w:val="superscript"/>
        </w:rPr>
        <w:footnoteReference w:id="20"/>
      </w:r>
      <w:r w:rsidR="6212483A" w:rsidRPr="057D115D">
        <w:rPr>
          <w:rFonts w:eastAsia="Garamond" w:cs="Garamond"/>
          <w:color w:val="000000" w:themeColor="text1"/>
        </w:rPr>
        <w:t xml:space="preserve"> to cost an estimated </w:t>
      </w:r>
      <w:r w:rsidR="6212483A" w:rsidRPr="057D115D">
        <w:rPr>
          <w:rFonts w:eastAsia="Garamond" w:cs="Garamond"/>
          <w:color w:val="000000" w:themeColor="text1"/>
        </w:rPr>
        <w:lastRenderedPageBreak/>
        <w:t>$90 million. CAISO staff</w:t>
      </w:r>
      <w:r w:rsidR="00B760D9" w:rsidRPr="7CF97DD6">
        <w:rPr>
          <w:rFonts w:eastAsia="Garamond" w:cs="Garamond"/>
          <w:color w:val="000000" w:themeColor="text1"/>
        </w:rPr>
        <w:t>’s</w:t>
      </w:r>
      <w:r w:rsidR="6212483A" w:rsidRPr="057D115D">
        <w:rPr>
          <w:rFonts w:eastAsia="Garamond" w:cs="Garamond"/>
          <w:color w:val="000000" w:themeColor="text1"/>
        </w:rPr>
        <w:t xml:space="preserve"> guidance noted an additional upgrad</w:t>
      </w:r>
      <w:r w:rsidR="2FB1D989" w:rsidRPr="057D115D">
        <w:rPr>
          <w:rFonts w:eastAsia="Garamond" w:cs="Garamond"/>
          <w:color w:val="000000" w:themeColor="text1"/>
        </w:rPr>
        <w:t>e f</w:t>
      </w:r>
      <w:r w:rsidR="2FB1D989" w:rsidRPr="057D115D">
        <w:rPr>
          <w:color w:val="000000" w:themeColor="text1"/>
        </w:rPr>
        <w:t xml:space="preserve">rom the CAISO’s Cluster 13, Phase 1, generation interconnection study that would </w:t>
      </w:r>
      <w:r w:rsidR="51ACD05B" w:rsidRPr="057D115D">
        <w:rPr>
          <w:color w:val="000000" w:themeColor="text1"/>
        </w:rPr>
        <w:t>likely be needed as well, costing between $48 and $55 million.</w:t>
      </w:r>
    </w:p>
    <w:p w14:paraId="7A4649D9" w14:textId="2B80F408" w:rsidR="60C0D862" w:rsidRDefault="60C0D862" w:rsidP="00EA6A70">
      <w:pPr>
        <w:pStyle w:val="ListParagraph"/>
        <w:numPr>
          <w:ilvl w:val="2"/>
          <w:numId w:val="13"/>
        </w:numPr>
        <w:rPr>
          <w:color w:val="000000" w:themeColor="text1"/>
          <w:szCs w:val="24"/>
        </w:rPr>
      </w:pPr>
      <w:r w:rsidRPr="057D115D">
        <w:rPr>
          <w:color w:val="000000" w:themeColor="text1"/>
        </w:rPr>
        <w:t>CPUC staff c</w:t>
      </w:r>
      <w:r w:rsidR="33A66EFF" w:rsidRPr="057D115D">
        <w:rPr>
          <w:color w:val="000000" w:themeColor="text1"/>
        </w:rPr>
        <w:t>ombin</w:t>
      </w:r>
      <w:r w:rsidR="43085C7D" w:rsidRPr="057D115D">
        <w:rPr>
          <w:color w:val="000000" w:themeColor="text1"/>
        </w:rPr>
        <w:t>ed</w:t>
      </w:r>
      <w:r w:rsidR="33A66EFF" w:rsidRPr="057D115D">
        <w:rPr>
          <w:color w:val="000000" w:themeColor="text1"/>
        </w:rPr>
        <w:t xml:space="preserve"> these cost estimates and </w:t>
      </w:r>
      <w:r w:rsidR="003B1986" w:rsidRPr="057D115D">
        <w:rPr>
          <w:color w:val="000000" w:themeColor="text1"/>
        </w:rPr>
        <w:t>factor</w:t>
      </w:r>
      <w:r w:rsidR="003B1986">
        <w:rPr>
          <w:color w:val="000000" w:themeColor="text1"/>
        </w:rPr>
        <w:t>ed</w:t>
      </w:r>
      <w:r w:rsidR="003B1986" w:rsidRPr="057D115D">
        <w:rPr>
          <w:color w:val="000000" w:themeColor="text1"/>
        </w:rPr>
        <w:t xml:space="preserve"> </w:t>
      </w:r>
      <w:r w:rsidR="33A66EFF" w:rsidRPr="057D115D">
        <w:rPr>
          <w:color w:val="000000" w:themeColor="text1"/>
        </w:rPr>
        <w:t xml:space="preserve">in additional variables including the average size of projects currently in the interconnection queue and </w:t>
      </w:r>
      <w:r w:rsidR="72DC1AF3" w:rsidRPr="057D115D">
        <w:rPr>
          <w:color w:val="000000" w:themeColor="text1"/>
        </w:rPr>
        <w:t>the distances of projects from substations</w:t>
      </w:r>
      <w:r w:rsidR="248D03FE" w:rsidRPr="057D115D">
        <w:rPr>
          <w:color w:val="000000" w:themeColor="text1"/>
        </w:rPr>
        <w:t>. The resulting total cost estimates show</w:t>
      </w:r>
      <w:r w:rsidR="60CFDD10" w:rsidRPr="057D115D">
        <w:rPr>
          <w:color w:val="000000" w:themeColor="text1"/>
        </w:rPr>
        <w:t>ed</w:t>
      </w:r>
      <w:r w:rsidR="248D03FE" w:rsidRPr="057D115D">
        <w:rPr>
          <w:color w:val="000000" w:themeColor="text1"/>
        </w:rPr>
        <w:t xml:space="preserve"> </w:t>
      </w:r>
      <w:r w:rsidR="003B1986">
        <w:rPr>
          <w:color w:val="000000" w:themeColor="text1"/>
        </w:rPr>
        <w:t xml:space="preserve">approximately </w:t>
      </w:r>
      <w:r w:rsidR="248D03FE" w:rsidRPr="057D115D">
        <w:rPr>
          <w:color w:val="000000" w:themeColor="text1"/>
        </w:rPr>
        <w:t>equivalent total costs for mapping 1</w:t>
      </w:r>
      <w:r w:rsidR="003B1986">
        <w:rPr>
          <w:color w:val="000000" w:themeColor="text1"/>
        </w:rPr>
        <w:t>,</w:t>
      </w:r>
      <w:r w:rsidR="248D03FE" w:rsidRPr="057D115D">
        <w:rPr>
          <w:color w:val="000000" w:themeColor="text1"/>
        </w:rPr>
        <w:t xml:space="preserve">500 MW of EO solar to either Arizona substations or GLW-VEA area substations. </w:t>
      </w:r>
    </w:p>
    <w:p w14:paraId="2FE911E0" w14:textId="63812AB4" w:rsidR="3779BED1" w:rsidRPr="005169DA" w:rsidRDefault="3779BED1" w:rsidP="005169DA">
      <w:pPr>
        <w:pStyle w:val="ListParagraph"/>
        <w:numPr>
          <w:ilvl w:val="1"/>
          <w:numId w:val="118"/>
        </w:numPr>
        <w:rPr>
          <w:rFonts w:eastAsia="Garamond" w:cs="Garamond"/>
          <w:color w:val="000000" w:themeColor="text1"/>
        </w:rPr>
      </w:pPr>
      <w:r w:rsidRPr="057D115D">
        <w:rPr>
          <w:rFonts w:eastAsia="Garamond" w:cs="Garamond"/>
          <w:color w:val="000000" w:themeColor="text1"/>
        </w:rPr>
        <w:t>Commercial Interest</w:t>
      </w:r>
      <w:r w:rsidR="001545DC" w:rsidRPr="057D115D">
        <w:rPr>
          <w:rFonts w:eastAsia="Garamond" w:cs="Garamond"/>
          <w:color w:val="000000" w:themeColor="text1"/>
        </w:rPr>
        <w:t>:</w:t>
      </w:r>
      <w:r w:rsidR="6510F632" w:rsidRPr="057D115D">
        <w:rPr>
          <w:rFonts w:eastAsia="Garamond" w:cs="Garamond"/>
          <w:color w:val="000000" w:themeColor="text1"/>
        </w:rPr>
        <w:t xml:space="preserve"> </w:t>
      </w:r>
      <w:r w:rsidR="03E5893A" w:rsidRPr="057D115D">
        <w:rPr>
          <w:rFonts w:eastAsia="Garamond" w:cs="Garamond"/>
          <w:color w:val="000000" w:themeColor="text1"/>
        </w:rPr>
        <w:t xml:space="preserve">Based on </w:t>
      </w:r>
      <w:r w:rsidR="5773334E" w:rsidRPr="057D115D">
        <w:rPr>
          <w:rFonts w:eastAsia="Garamond" w:cs="Garamond"/>
          <w:color w:val="000000" w:themeColor="text1"/>
        </w:rPr>
        <w:t xml:space="preserve">solar </w:t>
      </w:r>
      <w:r w:rsidR="03E5893A" w:rsidRPr="057D115D">
        <w:rPr>
          <w:rFonts w:eastAsia="Garamond" w:cs="Garamond"/>
          <w:color w:val="000000" w:themeColor="text1"/>
        </w:rPr>
        <w:t xml:space="preserve">projects currently listed in the CAISO interconnection queue, Arizona solar has </w:t>
      </w:r>
      <w:r w:rsidR="00A771EE">
        <w:rPr>
          <w:rFonts w:eastAsia="Garamond" w:cs="Garamond"/>
          <w:color w:val="000000" w:themeColor="text1"/>
        </w:rPr>
        <w:t xml:space="preserve">approximately </w:t>
      </w:r>
      <w:r w:rsidR="03E5893A" w:rsidRPr="057D115D">
        <w:rPr>
          <w:rFonts w:eastAsia="Garamond" w:cs="Garamond"/>
          <w:color w:val="000000" w:themeColor="text1"/>
        </w:rPr>
        <w:t xml:space="preserve">10,000 MW of </w:t>
      </w:r>
      <w:r w:rsidR="00A771EE">
        <w:rPr>
          <w:rFonts w:eastAsia="Garamond" w:cs="Garamond"/>
          <w:color w:val="000000" w:themeColor="text1"/>
        </w:rPr>
        <w:t xml:space="preserve">commercial </w:t>
      </w:r>
      <w:r w:rsidR="03E5893A" w:rsidRPr="057D115D">
        <w:rPr>
          <w:rFonts w:eastAsia="Garamond" w:cs="Garamond"/>
          <w:color w:val="000000" w:themeColor="text1"/>
        </w:rPr>
        <w:t xml:space="preserve">interest, the GLW-VEA area has 2,800 MW, </w:t>
      </w:r>
      <w:r w:rsidR="012F539D" w:rsidRPr="057D115D">
        <w:rPr>
          <w:rFonts w:eastAsia="Garamond" w:cs="Garamond"/>
          <w:color w:val="000000" w:themeColor="text1"/>
        </w:rPr>
        <w:t xml:space="preserve">and </w:t>
      </w:r>
      <w:r w:rsidR="5AA62675" w:rsidRPr="057D115D">
        <w:rPr>
          <w:rFonts w:eastAsia="Garamond" w:cs="Garamond"/>
          <w:color w:val="000000" w:themeColor="text1"/>
        </w:rPr>
        <w:t xml:space="preserve">the </w:t>
      </w:r>
      <w:r w:rsidR="03E5893A" w:rsidRPr="057D115D">
        <w:rPr>
          <w:rFonts w:eastAsia="Garamond" w:cs="Garamond"/>
          <w:color w:val="000000" w:themeColor="text1"/>
        </w:rPr>
        <w:t>Mohave substation has 1,</w:t>
      </w:r>
      <w:r w:rsidR="2B06A9CC" w:rsidRPr="057D115D">
        <w:rPr>
          <w:rFonts w:eastAsia="Garamond" w:cs="Garamond"/>
          <w:color w:val="000000" w:themeColor="text1"/>
        </w:rPr>
        <w:t>890 MW, while the</w:t>
      </w:r>
      <w:r w:rsidR="41EE1709" w:rsidRPr="057D115D">
        <w:rPr>
          <w:rFonts w:eastAsia="Garamond" w:cs="Garamond"/>
          <w:color w:val="000000" w:themeColor="text1"/>
        </w:rPr>
        <w:t xml:space="preserve"> El Dorado substation</w:t>
      </w:r>
      <w:r w:rsidR="77623ED0" w:rsidRPr="057D115D">
        <w:rPr>
          <w:rFonts w:eastAsia="Garamond" w:cs="Garamond"/>
          <w:color w:val="000000" w:themeColor="text1"/>
        </w:rPr>
        <w:t xml:space="preserve"> has on</w:t>
      </w:r>
      <w:r w:rsidR="25E14631" w:rsidRPr="057D115D">
        <w:rPr>
          <w:rFonts w:eastAsia="Garamond" w:cs="Garamond"/>
          <w:color w:val="000000" w:themeColor="text1"/>
        </w:rPr>
        <w:t xml:space="preserve">ly 300 MW. </w:t>
      </w:r>
      <w:r w:rsidR="6510F632" w:rsidRPr="057D115D">
        <w:rPr>
          <w:rFonts w:eastAsia="Garamond" w:cs="Garamond"/>
          <w:color w:val="000000" w:themeColor="text1"/>
        </w:rPr>
        <w:t>Nearly all the commercial interest in the CAISO interconnection queue</w:t>
      </w:r>
      <w:r w:rsidR="7D862333" w:rsidRPr="057D115D">
        <w:rPr>
          <w:rFonts w:eastAsia="Garamond" w:cs="Garamond"/>
          <w:color w:val="000000" w:themeColor="text1"/>
        </w:rPr>
        <w:t xml:space="preserve"> in these areas</w:t>
      </w:r>
      <w:r w:rsidR="6510F632" w:rsidRPr="057D115D">
        <w:rPr>
          <w:rFonts w:eastAsia="Garamond" w:cs="Garamond"/>
          <w:color w:val="000000" w:themeColor="text1"/>
        </w:rPr>
        <w:t xml:space="preserve"> </w:t>
      </w:r>
      <w:r w:rsidR="6D56BAF2" w:rsidRPr="057D115D">
        <w:rPr>
          <w:rFonts w:eastAsia="Garamond" w:cs="Garamond"/>
          <w:color w:val="000000" w:themeColor="text1"/>
        </w:rPr>
        <w:t xml:space="preserve">is requesting </w:t>
      </w:r>
      <w:r w:rsidR="6510F632" w:rsidRPr="057D115D">
        <w:rPr>
          <w:rFonts w:eastAsia="Garamond" w:cs="Garamond"/>
          <w:color w:val="000000" w:themeColor="text1"/>
        </w:rPr>
        <w:t xml:space="preserve">full deliverability status rather than energy only. </w:t>
      </w:r>
      <w:r w:rsidR="34027512" w:rsidRPr="057D115D">
        <w:rPr>
          <w:rFonts w:eastAsia="Garamond" w:cs="Garamond"/>
          <w:color w:val="000000" w:themeColor="text1"/>
        </w:rPr>
        <w:t>However, parties have expressed significant interest in EO solar in the GLW-VEA transmission zone in comments to both this TPP process and the 2020-</w:t>
      </w:r>
      <w:r w:rsidR="005E472E">
        <w:rPr>
          <w:rFonts w:eastAsia="Garamond" w:cs="Garamond"/>
          <w:color w:val="000000" w:themeColor="text1"/>
        </w:rPr>
        <w:t>20</w:t>
      </w:r>
      <w:r w:rsidR="34027512" w:rsidRPr="057D115D">
        <w:rPr>
          <w:rFonts w:eastAsia="Garamond" w:cs="Garamond"/>
          <w:color w:val="000000" w:themeColor="text1"/>
        </w:rPr>
        <w:t>21 TPP.</w:t>
      </w:r>
    </w:p>
    <w:p w14:paraId="68AB0F51" w14:textId="3D002039" w:rsidR="3BF36C46" w:rsidRDefault="3B33FDDC" w:rsidP="00B63666">
      <w:pPr>
        <w:ind w:left="720"/>
        <w:rPr>
          <w:color w:val="000000" w:themeColor="text1"/>
        </w:rPr>
      </w:pPr>
      <w:r w:rsidRPr="7CF97DD6">
        <w:rPr>
          <w:rFonts w:eastAsia="Garamond" w:cs="Garamond"/>
          <w:color w:val="000000" w:themeColor="text1"/>
        </w:rPr>
        <w:t>From this analysis staff recommend the addition of 1,400 MW of EO solar rather than any reallocation of EO solar resources.</w:t>
      </w:r>
      <w:r w:rsidR="5CD4860F" w:rsidRPr="7CF97DD6">
        <w:rPr>
          <w:rFonts w:eastAsia="Garamond" w:cs="Garamond"/>
          <w:color w:val="000000" w:themeColor="text1"/>
        </w:rPr>
        <w:t xml:space="preserve"> </w:t>
      </w:r>
      <w:r w:rsidR="3E7595F9" w:rsidRPr="7CF97DD6">
        <w:rPr>
          <w:rFonts w:eastAsia="Garamond" w:cs="Garamond"/>
          <w:color w:val="000000" w:themeColor="text1"/>
        </w:rPr>
        <w:t xml:space="preserve">The addition of EO to the GLW-VEA area </w:t>
      </w:r>
      <w:r w:rsidR="2A110338" w:rsidRPr="7CF97DD6">
        <w:rPr>
          <w:rFonts w:eastAsia="Garamond" w:cs="Garamond"/>
          <w:color w:val="000000" w:themeColor="text1"/>
        </w:rPr>
        <w:t xml:space="preserve">avoids the lack of </w:t>
      </w:r>
      <w:r w:rsidR="37EC39BD" w:rsidRPr="7CF97DD6">
        <w:rPr>
          <w:rFonts w:eastAsia="Garamond" w:cs="Garamond"/>
          <w:color w:val="000000" w:themeColor="text1"/>
        </w:rPr>
        <w:t xml:space="preserve">significant </w:t>
      </w:r>
      <w:r w:rsidR="2A110338" w:rsidRPr="7CF97DD6">
        <w:rPr>
          <w:rFonts w:eastAsia="Garamond" w:cs="Garamond"/>
          <w:color w:val="000000" w:themeColor="text1"/>
        </w:rPr>
        <w:t>commercial interest at El Dorado substation</w:t>
      </w:r>
      <w:r w:rsidR="3FC2FF64" w:rsidRPr="7CF97DD6">
        <w:rPr>
          <w:rFonts w:eastAsia="Garamond" w:cs="Garamond"/>
          <w:color w:val="000000" w:themeColor="text1"/>
        </w:rPr>
        <w:t xml:space="preserve"> while addressing the commercial interest in the GLW-VEA area</w:t>
      </w:r>
      <w:r w:rsidR="36376AB9" w:rsidRPr="7CF97DD6">
        <w:rPr>
          <w:rFonts w:eastAsia="Garamond" w:cs="Garamond"/>
          <w:color w:val="000000" w:themeColor="text1"/>
        </w:rPr>
        <w:t xml:space="preserve">, particularly party comments regarding interest in EO solar. </w:t>
      </w:r>
      <w:r w:rsidR="31D5E852" w:rsidRPr="7CF97DD6">
        <w:rPr>
          <w:rFonts w:eastAsia="Garamond" w:cs="Garamond"/>
          <w:color w:val="000000" w:themeColor="text1"/>
        </w:rPr>
        <w:t>Adding the resource</w:t>
      </w:r>
      <w:r w:rsidR="4902FACF" w:rsidRPr="7CF97DD6">
        <w:rPr>
          <w:rFonts w:eastAsia="Garamond" w:cs="Garamond"/>
          <w:color w:val="000000" w:themeColor="text1"/>
        </w:rPr>
        <w:t>s</w:t>
      </w:r>
      <w:r w:rsidR="008E709C" w:rsidRPr="7CF97DD6">
        <w:rPr>
          <w:rFonts w:eastAsia="Garamond" w:cs="Garamond"/>
          <w:color w:val="000000" w:themeColor="text1"/>
        </w:rPr>
        <w:t>,</w:t>
      </w:r>
      <w:r w:rsidR="4902FACF" w:rsidRPr="7CF97DD6">
        <w:rPr>
          <w:rFonts w:eastAsia="Garamond" w:cs="Garamond"/>
          <w:color w:val="000000" w:themeColor="text1"/>
        </w:rPr>
        <w:t xml:space="preserve"> instead of reallocating from Arizona solar</w:t>
      </w:r>
      <w:r w:rsidR="008E709C" w:rsidRPr="7CF97DD6">
        <w:rPr>
          <w:rFonts w:eastAsia="Garamond" w:cs="Garamond"/>
          <w:color w:val="000000" w:themeColor="text1"/>
        </w:rPr>
        <w:t>,</w:t>
      </w:r>
      <w:r w:rsidR="4902FACF" w:rsidRPr="7CF97DD6">
        <w:rPr>
          <w:rFonts w:eastAsia="Garamond" w:cs="Garamond"/>
          <w:color w:val="000000" w:themeColor="text1"/>
        </w:rPr>
        <w:t xml:space="preserve"> acknowledges the continued high commercial interest in Arizona.</w:t>
      </w:r>
      <w:r w:rsidR="3F235001" w:rsidRPr="7CF97DD6">
        <w:rPr>
          <w:rFonts w:eastAsia="Garamond" w:cs="Garamond"/>
          <w:color w:val="000000" w:themeColor="text1"/>
        </w:rPr>
        <w:t xml:space="preserve"> Additionally, </w:t>
      </w:r>
      <w:r w:rsidR="03AA9975" w:rsidRPr="7CF97DD6">
        <w:rPr>
          <w:rFonts w:eastAsia="Garamond" w:cs="Garamond"/>
          <w:color w:val="000000" w:themeColor="text1"/>
        </w:rPr>
        <w:t>this adjustment</w:t>
      </w:r>
      <w:r w:rsidR="3F235001" w:rsidRPr="7CF97DD6">
        <w:rPr>
          <w:rFonts w:eastAsia="Garamond" w:cs="Garamond"/>
          <w:color w:val="000000" w:themeColor="text1"/>
        </w:rPr>
        <w:t xml:space="preserve"> results in the 46 MMT aligning more closely with the total amount of EO solar</w:t>
      </w:r>
      <w:r w:rsidR="29057DD5" w:rsidRPr="7CF97DD6">
        <w:rPr>
          <w:rFonts w:eastAsia="Garamond" w:cs="Garamond"/>
          <w:color w:val="000000" w:themeColor="text1"/>
        </w:rPr>
        <w:t xml:space="preserve"> resources</w:t>
      </w:r>
      <w:r w:rsidR="3F235001" w:rsidRPr="7CF97DD6">
        <w:rPr>
          <w:rFonts w:eastAsia="Garamond" w:cs="Garamond"/>
          <w:color w:val="000000" w:themeColor="text1"/>
        </w:rPr>
        <w:t xml:space="preserve"> mapped in </w:t>
      </w:r>
      <w:r w:rsidR="00477C93" w:rsidRPr="7CF97DD6">
        <w:rPr>
          <w:rFonts w:eastAsia="Garamond" w:cs="Garamond"/>
          <w:color w:val="000000" w:themeColor="text1"/>
        </w:rPr>
        <w:t xml:space="preserve">the </w:t>
      </w:r>
      <w:r w:rsidR="3F235001" w:rsidRPr="7CF97DD6">
        <w:rPr>
          <w:rFonts w:eastAsia="Garamond" w:cs="Garamond"/>
          <w:color w:val="000000" w:themeColor="text1"/>
        </w:rPr>
        <w:t xml:space="preserve">38 MMT portfolio. </w:t>
      </w:r>
      <w:r w:rsidR="70239807" w:rsidRPr="7CF97DD6">
        <w:rPr>
          <w:rFonts w:eastAsia="Garamond" w:cs="Garamond"/>
          <w:color w:val="000000" w:themeColor="text1"/>
        </w:rPr>
        <w:t>The portfolio achieves this without increas</w:t>
      </w:r>
      <w:r w:rsidR="2DF6F0C1" w:rsidRPr="7CF97DD6">
        <w:rPr>
          <w:rFonts w:eastAsia="Garamond" w:cs="Garamond"/>
          <w:color w:val="000000" w:themeColor="text1"/>
        </w:rPr>
        <w:t>ing</w:t>
      </w:r>
      <w:r w:rsidR="70239807" w:rsidRPr="7CF97DD6">
        <w:rPr>
          <w:rFonts w:eastAsia="Garamond" w:cs="Garamond"/>
          <w:color w:val="000000" w:themeColor="text1"/>
        </w:rPr>
        <w:t xml:space="preserve"> expected costs to ratepayers unnecessarily, b</w:t>
      </w:r>
      <w:r w:rsidR="3F235001" w:rsidRPr="7CF97DD6">
        <w:rPr>
          <w:rFonts w:eastAsia="Garamond" w:cs="Garamond"/>
          <w:color w:val="000000" w:themeColor="text1"/>
        </w:rPr>
        <w:t xml:space="preserve">ased on the interconnection cost </w:t>
      </w:r>
      <w:r w:rsidR="4EF422EF" w:rsidRPr="7CF97DD6">
        <w:rPr>
          <w:rFonts w:eastAsia="Garamond" w:cs="Garamond"/>
          <w:color w:val="000000" w:themeColor="text1"/>
        </w:rPr>
        <w:t>comparison</w:t>
      </w:r>
      <w:r w:rsidR="75A0D8EE" w:rsidRPr="7CF97DD6">
        <w:rPr>
          <w:rFonts w:eastAsia="Garamond" w:cs="Garamond"/>
          <w:color w:val="000000" w:themeColor="text1"/>
        </w:rPr>
        <w:t xml:space="preserve"> showing roughly equal total costs</w:t>
      </w:r>
      <w:r w:rsidR="432D0FFA" w:rsidRPr="7CF97DD6">
        <w:rPr>
          <w:rFonts w:eastAsia="Garamond" w:cs="Garamond"/>
          <w:color w:val="000000" w:themeColor="text1"/>
        </w:rPr>
        <w:t xml:space="preserve"> between adding resource to the GLW-VEA area or Arizona.</w:t>
      </w:r>
      <w:r w:rsidR="75A0D8EE" w:rsidRPr="7CF97DD6">
        <w:rPr>
          <w:rFonts w:eastAsia="Garamond" w:cs="Garamond"/>
          <w:color w:val="000000" w:themeColor="text1"/>
        </w:rPr>
        <w:t xml:space="preserve"> </w:t>
      </w:r>
    </w:p>
    <w:p w14:paraId="0A062A30" w14:textId="28D389DD" w:rsidR="057D115D" w:rsidRDefault="057D115D" w:rsidP="000330B0">
      <w:pPr>
        <w:ind w:left="0"/>
        <w:rPr>
          <w:rFonts w:eastAsia="Garamond" w:cs="Garamond"/>
          <w:color w:val="000000" w:themeColor="text1"/>
        </w:rPr>
      </w:pPr>
    </w:p>
    <w:p w14:paraId="28F34FBC" w14:textId="7B76A5DB" w:rsidR="26D52BF3" w:rsidRDefault="26D52BF3" w:rsidP="000330B0">
      <w:pPr>
        <w:rPr>
          <w:rFonts w:eastAsia="Garamond" w:cs="Garamond"/>
          <w:color w:val="000000" w:themeColor="text1"/>
        </w:rPr>
      </w:pPr>
      <w:r w:rsidRPr="057D115D">
        <w:rPr>
          <w:rFonts w:eastAsia="Garamond" w:cs="Garamond"/>
          <w:color w:val="000000" w:themeColor="text1"/>
        </w:rPr>
        <w:t>The CEC made these adjustments in Round 3 of mapping.</w:t>
      </w:r>
    </w:p>
    <w:p w14:paraId="23C7A7CA" w14:textId="3395658A" w:rsidR="4645797E" w:rsidRDefault="4645797E">
      <w:pPr>
        <w:rPr>
          <w:rFonts w:eastAsia="Garamond" w:cs="Garamond"/>
          <w:color w:val="000000" w:themeColor="text1"/>
        </w:rPr>
      </w:pPr>
    </w:p>
    <w:p w14:paraId="0EF40225" w14:textId="70E4F4EB" w:rsidR="65884A3E" w:rsidRDefault="65884A3E" w:rsidP="057D115D">
      <w:pPr>
        <w:rPr>
          <w:rFonts w:eastAsia="Garamond" w:cs="Garamond"/>
          <w:color w:val="000000" w:themeColor="text1"/>
        </w:rPr>
      </w:pPr>
      <w:r w:rsidRPr="057D115D">
        <w:rPr>
          <w:rFonts w:eastAsia="Garamond" w:cs="Garamond"/>
          <w:b/>
          <w:bCs/>
          <w:color w:val="000000" w:themeColor="text1"/>
        </w:rPr>
        <w:t>Round 3 battery mapping</w:t>
      </w:r>
    </w:p>
    <w:p w14:paraId="67CE312E" w14:textId="6D1B9891" w:rsidR="3D841EBE" w:rsidRDefault="3D841EBE" w:rsidP="1DF38C4A">
      <w:pPr>
        <w:rPr>
          <w:rFonts w:eastAsia="Garamond" w:cs="Garamond"/>
          <w:color w:val="000000" w:themeColor="text1"/>
        </w:rPr>
      </w:pPr>
      <w:r w:rsidRPr="4E1893D1">
        <w:rPr>
          <w:rFonts w:eastAsia="Garamond" w:cs="Garamond"/>
          <w:color w:val="000000" w:themeColor="text1"/>
        </w:rPr>
        <w:t>CPUC staff also implemented the following battery storage adjustments</w:t>
      </w:r>
      <w:r w:rsidR="2A7E5C5C" w:rsidRPr="057D115D">
        <w:rPr>
          <w:rFonts w:eastAsia="Garamond" w:cs="Garamond"/>
          <w:color w:val="000000" w:themeColor="text1"/>
        </w:rPr>
        <w:t xml:space="preserve"> in Round 3</w:t>
      </w:r>
      <w:r w:rsidRPr="4E1893D1">
        <w:rPr>
          <w:rFonts w:eastAsia="Garamond" w:cs="Garamond"/>
          <w:color w:val="000000" w:themeColor="text1"/>
        </w:rPr>
        <w:t>:</w:t>
      </w:r>
    </w:p>
    <w:p w14:paraId="3958B810" w14:textId="41F26B4E" w:rsidR="3D841EBE" w:rsidRDefault="3D841EBE" w:rsidP="00D03345">
      <w:pPr>
        <w:pStyle w:val="ListParagraph"/>
        <w:numPr>
          <w:ilvl w:val="0"/>
          <w:numId w:val="117"/>
        </w:numPr>
        <w:rPr>
          <w:rFonts w:asciiTheme="minorHAnsi" w:eastAsiaTheme="minorEastAsia" w:hAnsiTheme="minorHAnsi" w:cstheme="minorBidi"/>
          <w:color w:val="000000" w:themeColor="text1"/>
        </w:rPr>
      </w:pPr>
      <w:r w:rsidRPr="4E1893D1">
        <w:rPr>
          <w:rFonts w:eastAsia="Garamond" w:cs="Garamond"/>
          <w:color w:val="000000" w:themeColor="text1"/>
        </w:rPr>
        <w:t>Removed 51 MW</w:t>
      </w:r>
      <w:r w:rsidR="3844832F" w:rsidRPr="4E1893D1">
        <w:rPr>
          <w:rFonts w:eastAsia="Garamond" w:cs="Garamond"/>
          <w:color w:val="000000" w:themeColor="text1"/>
        </w:rPr>
        <w:t xml:space="preserve"> of co-located battery storage</w:t>
      </w:r>
      <w:r w:rsidRPr="4E1893D1">
        <w:rPr>
          <w:rFonts w:eastAsia="Garamond" w:cs="Garamond"/>
          <w:color w:val="000000" w:themeColor="text1"/>
        </w:rPr>
        <w:t xml:space="preserve"> for the Solano Geothermal resource addition.</w:t>
      </w:r>
    </w:p>
    <w:p w14:paraId="4AE5D0AB" w14:textId="1A5BA386" w:rsidR="3D841EBE" w:rsidRDefault="53BC6298" w:rsidP="00D03345">
      <w:pPr>
        <w:pStyle w:val="ListParagraph"/>
        <w:numPr>
          <w:ilvl w:val="0"/>
          <w:numId w:val="117"/>
        </w:numPr>
        <w:rPr>
          <w:color w:val="000000" w:themeColor="text1"/>
        </w:rPr>
      </w:pPr>
      <w:r w:rsidRPr="096127CA">
        <w:rPr>
          <w:rFonts w:eastAsia="Garamond" w:cs="Garamond"/>
          <w:color w:val="000000" w:themeColor="text1"/>
        </w:rPr>
        <w:t>Moved</w:t>
      </w:r>
      <w:r w:rsidR="05E2F56C" w:rsidRPr="4E1893D1">
        <w:rPr>
          <w:rFonts w:eastAsia="Garamond" w:cs="Garamond"/>
          <w:color w:val="000000" w:themeColor="text1"/>
        </w:rPr>
        <w:t xml:space="preserve"> 608 MW of stand-alone battery storage from the Rio Hondo substation</w:t>
      </w:r>
      <w:r w:rsidR="406FE18A" w:rsidRPr="4E1893D1">
        <w:rPr>
          <w:rFonts w:eastAsia="Garamond" w:cs="Garamond"/>
          <w:color w:val="000000" w:themeColor="text1"/>
        </w:rPr>
        <w:t xml:space="preserve"> in the LA Basin LCR Area</w:t>
      </w:r>
      <w:r w:rsidR="4EA7515B" w:rsidRPr="4E1893D1">
        <w:rPr>
          <w:rFonts w:eastAsia="Garamond" w:cs="Garamond"/>
          <w:color w:val="000000" w:themeColor="text1"/>
        </w:rPr>
        <w:t xml:space="preserve"> to other substations</w:t>
      </w:r>
      <w:r w:rsidR="05E2F56C" w:rsidRPr="4E1893D1">
        <w:rPr>
          <w:rFonts w:eastAsia="Garamond" w:cs="Garamond"/>
          <w:color w:val="000000" w:themeColor="text1"/>
        </w:rPr>
        <w:t xml:space="preserve">, </w:t>
      </w:r>
      <w:r w:rsidR="01759F3E" w:rsidRPr="4E1893D1">
        <w:rPr>
          <w:rFonts w:eastAsia="Garamond" w:cs="Garamond"/>
          <w:color w:val="000000" w:themeColor="text1"/>
        </w:rPr>
        <w:t xml:space="preserve">based on CAISO </w:t>
      </w:r>
      <w:r w:rsidR="679F6F94" w:rsidRPr="096127CA">
        <w:rPr>
          <w:rFonts w:eastAsia="Garamond" w:cs="Garamond"/>
          <w:color w:val="000000" w:themeColor="text1"/>
        </w:rPr>
        <w:t>s</w:t>
      </w:r>
      <w:r w:rsidR="7B3A642B" w:rsidRPr="096127CA">
        <w:rPr>
          <w:rFonts w:eastAsia="Garamond" w:cs="Garamond"/>
          <w:color w:val="000000" w:themeColor="text1"/>
        </w:rPr>
        <w:t>taff</w:t>
      </w:r>
      <w:r w:rsidR="01759F3E" w:rsidRPr="4E1893D1">
        <w:rPr>
          <w:rFonts w:eastAsia="Garamond" w:cs="Garamond"/>
          <w:color w:val="000000" w:themeColor="text1"/>
        </w:rPr>
        <w:t xml:space="preserve"> guidance to </w:t>
      </w:r>
      <w:r w:rsidR="1EC4B6BD" w:rsidRPr="096127CA">
        <w:rPr>
          <w:rFonts w:eastAsia="Garamond" w:cs="Garamond"/>
          <w:color w:val="000000" w:themeColor="text1"/>
        </w:rPr>
        <w:t>prevent</w:t>
      </w:r>
      <w:r w:rsidR="05E2F56C" w:rsidRPr="4E1893D1">
        <w:rPr>
          <w:rFonts w:eastAsia="Garamond" w:cs="Garamond"/>
          <w:color w:val="000000" w:themeColor="text1"/>
        </w:rPr>
        <w:t xml:space="preserve"> </w:t>
      </w:r>
      <w:r w:rsidR="31F4E369" w:rsidRPr="4E1893D1">
        <w:rPr>
          <w:rFonts w:eastAsia="Garamond" w:cs="Garamond"/>
          <w:color w:val="000000" w:themeColor="text1"/>
        </w:rPr>
        <w:t xml:space="preserve">worsening </w:t>
      </w:r>
      <w:r w:rsidR="05E2F56C" w:rsidRPr="4E1893D1">
        <w:rPr>
          <w:rFonts w:eastAsia="Garamond" w:cs="Garamond"/>
          <w:color w:val="000000" w:themeColor="text1"/>
        </w:rPr>
        <w:t xml:space="preserve">the Mesa – Laguna-Bell </w:t>
      </w:r>
      <w:r w:rsidR="5EEB6B76" w:rsidRPr="4E1893D1">
        <w:rPr>
          <w:rFonts w:eastAsia="Garamond" w:cs="Garamond"/>
          <w:color w:val="000000" w:themeColor="text1"/>
        </w:rPr>
        <w:t xml:space="preserve">transmission </w:t>
      </w:r>
      <w:r w:rsidR="05E2F56C" w:rsidRPr="4E1893D1">
        <w:rPr>
          <w:rFonts w:eastAsia="Garamond" w:cs="Garamond"/>
          <w:color w:val="000000" w:themeColor="text1"/>
        </w:rPr>
        <w:t>constraint</w:t>
      </w:r>
      <w:r w:rsidR="1465035F" w:rsidRPr="096127CA">
        <w:rPr>
          <w:rFonts w:eastAsia="Garamond" w:cs="Garamond"/>
          <w:color w:val="000000" w:themeColor="text1"/>
        </w:rPr>
        <w:t>.</w:t>
      </w:r>
      <w:r w:rsidR="33E4762F" w:rsidRPr="096127CA">
        <w:rPr>
          <w:rFonts w:eastAsia="Garamond" w:cs="Garamond"/>
          <w:color w:val="000000" w:themeColor="text1"/>
        </w:rPr>
        <w:t xml:space="preserve"> </w:t>
      </w:r>
      <w:r w:rsidR="400E8F43" w:rsidRPr="096127CA">
        <w:rPr>
          <w:rFonts w:eastAsia="Garamond" w:cs="Garamond"/>
          <w:color w:val="000000" w:themeColor="text1"/>
        </w:rPr>
        <w:t>The</w:t>
      </w:r>
      <w:r w:rsidR="2E9B9FF4" w:rsidRPr="4E1893D1">
        <w:rPr>
          <w:rFonts w:eastAsia="Garamond" w:cs="Garamond"/>
          <w:color w:val="000000" w:themeColor="text1"/>
        </w:rPr>
        <w:t xml:space="preserve"> 608 MW of battery storage was distributed</w:t>
      </w:r>
      <w:r w:rsidR="05E2F56C" w:rsidRPr="4E1893D1">
        <w:rPr>
          <w:rFonts w:eastAsia="Garamond" w:cs="Garamond"/>
          <w:color w:val="000000" w:themeColor="text1"/>
        </w:rPr>
        <w:t xml:space="preserve"> to</w:t>
      </w:r>
      <w:r w:rsidR="06A30BF9" w:rsidRPr="4E1893D1">
        <w:rPr>
          <w:rFonts w:eastAsia="Garamond" w:cs="Garamond"/>
          <w:color w:val="000000" w:themeColor="text1"/>
        </w:rPr>
        <w:t xml:space="preserve"> the following substations in the San Diego-Imperial Valley LCR Area:</w:t>
      </w:r>
      <w:r w:rsidR="05E2F56C" w:rsidRPr="4E1893D1">
        <w:rPr>
          <w:rFonts w:eastAsia="Garamond" w:cs="Garamond"/>
          <w:color w:val="000000" w:themeColor="text1"/>
        </w:rPr>
        <w:t xml:space="preserve"> Talega 138 </w:t>
      </w:r>
      <w:r w:rsidR="73B9519C" w:rsidRPr="4E1893D1">
        <w:rPr>
          <w:rFonts w:eastAsia="Garamond" w:cs="Garamond"/>
          <w:color w:val="000000" w:themeColor="text1"/>
        </w:rPr>
        <w:t>kV</w:t>
      </w:r>
      <w:r w:rsidR="74AA914F" w:rsidRPr="4E1893D1">
        <w:rPr>
          <w:rFonts w:eastAsia="Garamond" w:cs="Garamond"/>
          <w:color w:val="000000" w:themeColor="text1"/>
        </w:rPr>
        <w:t xml:space="preserve"> (200 MW)</w:t>
      </w:r>
      <w:r w:rsidR="73B9519C" w:rsidRPr="4E1893D1">
        <w:rPr>
          <w:rFonts w:eastAsia="Garamond" w:cs="Garamond"/>
          <w:color w:val="000000" w:themeColor="text1"/>
        </w:rPr>
        <w:t>, Trabuco 138 kV</w:t>
      </w:r>
      <w:r w:rsidR="4ADDB443" w:rsidRPr="4E1893D1">
        <w:rPr>
          <w:rFonts w:eastAsia="Garamond" w:cs="Garamond"/>
          <w:color w:val="000000" w:themeColor="text1"/>
        </w:rPr>
        <w:t xml:space="preserve"> (250 MW</w:t>
      </w:r>
      <w:r w:rsidR="20990DCB" w:rsidRPr="096127CA">
        <w:rPr>
          <w:rFonts w:eastAsia="Garamond" w:cs="Garamond"/>
          <w:color w:val="000000" w:themeColor="text1"/>
        </w:rPr>
        <w:t>)</w:t>
      </w:r>
      <w:r w:rsidR="54725D04" w:rsidRPr="096127CA">
        <w:rPr>
          <w:rFonts w:eastAsia="Garamond" w:cs="Garamond"/>
          <w:color w:val="000000" w:themeColor="text1"/>
        </w:rPr>
        <w:t>,</w:t>
      </w:r>
      <w:r w:rsidR="7950883E" w:rsidRPr="4E1893D1">
        <w:rPr>
          <w:rFonts w:eastAsia="Garamond" w:cs="Garamond"/>
          <w:color w:val="000000" w:themeColor="text1"/>
        </w:rPr>
        <w:t xml:space="preserve"> and Encina 138 KV</w:t>
      </w:r>
      <w:r w:rsidR="04FE5B5C" w:rsidRPr="4E1893D1">
        <w:rPr>
          <w:rFonts w:eastAsia="Garamond" w:cs="Garamond"/>
          <w:color w:val="000000" w:themeColor="text1"/>
        </w:rPr>
        <w:t xml:space="preserve"> (160 MW)</w:t>
      </w:r>
      <w:r w:rsidR="7950883E" w:rsidRPr="4E1893D1">
        <w:rPr>
          <w:rFonts w:eastAsia="Garamond" w:cs="Garamond"/>
          <w:color w:val="000000" w:themeColor="text1"/>
        </w:rPr>
        <w:t>.</w:t>
      </w:r>
    </w:p>
    <w:p w14:paraId="0E6193F7" w14:textId="52026049" w:rsidR="76AB57FA" w:rsidRDefault="00BD7D43" w:rsidP="00D03345">
      <w:pPr>
        <w:pStyle w:val="ListParagraph"/>
        <w:numPr>
          <w:ilvl w:val="0"/>
          <w:numId w:val="117"/>
        </w:numPr>
        <w:rPr>
          <w:color w:val="000000" w:themeColor="text1"/>
        </w:rPr>
      </w:pPr>
      <w:r>
        <w:rPr>
          <w:rFonts w:eastAsia="Garamond" w:cs="Garamond"/>
          <w:color w:val="000000" w:themeColor="text1"/>
        </w:rPr>
        <w:t>S</w:t>
      </w:r>
      <w:r w:rsidRPr="4E1893D1">
        <w:rPr>
          <w:rFonts w:eastAsia="Garamond" w:cs="Garamond"/>
          <w:color w:val="000000" w:themeColor="text1"/>
        </w:rPr>
        <w:t xml:space="preserve">light changes in the distribution of battery resources by function and location </w:t>
      </w:r>
      <w:r>
        <w:rPr>
          <w:rFonts w:eastAsia="Garamond" w:cs="Garamond"/>
          <w:color w:val="000000" w:themeColor="text1"/>
        </w:rPr>
        <w:t xml:space="preserve">due to </w:t>
      </w:r>
      <w:r w:rsidR="5AD36BBD" w:rsidRPr="0C79D6A3">
        <w:rPr>
          <w:rFonts w:eastAsia="Garamond" w:cs="Garamond"/>
          <w:color w:val="000000" w:themeColor="text1"/>
        </w:rPr>
        <w:t>t</w:t>
      </w:r>
      <w:r w:rsidR="7B701B65" w:rsidRPr="0C79D6A3">
        <w:rPr>
          <w:rFonts w:eastAsia="Garamond" w:cs="Garamond"/>
          <w:color w:val="000000" w:themeColor="text1"/>
        </w:rPr>
        <w:t>he</w:t>
      </w:r>
      <w:r w:rsidR="76AB57FA" w:rsidRPr="4E1893D1">
        <w:rPr>
          <w:rFonts w:eastAsia="Garamond" w:cs="Garamond"/>
          <w:color w:val="000000" w:themeColor="text1"/>
        </w:rPr>
        <w:t xml:space="preserve"> adjustments to the non-battery mapping</w:t>
      </w:r>
      <w:r w:rsidR="00524E1F">
        <w:rPr>
          <w:rFonts w:eastAsia="Garamond" w:cs="Garamond"/>
          <w:color w:val="000000" w:themeColor="text1"/>
        </w:rPr>
        <w:t>s described above</w:t>
      </w:r>
      <w:r w:rsidR="76AB57FA" w:rsidRPr="4E1893D1">
        <w:rPr>
          <w:rFonts w:eastAsia="Garamond" w:cs="Garamond"/>
          <w:color w:val="000000" w:themeColor="text1"/>
        </w:rPr>
        <w:t>.</w:t>
      </w:r>
    </w:p>
    <w:p w14:paraId="41F26741" w14:textId="77777777" w:rsidR="006E3DEF" w:rsidRDefault="006E3DEF" w:rsidP="00B63666">
      <w:pPr>
        <w:rPr>
          <w:rFonts w:eastAsia="Garamond" w:cs="Garamond"/>
          <w:color w:val="000000" w:themeColor="text1"/>
        </w:rPr>
      </w:pPr>
    </w:p>
    <w:p w14:paraId="6335315C" w14:textId="502F4EE4" w:rsidR="26C97FE7" w:rsidRDefault="26C97FE7" w:rsidP="00B63666">
      <w:pPr>
        <w:rPr>
          <w:color w:val="000000" w:themeColor="text1"/>
        </w:rPr>
      </w:pPr>
      <w:r w:rsidRPr="4E1893D1">
        <w:rPr>
          <w:rFonts w:eastAsia="Garamond" w:cs="Garamond"/>
          <w:color w:val="000000" w:themeColor="text1"/>
        </w:rPr>
        <w:t>All</w:t>
      </w:r>
      <w:r w:rsidRPr="057D115D">
        <w:rPr>
          <w:rFonts w:eastAsia="Garamond" w:cs="Garamond"/>
          <w:color w:val="000000" w:themeColor="text1"/>
        </w:rPr>
        <w:t xml:space="preserve"> t</w:t>
      </w:r>
      <w:r w:rsidR="70C464F2" w:rsidRPr="057D115D">
        <w:rPr>
          <w:rFonts w:eastAsia="Garamond" w:cs="Garamond"/>
          <w:color w:val="000000" w:themeColor="text1"/>
        </w:rPr>
        <w:t>he</w:t>
      </w:r>
      <w:r w:rsidR="35EBF235" w:rsidRPr="057D115D">
        <w:rPr>
          <w:rFonts w:eastAsia="Garamond" w:cs="Garamond"/>
          <w:color w:val="000000" w:themeColor="text1"/>
        </w:rPr>
        <w:t xml:space="preserve"> implemented</w:t>
      </w:r>
      <w:r w:rsidR="70C464F2" w:rsidRPr="4E1893D1">
        <w:rPr>
          <w:rFonts w:eastAsia="Garamond" w:cs="Garamond"/>
          <w:color w:val="000000" w:themeColor="text1"/>
        </w:rPr>
        <w:t xml:space="preserve"> adjustments in the </w:t>
      </w:r>
      <w:r w:rsidR="3C528899" w:rsidRPr="057D115D">
        <w:rPr>
          <w:rFonts w:eastAsia="Garamond" w:cs="Garamond"/>
          <w:color w:val="000000" w:themeColor="text1"/>
        </w:rPr>
        <w:t>battery storage mapping</w:t>
      </w:r>
      <w:r w:rsidR="75ADC9CF" w:rsidRPr="057D115D">
        <w:rPr>
          <w:rFonts w:eastAsia="Garamond" w:cs="Garamond"/>
          <w:color w:val="000000" w:themeColor="text1"/>
        </w:rPr>
        <w:t xml:space="preserve"> led to</w:t>
      </w:r>
      <w:r w:rsidR="70C464F2" w:rsidRPr="057D115D">
        <w:rPr>
          <w:rFonts w:eastAsia="Garamond" w:cs="Garamond"/>
          <w:color w:val="000000" w:themeColor="text1"/>
        </w:rPr>
        <w:t xml:space="preserve"> the </w:t>
      </w:r>
      <w:r w:rsidR="397910F1" w:rsidRPr="4E1893D1">
        <w:rPr>
          <w:rFonts w:eastAsia="Garamond" w:cs="Garamond"/>
          <w:color w:val="000000" w:themeColor="text1"/>
        </w:rPr>
        <w:t>following change to the manual allocations:</w:t>
      </w:r>
    </w:p>
    <w:p w14:paraId="1A04133C" w14:textId="55826D06" w:rsidR="397910F1" w:rsidRDefault="397910F1" w:rsidP="00B63666">
      <w:pPr>
        <w:pStyle w:val="ListParagraph"/>
        <w:numPr>
          <w:ilvl w:val="0"/>
          <w:numId w:val="117"/>
        </w:numPr>
      </w:pPr>
      <w:r>
        <w:t>21 MW to Gates 500 kV substation</w:t>
      </w:r>
    </w:p>
    <w:p w14:paraId="5333F07D" w14:textId="15621740" w:rsidR="70C464F2" w:rsidRDefault="70C464F2" w:rsidP="4E1893D1">
      <w:pPr>
        <w:ind w:left="0"/>
        <w:rPr>
          <w:rFonts w:eastAsia="Garamond" w:cs="Garamond"/>
          <w:color w:val="000000" w:themeColor="text1"/>
        </w:rPr>
      </w:pPr>
      <w:r w:rsidRPr="4E1893D1">
        <w:rPr>
          <w:rFonts w:eastAsia="Garamond" w:cs="Garamond"/>
          <w:color w:val="000000" w:themeColor="text1"/>
        </w:rPr>
        <w:t xml:space="preserve"> </w:t>
      </w:r>
    </w:p>
    <w:p w14:paraId="29BD22CA" w14:textId="19A9D590" w:rsidR="4645797E" w:rsidRDefault="4645797E" w:rsidP="11B67F87">
      <w:pPr>
        <w:ind w:left="0"/>
        <w:rPr>
          <w:rFonts w:eastAsia="Garamond" w:cs="Garamond"/>
          <w:color w:val="000000" w:themeColor="text1"/>
        </w:rPr>
      </w:pPr>
    </w:p>
    <w:p w14:paraId="2FBF82E5" w14:textId="08DCCEA3" w:rsidR="7C043776" w:rsidRDefault="7C043776" w:rsidP="1DF38C4A">
      <w:pPr>
        <w:rPr>
          <w:rFonts w:eastAsia="Garamond" w:cs="Garamond"/>
          <w:color w:val="000000" w:themeColor="text1"/>
        </w:rPr>
      </w:pPr>
      <w:r w:rsidRPr="4E1893D1">
        <w:rPr>
          <w:rFonts w:eastAsia="Garamond" w:cs="Garamond"/>
          <w:color w:val="000000" w:themeColor="text1"/>
        </w:rPr>
        <w:lastRenderedPageBreak/>
        <w:t xml:space="preserve">The </w:t>
      </w:r>
      <w:r w:rsidR="0D2E75BD" w:rsidRPr="057D115D">
        <w:rPr>
          <w:rFonts w:eastAsia="Garamond" w:cs="Garamond"/>
          <w:color w:val="000000" w:themeColor="text1"/>
        </w:rPr>
        <w:t>results</w:t>
      </w:r>
      <w:r w:rsidRPr="4E1893D1">
        <w:rPr>
          <w:rFonts w:eastAsia="Garamond" w:cs="Garamond"/>
          <w:color w:val="000000" w:themeColor="text1"/>
        </w:rPr>
        <w:t xml:space="preserve"> of </w:t>
      </w:r>
      <w:r w:rsidR="0D2E75BD" w:rsidRPr="057D115D">
        <w:rPr>
          <w:rFonts w:eastAsia="Garamond" w:cs="Garamond"/>
          <w:color w:val="000000" w:themeColor="text1"/>
        </w:rPr>
        <w:t>Round 3 of</w:t>
      </w:r>
      <w:r w:rsidR="7A490303" w:rsidRPr="057D115D">
        <w:rPr>
          <w:rFonts w:eastAsia="Garamond" w:cs="Garamond"/>
          <w:color w:val="000000" w:themeColor="text1"/>
        </w:rPr>
        <w:t xml:space="preserve"> mapping</w:t>
      </w:r>
      <w:r w:rsidRPr="4E1893D1">
        <w:rPr>
          <w:rFonts w:eastAsia="Garamond" w:cs="Garamond"/>
          <w:color w:val="000000" w:themeColor="text1"/>
        </w:rPr>
        <w:t xml:space="preserve"> are discussed in the Results section 7.1 below.</w:t>
      </w:r>
    </w:p>
    <w:p w14:paraId="5147E7AF" w14:textId="41FFDB97" w:rsidR="00B766BB" w:rsidRPr="000115B3" w:rsidRDefault="32236E9B" w:rsidP="000115B3">
      <w:pPr>
        <w:pStyle w:val="Heading3"/>
      </w:pPr>
      <w:bookmarkStart w:id="53" w:name="_Toc63669600"/>
      <w:r w:rsidRPr="000115B3">
        <w:t>38 MMT with 2019 IEPR</w:t>
      </w:r>
      <w:r w:rsidR="22F145E7" w:rsidRPr="000115B3">
        <w:t xml:space="preserve"> Sensitivity Portfolio</w:t>
      </w:r>
      <w:bookmarkEnd w:id="50"/>
      <w:bookmarkEnd w:id="53"/>
    </w:p>
    <w:p w14:paraId="60CB18B6" w14:textId="78FE2655" w:rsidR="7D055991" w:rsidRDefault="7D055991" w:rsidP="11B67F87">
      <w:pPr>
        <w:spacing w:after="160" w:line="259" w:lineRule="auto"/>
        <w:rPr>
          <w:rFonts w:eastAsia="Garamond" w:cs="Garamond"/>
          <w:b/>
          <w:bCs/>
          <w:color w:val="000000" w:themeColor="text1"/>
        </w:rPr>
      </w:pPr>
      <w:r w:rsidRPr="11B67F87">
        <w:rPr>
          <w:rFonts w:eastAsia="Garamond" w:cs="Garamond"/>
          <w:b/>
          <w:bCs/>
          <w:color w:val="000000" w:themeColor="text1"/>
        </w:rPr>
        <w:t>Round 1 Mapping Analysis</w:t>
      </w:r>
    </w:p>
    <w:p w14:paraId="6EB0736D" w14:textId="60B35BC6" w:rsidR="00390037" w:rsidRPr="00BD2C6D" w:rsidRDefault="3F4044A7" w:rsidP="00A24A87">
      <w:pPr>
        <w:spacing w:after="160" w:line="259" w:lineRule="auto"/>
        <w:rPr>
          <w:rFonts w:eastAsia="Garamond" w:cs="Garamond"/>
        </w:rPr>
      </w:pPr>
      <w:r w:rsidRPr="61CF619C">
        <w:rPr>
          <w:rFonts w:eastAsia="Garamond" w:cs="Garamond"/>
          <w:color w:val="000000" w:themeColor="text1"/>
        </w:rPr>
        <w:t xml:space="preserve">For </w:t>
      </w:r>
      <w:r w:rsidR="56879918" w:rsidRPr="61CF619C">
        <w:rPr>
          <w:rFonts w:eastAsia="Garamond" w:cs="Garamond"/>
          <w:color w:val="000000" w:themeColor="text1"/>
        </w:rPr>
        <w:t>R</w:t>
      </w:r>
      <w:r w:rsidR="3BC260BD" w:rsidRPr="61CF619C">
        <w:rPr>
          <w:rFonts w:eastAsia="Garamond" w:cs="Garamond"/>
          <w:color w:val="000000" w:themeColor="text1"/>
        </w:rPr>
        <w:t xml:space="preserve">ound 1, </w:t>
      </w:r>
      <w:r w:rsidR="1C74C09F" w:rsidRPr="61CF619C">
        <w:rPr>
          <w:rFonts w:eastAsia="Garamond" w:cs="Garamond"/>
          <w:color w:val="000000" w:themeColor="text1"/>
        </w:rPr>
        <w:t xml:space="preserve">CEC staff </w:t>
      </w:r>
      <w:r w:rsidR="1EDD0A4B" w:rsidRPr="61CF619C">
        <w:rPr>
          <w:rFonts w:eastAsia="Garamond" w:cs="Garamond"/>
          <w:color w:val="000000" w:themeColor="text1"/>
        </w:rPr>
        <w:t xml:space="preserve">mapped </w:t>
      </w:r>
      <w:r w:rsidR="1C74C09F" w:rsidRPr="61CF619C">
        <w:rPr>
          <w:rFonts w:eastAsia="Garamond" w:cs="Garamond"/>
          <w:color w:val="000000" w:themeColor="text1"/>
        </w:rPr>
        <w:t xml:space="preserve">the RESOLVE-selected </w:t>
      </w:r>
      <w:r w:rsidR="60AA783D" w:rsidRPr="61CF619C">
        <w:rPr>
          <w:rFonts w:eastAsia="Garamond" w:cs="Garamond"/>
          <w:color w:val="000000" w:themeColor="text1"/>
        </w:rPr>
        <w:t xml:space="preserve">non-battery </w:t>
      </w:r>
      <w:r w:rsidR="1C74C09F" w:rsidRPr="61CF619C">
        <w:rPr>
          <w:rFonts w:eastAsia="Garamond" w:cs="Garamond"/>
          <w:color w:val="000000" w:themeColor="text1"/>
        </w:rPr>
        <w:t xml:space="preserve">resources identified in Section </w:t>
      </w:r>
      <w:r w:rsidR="00F040BF">
        <w:rPr>
          <w:rFonts w:eastAsia="Garamond" w:cs="Garamond"/>
          <w:color w:val="000000" w:themeColor="text1"/>
        </w:rPr>
        <w:fldChar w:fldCharType="begin"/>
      </w:r>
      <w:r w:rsidR="00F040BF">
        <w:rPr>
          <w:rFonts w:eastAsia="Garamond" w:cs="Garamond"/>
          <w:color w:val="000000" w:themeColor="text1"/>
        </w:rPr>
        <w:instrText xml:space="preserve"> REF _Ref60744675 \r \h </w:instrText>
      </w:r>
      <w:r w:rsidR="00F040BF">
        <w:rPr>
          <w:rFonts w:eastAsia="Garamond" w:cs="Garamond"/>
          <w:color w:val="000000" w:themeColor="text1"/>
        </w:rPr>
      </w:r>
      <w:r w:rsidR="00F040BF">
        <w:rPr>
          <w:rFonts w:eastAsia="Garamond" w:cs="Garamond"/>
          <w:color w:val="000000" w:themeColor="text1"/>
        </w:rPr>
        <w:fldChar w:fldCharType="separate"/>
      </w:r>
      <w:r w:rsidR="003B7A14">
        <w:rPr>
          <w:rFonts w:eastAsia="Garamond" w:cs="Garamond"/>
          <w:color w:val="000000" w:themeColor="text1"/>
        </w:rPr>
        <w:t>4.2</w:t>
      </w:r>
      <w:r w:rsidR="00F040BF">
        <w:rPr>
          <w:rFonts w:eastAsia="Garamond" w:cs="Garamond"/>
          <w:color w:val="000000" w:themeColor="text1"/>
        </w:rPr>
        <w:fldChar w:fldCharType="end"/>
      </w:r>
      <w:r w:rsidR="1C74C09F" w:rsidRPr="61CF619C">
        <w:rPr>
          <w:rFonts w:eastAsia="Garamond" w:cs="Garamond"/>
          <w:color w:val="000000" w:themeColor="text1"/>
        </w:rPr>
        <w:t xml:space="preserve">, in accordance with the Methodology, and demonstrated </w:t>
      </w:r>
      <w:r w:rsidR="7AE54BAB" w:rsidRPr="61CF619C">
        <w:rPr>
          <w:rFonts w:eastAsia="Garamond" w:cs="Garamond"/>
          <w:color w:val="000000" w:themeColor="text1"/>
        </w:rPr>
        <w:t xml:space="preserve">reasonable </w:t>
      </w:r>
      <w:r w:rsidR="1C74C09F" w:rsidRPr="61CF619C">
        <w:rPr>
          <w:rFonts w:eastAsia="Garamond" w:cs="Garamond"/>
          <w:color w:val="000000" w:themeColor="text1"/>
        </w:rPr>
        <w:t xml:space="preserve">compliance with criteria 1 (distance to transmission), 3a (available land area), 3b (high environmental impacts), </w:t>
      </w:r>
      <w:r w:rsidR="00A7C5D1" w:rsidRPr="61CF619C">
        <w:rPr>
          <w:rFonts w:eastAsia="Garamond" w:cs="Garamond"/>
          <w:color w:val="000000" w:themeColor="text1"/>
        </w:rPr>
        <w:t>and</w:t>
      </w:r>
      <w:r w:rsidR="2AE4CFE8" w:rsidRPr="61CF619C">
        <w:rPr>
          <w:rFonts w:eastAsia="Garamond" w:cs="Garamond"/>
        </w:rPr>
        <w:t xml:space="preserve"> 4</w:t>
      </w:r>
      <w:r w:rsidR="00A7C5D1" w:rsidRPr="61CF619C">
        <w:rPr>
          <w:rFonts w:eastAsia="Garamond" w:cs="Garamond"/>
        </w:rPr>
        <w:t xml:space="preserve"> (commercial interest), and 5 (consistency with prior year’s mapping) </w:t>
      </w:r>
      <w:r w:rsidR="1C74C09F" w:rsidRPr="61CF619C">
        <w:rPr>
          <w:rFonts w:eastAsia="Garamond" w:cs="Garamond"/>
        </w:rPr>
        <w:t xml:space="preserve">as shown in </w:t>
      </w:r>
      <w:r w:rsidR="002829AA">
        <w:rPr>
          <w:rFonts w:eastAsia="Garamond" w:cs="Garamond"/>
        </w:rPr>
        <w:fldChar w:fldCharType="begin"/>
      </w:r>
      <w:r w:rsidR="002829AA">
        <w:rPr>
          <w:rFonts w:eastAsia="Garamond" w:cs="Garamond"/>
        </w:rPr>
        <w:instrText xml:space="preserve"> REF _Ref63665280 \h </w:instrText>
      </w:r>
      <w:r w:rsidR="002829AA">
        <w:rPr>
          <w:rFonts w:eastAsia="Garamond" w:cs="Garamond"/>
        </w:rPr>
      </w:r>
      <w:r w:rsidR="002829AA">
        <w:rPr>
          <w:rFonts w:eastAsia="Garamond" w:cs="Garamond"/>
        </w:rPr>
        <w:fldChar w:fldCharType="separate"/>
      </w:r>
      <w:r w:rsidR="002829AA">
        <w:t xml:space="preserve">Table </w:t>
      </w:r>
      <w:r w:rsidR="002829AA">
        <w:rPr>
          <w:noProof/>
        </w:rPr>
        <w:t>12</w:t>
      </w:r>
      <w:r w:rsidR="002829AA">
        <w:rPr>
          <w:rFonts w:eastAsia="Garamond" w:cs="Garamond"/>
        </w:rPr>
        <w:fldChar w:fldCharType="end"/>
      </w:r>
      <w:r w:rsidR="004A1A78">
        <w:rPr>
          <w:rFonts w:eastAsia="Garamond" w:cs="Garamond"/>
        </w:rPr>
        <w:t xml:space="preserve"> </w:t>
      </w:r>
      <w:r w:rsidR="1C74C09F" w:rsidRPr="61CF619C">
        <w:rPr>
          <w:rFonts w:eastAsia="Garamond" w:cs="Garamond"/>
        </w:rPr>
        <w:t>below.</w:t>
      </w:r>
      <w:r w:rsidR="69D3321F" w:rsidRPr="61CF619C">
        <w:rPr>
          <w:rFonts w:eastAsia="Garamond" w:cs="Garamond"/>
        </w:rPr>
        <w:t xml:space="preserve"> Compliance with criterion 5 was assessed with reference to the February 2020 busbar allocations of the 2019 RSP Policy-driven Sensitivity Portfolio 1 described in the 2020-2021 TPP Report Release 2. </w:t>
      </w:r>
      <w:r w:rsidR="24D4A159" w:rsidRPr="61CF619C">
        <w:rPr>
          <w:rFonts w:eastAsia="Garamond" w:cs="Garamond"/>
        </w:rPr>
        <w:t xml:space="preserve">Storage Resources, </w:t>
      </w:r>
      <w:r w:rsidR="78028F50" w:rsidRPr="61CF619C">
        <w:rPr>
          <w:rFonts w:eastAsia="Garamond" w:cs="Garamond"/>
        </w:rPr>
        <w:t>both b</w:t>
      </w:r>
      <w:r w:rsidR="69D3321F" w:rsidRPr="61CF619C">
        <w:rPr>
          <w:rFonts w:eastAsia="Garamond" w:cs="Garamond"/>
        </w:rPr>
        <w:t>atteries</w:t>
      </w:r>
      <w:r w:rsidR="5D0178FA" w:rsidRPr="61CF619C">
        <w:rPr>
          <w:rFonts w:eastAsia="Garamond" w:cs="Garamond"/>
        </w:rPr>
        <w:t xml:space="preserve"> and pumped hydro storage,</w:t>
      </w:r>
      <w:r w:rsidR="69D3321F" w:rsidRPr="61CF619C">
        <w:rPr>
          <w:rFonts w:eastAsia="Garamond" w:cs="Garamond"/>
        </w:rPr>
        <w:t xml:space="preserve"> were not mapped during Round 1 so are not included in </w:t>
      </w:r>
      <w:r w:rsidR="002829AA">
        <w:rPr>
          <w:rFonts w:eastAsia="Garamond" w:cs="Garamond"/>
        </w:rPr>
        <w:fldChar w:fldCharType="begin"/>
      </w:r>
      <w:r w:rsidR="002829AA">
        <w:rPr>
          <w:rFonts w:eastAsia="Garamond" w:cs="Garamond"/>
        </w:rPr>
        <w:instrText xml:space="preserve"> REF _Ref63665280 \h </w:instrText>
      </w:r>
      <w:r w:rsidR="002829AA">
        <w:rPr>
          <w:rFonts w:eastAsia="Garamond" w:cs="Garamond"/>
        </w:rPr>
      </w:r>
      <w:r w:rsidR="002829AA">
        <w:rPr>
          <w:rFonts w:eastAsia="Garamond" w:cs="Garamond"/>
        </w:rPr>
        <w:fldChar w:fldCharType="separate"/>
      </w:r>
      <w:r w:rsidR="002829AA">
        <w:t xml:space="preserve">Table </w:t>
      </w:r>
      <w:r w:rsidR="002829AA">
        <w:rPr>
          <w:noProof/>
        </w:rPr>
        <w:t>12</w:t>
      </w:r>
      <w:r w:rsidR="002829AA">
        <w:rPr>
          <w:rFonts w:eastAsia="Garamond" w:cs="Garamond"/>
        </w:rPr>
        <w:fldChar w:fldCharType="end"/>
      </w:r>
      <w:r w:rsidR="004A1A78">
        <w:rPr>
          <w:rFonts w:eastAsia="Garamond" w:cs="Garamond"/>
        </w:rPr>
        <w:t xml:space="preserve"> </w:t>
      </w:r>
      <w:r w:rsidR="69D3321F" w:rsidRPr="61CF619C">
        <w:rPr>
          <w:rFonts w:eastAsia="Garamond" w:cs="Garamond"/>
        </w:rPr>
        <w:t>or accounted for in the transmission capability limits (criterion 2)</w:t>
      </w:r>
      <w:r w:rsidR="36103CA4" w:rsidRPr="61CF619C">
        <w:rPr>
          <w:rFonts w:eastAsia="Garamond" w:cs="Garamond"/>
        </w:rPr>
        <w:t>. They are mapped during Round 2.</w:t>
      </w:r>
    </w:p>
    <w:p w14:paraId="540E6F7C" w14:textId="77777777" w:rsidR="00B766BB" w:rsidRDefault="00B766BB" w:rsidP="74D6669D">
      <w:pPr>
        <w:spacing w:after="120" w:line="259" w:lineRule="auto"/>
        <w:rPr>
          <w:rFonts w:eastAsia="Garamond" w:cs="Garamond"/>
          <w:color w:val="000000" w:themeColor="text1"/>
        </w:rPr>
        <w:sectPr w:rsidR="00B766BB">
          <w:pgSz w:w="12240" w:h="15840"/>
          <w:pgMar w:top="1440" w:right="1440" w:bottom="1440" w:left="1440" w:header="720" w:footer="720" w:gutter="0"/>
          <w:cols w:space="720"/>
          <w:docGrid w:linePitch="360"/>
        </w:sectPr>
      </w:pPr>
    </w:p>
    <w:p w14:paraId="178F6616" w14:textId="49F195D9" w:rsidR="00390037" w:rsidRDefault="00390037" w:rsidP="74D6669D">
      <w:pPr>
        <w:spacing w:after="120" w:line="259" w:lineRule="auto"/>
        <w:rPr>
          <w:rFonts w:eastAsia="Garamond" w:cs="Garamond"/>
          <w:color w:val="000000" w:themeColor="text1"/>
        </w:rPr>
      </w:pPr>
    </w:p>
    <w:p w14:paraId="5D9391DE" w14:textId="0AF23870" w:rsidR="001D72D3" w:rsidRDefault="001D72D3" w:rsidP="005169DA">
      <w:pPr>
        <w:pStyle w:val="Caption"/>
        <w:keepNext/>
      </w:pPr>
      <w:bookmarkStart w:id="54" w:name="_Ref63665280"/>
      <w:r>
        <w:t xml:space="preserve">Table </w:t>
      </w:r>
      <w:r w:rsidR="00F02B49">
        <w:fldChar w:fldCharType="begin"/>
      </w:r>
      <w:r w:rsidR="00F02B49">
        <w:instrText xml:space="preserve"> SEQ Table \* ARABIC </w:instrText>
      </w:r>
      <w:r w:rsidR="00F02B49">
        <w:fldChar w:fldCharType="separate"/>
      </w:r>
      <w:r>
        <w:rPr>
          <w:noProof/>
        </w:rPr>
        <w:t>12</w:t>
      </w:r>
      <w:r w:rsidR="00F02B49">
        <w:rPr>
          <w:noProof/>
        </w:rPr>
        <w:fldChar w:fldCharType="end"/>
      </w:r>
      <w:bookmarkEnd w:id="54"/>
      <w:r>
        <w:t xml:space="preserve">. </w:t>
      </w:r>
      <w:r w:rsidRPr="001D72D3">
        <w:t>Dashboard showing compliance of busbar allocations for the 38 MMT portfolio, after Round 1 mapping, with the criteria</w:t>
      </w:r>
    </w:p>
    <w:p w14:paraId="4892D30E" w14:textId="246CBF60" w:rsidR="00B766BB" w:rsidRDefault="727092C0" w:rsidP="00E224A3">
      <w:pPr>
        <w:keepNext/>
        <w:spacing w:after="120" w:line="259" w:lineRule="auto"/>
      </w:pPr>
      <w:r>
        <w:rPr>
          <w:noProof/>
        </w:rPr>
        <w:drawing>
          <wp:inline distT="0" distB="0" distL="0" distR="0" wp14:anchorId="60D2632E" wp14:editId="4382B1C5">
            <wp:extent cx="8229600" cy="4400550"/>
            <wp:effectExtent l="0" t="0" r="0" b="0"/>
            <wp:docPr id="510168456" name="Picture 51016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68456"/>
                    <pic:cNvPicPr/>
                  </pic:nvPicPr>
                  <pic:blipFill>
                    <a:blip r:embed="rId26">
                      <a:extLst>
                        <a:ext uri="{28A0092B-C50C-407E-A947-70E740481C1C}">
                          <a14:useLocalDpi xmlns:a14="http://schemas.microsoft.com/office/drawing/2010/main" val="0"/>
                        </a:ext>
                      </a:extLst>
                    </a:blip>
                    <a:stretch>
                      <a:fillRect/>
                    </a:stretch>
                  </pic:blipFill>
                  <pic:spPr>
                    <a:xfrm>
                      <a:off x="0" y="0"/>
                      <a:ext cx="8229600" cy="4400550"/>
                    </a:xfrm>
                    <a:prstGeom prst="rect">
                      <a:avLst/>
                    </a:prstGeom>
                  </pic:spPr>
                </pic:pic>
              </a:graphicData>
            </a:graphic>
          </wp:inline>
        </w:drawing>
      </w:r>
    </w:p>
    <w:p w14:paraId="7BBE989D" w14:textId="77777777" w:rsidR="00E224A3" w:rsidRPr="00196C06" w:rsidRDefault="00E224A3" w:rsidP="00196C06">
      <w:pPr>
        <w:keepNext/>
        <w:spacing w:after="120" w:line="259" w:lineRule="auto"/>
      </w:pPr>
    </w:p>
    <w:p w14:paraId="33D31EAE" w14:textId="77777777" w:rsidR="00B766BB" w:rsidRDefault="00B766BB" w:rsidP="00A24A87">
      <w:pPr>
        <w:spacing w:after="120" w:line="259" w:lineRule="auto"/>
        <w:ind w:left="0"/>
        <w:rPr>
          <w:rFonts w:eastAsia="Garamond" w:cs="Garamond"/>
          <w:color w:val="000000" w:themeColor="text1"/>
        </w:rPr>
        <w:sectPr w:rsidR="00B766BB" w:rsidSect="00196C06">
          <w:pgSz w:w="15840" w:h="12240" w:orient="landscape"/>
          <w:pgMar w:top="1440" w:right="1440" w:bottom="1440" w:left="1440" w:header="720" w:footer="720" w:gutter="0"/>
          <w:cols w:space="720"/>
          <w:docGrid w:linePitch="360"/>
        </w:sectPr>
      </w:pPr>
    </w:p>
    <w:p w14:paraId="06D02113" w14:textId="554C90BF" w:rsidR="39700608" w:rsidRDefault="39700608" w:rsidP="057D115D">
      <w:pPr>
        <w:spacing w:after="160" w:line="259" w:lineRule="auto"/>
        <w:rPr>
          <w:rFonts w:eastAsia="Garamond" w:cs="Garamond"/>
          <w:b/>
          <w:bCs/>
          <w:color w:val="000000" w:themeColor="text1"/>
        </w:rPr>
      </w:pPr>
      <w:r w:rsidRPr="057D115D">
        <w:rPr>
          <w:rFonts w:eastAsia="Garamond" w:cs="Garamond"/>
          <w:b/>
          <w:bCs/>
          <w:color w:val="000000" w:themeColor="text1"/>
        </w:rPr>
        <w:lastRenderedPageBreak/>
        <w:t>Proposed Adjustments for Round 2 of Mapping</w:t>
      </w:r>
    </w:p>
    <w:p w14:paraId="484C2669" w14:textId="063943B0" w:rsidR="00390037" w:rsidRPr="00BD2C6D" w:rsidRDefault="00FFB94C" w:rsidP="00A24A87">
      <w:pPr>
        <w:spacing w:after="160" w:line="259" w:lineRule="auto"/>
        <w:rPr>
          <w:rFonts w:eastAsia="Garamond" w:cs="Garamond"/>
          <w:color w:val="000000" w:themeColor="text1"/>
        </w:rPr>
      </w:pPr>
      <w:r w:rsidRPr="4BC5E5FE">
        <w:rPr>
          <w:rFonts w:eastAsia="Garamond" w:cs="Garamond"/>
          <w:color w:val="000000" w:themeColor="text1"/>
        </w:rPr>
        <w:t xml:space="preserve">Following Round 1 mapping, </w:t>
      </w:r>
      <w:r w:rsidR="2974A3CA" w:rsidRPr="4BC5E5FE">
        <w:rPr>
          <w:rFonts w:eastAsia="Garamond" w:cs="Garamond"/>
          <w:color w:val="000000" w:themeColor="text1"/>
        </w:rPr>
        <w:t xml:space="preserve">CPUC staff observed the material non-compliances with </w:t>
      </w:r>
      <w:r w:rsidR="003C0C02" w:rsidRPr="4BC5E5FE">
        <w:rPr>
          <w:rFonts w:eastAsia="Garamond" w:cs="Garamond"/>
          <w:color w:val="000000" w:themeColor="text1"/>
        </w:rPr>
        <w:t>criterion</w:t>
      </w:r>
      <w:r w:rsidR="2974A3CA" w:rsidRPr="4BC5E5FE">
        <w:rPr>
          <w:rFonts w:eastAsia="Garamond" w:cs="Garamond"/>
          <w:color w:val="000000" w:themeColor="text1"/>
        </w:rPr>
        <w:t xml:space="preserve"> 2 (transmission capability) and determined that further changes were necessary to resolve these non-compliances. These changes, as well as some unrelated improvements, were </w:t>
      </w:r>
      <w:r w:rsidR="06E92A51" w:rsidRPr="4BC5E5FE">
        <w:rPr>
          <w:rFonts w:eastAsia="Garamond" w:cs="Garamond"/>
          <w:color w:val="000000" w:themeColor="text1"/>
        </w:rPr>
        <w:t xml:space="preserve">recommended </w:t>
      </w:r>
      <w:r w:rsidR="2974A3CA" w:rsidRPr="4BC5E5FE">
        <w:rPr>
          <w:rFonts w:eastAsia="Garamond" w:cs="Garamond"/>
          <w:color w:val="000000" w:themeColor="text1"/>
        </w:rPr>
        <w:t xml:space="preserve">by </w:t>
      </w:r>
      <w:r w:rsidR="38778B68" w:rsidRPr="4BC5E5FE">
        <w:rPr>
          <w:rFonts w:eastAsia="Garamond" w:cs="Garamond"/>
          <w:color w:val="000000" w:themeColor="text1"/>
        </w:rPr>
        <w:t xml:space="preserve">CPUC </w:t>
      </w:r>
      <w:r w:rsidR="2974A3CA" w:rsidRPr="4BC5E5FE">
        <w:rPr>
          <w:rFonts w:eastAsia="Garamond" w:cs="Garamond"/>
          <w:color w:val="000000" w:themeColor="text1"/>
        </w:rPr>
        <w:t>staff</w:t>
      </w:r>
      <w:r w:rsidR="2E42E9D0" w:rsidRPr="4BC5E5FE">
        <w:rPr>
          <w:rFonts w:eastAsia="Garamond" w:cs="Garamond"/>
          <w:color w:val="000000" w:themeColor="text1"/>
        </w:rPr>
        <w:t xml:space="preserve"> as </w:t>
      </w:r>
      <w:r w:rsidR="2195AD07" w:rsidRPr="4BC5E5FE">
        <w:rPr>
          <w:rFonts w:eastAsia="Garamond" w:cs="Garamond"/>
          <w:color w:val="000000" w:themeColor="text1"/>
        </w:rPr>
        <w:t>adjustments</w:t>
      </w:r>
      <w:r w:rsidR="2E42E9D0" w:rsidRPr="4BC5E5FE">
        <w:rPr>
          <w:rFonts w:eastAsia="Garamond" w:cs="Garamond"/>
          <w:color w:val="000000" w:themeColor="text1"/>
        </w:rPr>
        <w:t xml:space="preserve"> for Round 2</w:t>
      </w:r>
      <w:r w:rsidR="2974A3CA" w:rsidRPr="4BC5E5FE">
        <w:rPr>
          <w:rFonts w:eastAsia="Garamond" w:cs="Garamond"/>
          <w:color w:val="000000" w:themeColor="text1"/>
        </w:rPr>
        <w:t>:</w:t>
      </w:r>
    </w:p>
    <w:p w14:paraId="3C50B566" w14:textId="33485581" w:rsidR="00390037" w:rsidRPr="00BD2C6D" w:rsidRDefault="71491220" w:rsidP="40A5FC40">
      <w:pPr>
        <w:pStyle w:val="ListParagraph"/>
        <w:numPr>
          <w:ilvl w:val="0"/>
          <w:numId w:val="132"/>
        </w:numPr>
        <w:spacing w:after="160" w:line="259" w:lineRule="auto"/>
        <w:rPr>
          <w:rFonts w:asciiTheme="minorHAnsi" w:eastAsiaTheme="minorEastAsia" w:hAnsiTheme="minorHAnsi" w:cstheme="minorBidi"/>
          <w:color w:val="000000" w:themeColor="text1"/>
        </w:rPr>
      </w:pPr>
      <w:r w:rsidRPr="40A5FC40">
        <w:rPr>
          <w:rFonts w:eastAsia="Garamond" w:cs="Garamond"/>
          <w:color w:val="000000" w:themeColor="text1"/>
        </w:rPr>
        <w:t xml:space="preserve">Solar resources in “Ex” Zones: Staff determined it was necessary to </w:t>
      </w:r>
      <w:r w:rsidR="3892F31F" w:rsidRPr="40A5FC40">
        <w:rPr>
          <w:rFonts w:eastAsia="Garamond" w:cs="Garamond"/>
          <w:color w:val="000000" w:themeColor="text1"/>
        </w:rPr>
        <w:t xml:space="preserve">reallocate </w:t>
      </w:r>
      <w:r w:rsidRPr="40A5FC40">
        <w:rPr>
          <w:rFonts w:eastAsia="Garamond" w:cs="Garamond"/>
          <w:color w:val="000000" w:themeColor="text1"/>
        </w:rPr>
        <w:t>these solar resources from “Ex” zone</w:t>
      </w:r>
      <w:r w:rsidR="5B18DB65" w:rsidRPr="40A5FC40">
        <w:rPr>
          <w:rFonts w:eastAsia="Garamond" w:cs="Garamond"/>
          <w:color w:val="000000" w:themeColor="text1"/>
        </w:rPr>
        <w:t>s</w:t>
      </w:r>
      <w:r w:rsidRPr="40A5FC40">
        <w:rPr>
          <w:rFonts w:eastAsia="Garamond" w:cs="Garamond"/>
          <w:color w:val="000000" w:themeColor="text1"/>
        </w:rPr>
        <w:t>. The rationale for these reallocations is consistent with that described for the 46 MMT</w:t>
      </w:r>
      <w:r w:rsidR="46F84D36" w:rsidRPr="40A5FC40">
        <w:rPr>
          <w:rFonts w:eastAsia="Garamond" w:cs="Garamond"/>
          <w:color w:val="000000" w:themeColor="text1"/>
        </w:rPr>
        <w:t xml:space="preserve"> </w:t>
      </w:r>
      <w:r w:rsidR="0CDCF2D1" w:rsidRPr="40A5FC40">
        <w:rPr>
          <w:rFonts w:eastAsia="Garamond" w:cs="Garamond"/>
          <w:color w:val="000000" w:themeColor="text1"/>
        </w:rPr>
        <w:t>Portfolio </w:t>
      </w:r>
      <w:r w:rsidRPr="40A5FC40">
        <w:rPr>
          <w:rFonts w:eastAsia="Garamond" w:cs="Garamond"/>
          <w:color w:val="000000" w:themeColor="text1"/>
        </w:rPr>
        <w:t xml:space="preserve">in Section </w:t>
      </w:r>
      <w:r w:rsidR="00F040BF">
        <w:rPr>
          <w:rFonts w:eastAsia="Garamond" w:cs="Garamond"/>
          <w:color w:val="000000" w:themeColor="text1"/>
        </w:rPr>
        <w:fldChar w:fldCharType="begin"/>
      </w:r>
      <w:r w:rsidR="00F040BF">
        <w:rPr>
          <w:rFonts w:eastAsia="Garamond" w:cs="Garamond"/>
          <w:color w:val="000000" w:themeColor="text1"/>
        </w:rPr>
        <w:instrText xml:space="preserve"> REF _Ref59129863 \r \h </w:instrText>
      </w:r>
      <w:r w:rsidR="00F040BF">
        <w:rPr>
          <w:rFonts w:eastAsia="Garamond" w:cs="Garamond"/>
          <w:color w:val="000000" w:themeColor="text1"/>
        </w:rPr>
      </w:r>
      <w:r w:rsidR="00F040BF">
        <w:rPr>
          <w:rFonts w:eastAsia="Garamond" w:cs="Garamond"/>
          <w:color w:val="000000" w:themeColor="text1"/>
        </w:rPr>
        <w:fldChar w:fldCharType="separate"/>
      </w:r>
      <w:r w:rsidR="003B7A14">
        <w:rPr>
          <w:rFonts w:eastAsia="Garamond" w:cs="Garamond"/>
          <w:color w:val="000000" w:themeColor="text1"/>
        </w:rPr>
        <w:t>6.1</w:t>
      </w:r>
      <w:r w:rsidR="00F040BF">
        <w:rPr>
          <w:rFonts w:eastAsia="Garamond" w:cs="Garamond"/>
          <w:color w:val="000000" w:themeColor="text1"/>
        </w:rPr>
        <w:fldChar w:fldCharType="end"/>
      </w:r>
      <w:r w:rsidRPr="40A5FC40">
        <w:rPr>
          <w:rFonts w:eastAsia="Garamond" w:cs="Garamond"/>
          <w:color w:val="000000" w:themeColor="text1"/>
        </w:rPr>
        <w:t xml:space="preserve"> above.</w:t>
      </w:r>
    </w:p>
    <w:p w14:paraId="2F4E6875" w14:textId="163E0035" w:rsidR="00390037" w:rsidRPr="00BD2C6D" w:rsidRDefault="2974A3CA" w:rsidP="40A5FC40">
      <w:pPr>
        <w:pStyle w:val="ListParagraph"/>
        <w:numPr>
          <w:ilvl w:val="1"/>
          <w:numId w:val="132"/>
        </w:numPr>
        <w:spacing w:after="160" w:line="259" w:lineRule="auto"/>
        <w:rPr>
          <w:rFonts w:asciiTheme="minorHAnsi" w:eastAsiaTheme="minorEastAsia" w:hAnsiTheme="minorHAnsi" w:cstheme="minorBidi"/>
          <w:color w:val="000000" w:themeColor="text1"/>
        </w:rPr>
      </w:pPr>
      <w:proofErr w:type="spellStart"/>
      <w:r w:rsidRPr="40A5FC40">
        <w:rPr>
          <w:rFonts w:eastAsia="Garamond" w:cs="Garamond"/>
          <w:color w:val="000000" w:themeColor="text1"/>
        </w:rPr>
        <w:t>Westlands</w:t>
      </w:r>
      <w:proofErr w:type="spellEnd"/>
      <w:r w:rsidRPr="40A5FC40">
        <w:rPr>
          <w:rFonts w:eastAsia="Garamond" w:cs="Garamond"/>
          <w:color w:val="000000" w:themeColor="text1"/>
        </w:rPr>
        <w:t xml:space="preserve"> Ex Solar: </w:t>
      </w:r>
      <w:r w:rsidR="09F2C5EF" w:rsidRPr="40A5FC40">
        <w:rPr>
          <w:rFonts w:eastAsia="Garamond" w:cs="Garamond"/>
          <w:color w:val="000000" w:themeColor="text1"/>
        </w:rPr>
        <w:t xml:space="preserve">reallocate </w:t>
      </w:r>
      <w:r w:rsidRPr="40A5FC40">
        <w:rPr>
          <w:rFonts w:eastAsia="Garamond" w:cs="Garamond"/>
          <w:color w:val="000000" w:themeColor="text1"/>
        </w:rPr>
        <w:t xml:space="preserve">955 MW, 623 MW, and 201 MW FD to </w:t>
      </w:r>
      <w:proofErr w:type="spellStart"/>
      <w:r w:rsidRPr="40A5FC40">
        <w:rPr>
          <w:rFonts w:eastAsia="Garamond" w:cs="Garamond"/>
          <w:color w:val="000000" w:themeColor="text1"/>
        </w:rPr>
        <w:t>Westlands</w:t>
      </w:r>
      <w:proofErr w:type="spellEnd"/>
      <w:r w:rsidRPr="40A5FC40">
        <w:rPr>
          <w:rFonts w:eastAsia="Garamond" w:cs="Garamond"/>
          <w:color w:val="000000" w:themeColor="text1"/>
        </w:rPr>
        <w:t xml:space="preserve"> Solar, Tehachapi Solar, and</w:t>
      </w:r>
      <w:r w:rsidR="0318806C" w:rsidRPr="40A5FC40">
        <w:rPr>
          <w:rFonts w:eastAsia="Garamond" w:cs="Garamond"/>
          <w:color w:val="000000" w:themeColor="text1"/>
        </w:rPr>
        <w:t xml:space="preserve"> </w:t>
      </w:r>
      <w:r w:rsidR="6AF5A21C" w:rsidRPr="40A5FC40">
        <w:rPr>
          <w:rFonts w:eastAsia="Garamond" w:cs="Garamond"/>
          <w:color w:val="000000" w:themeColor="text1"/>
        </w:rPr>
        <w:t>Pisgah Solar</w:t>
      </w:r>
      <w:r w:rsidRPr="40A5FC40">
        <w:rPr>
          <w:rFonts w:eastAsia="Garamond" w:cs="Garamond"/>
          <w:color w:val="000000" w:themeColor="text1"/>
        </w:rPr>
        <w:t xml:space="preserve"> respectively. The </w:t>
      </w:r>
      <w:proofErr w:type="spellStart"/>
      <w:r w:rsidRPr="40A5FC40">
        <w:rPr>
          <w:rFonts w:eastAsia="Garamond" w:cs="Garamond"/>
          <w:color w:val="000000" w:themeColor="text1"/>
        </w:rPr>
        <w:t>Westlands</w:t>
      </w:r>
      <w:proofErr w:type="spellEnd"/>
      <w:r w:rsidRPr="40A5FC40">
        <w:rPr>
          <w:rFonts w:eastAsia="Garamond" w:cs="Garamond"/>
          <w:color w:val="000000" w:themeColor="text1"/>
        </w:rPr>
        <w:t xml:space="preserve"> inner </w:t>
      </w:r>
      <w:r w:rsidR="4C381A96" w:rsidRPr="40A5FC40">
        <w:rPr>
          <w:rFonts w:eastAsia="Garamond" w:cs="Garamond"/>
          <w:color w:val="000000" w:themeColor="text1"/>
        </w:rPr>
        <w:t xml:space="preserve">renewable </w:t>
      </w:r>
      <w:r w:rsidR="66BB0CF2" w:rsidRPr="40A5FC40">
        <w:rPr>
          <w:rFonts w:eastAsia="Garamond" w:cs="Garamond"/>
          <w:color w:val="000000" w:themeColor="text1"/>
        </w:rPr>
        <w:t xml:space="preserve">transmission zone </w:t>
      </w:r>
      <w:r w:rsidRPr="40A5FC40">
        <w:rPr>
          <w:rFonts w:eastAsia="Garamond" w:cs="Garamond"/>
          <w:color w:val="000000" w:themeColor="text1"/>
        </w:rPr>
        <w:t>and</w:t>
      </w:r>
      <w:r w:rsidR="5F6F2776" w:rsidRPr="40A5FC40">
        <w:rPr>
          <w:rFonts w:eastAsia="Garamond" w:cs="Garamond"/>
          <w:color w:val="000000" w:themeColor="text1"/>
        </w:rPr>
        <w:t xml:space="preserve"> the Southern PG&amp;E</w:t>
      </w:r>
      <w:r w:rsidRPr="40A5FC40">
        <w:rPr>
          <w:rFonts w:eastAsia="Garamond" w:cs="Garamond"/>
          <w:color w:val="000000" w:themeColor="text1"/>
        </w:rPr>
        <w:t xml:space="preserve"> outer </w:t>
      </w:r>
      <w:r w:rsidR="3060573B" w:rsidRPr="40A5FC40">
        <w:rPr>
          <w:rFonts w:eastAsia="Garamond" w:cs="Garamond"/>
          <w:color w:val="000000" w:themeColor="text1"/>
        </w:rPr>
        <w:t xml:space="preserve">renewable </w:t>
      </w:r>
      <w:r w:rsidRPr="40A5FC40">
        <w:rPr>
          <w:rFonts w:eastAsia="Garamond" w:cs="Garamond"/>
          <w:color w:val="000000" w:themeColor="text1"/>
        </w:rPr>
        <w:t xml:space="preserve">transmission zone do not have enough transmission capability to accommodate all the resource, so it is also </w:t>
      </w:r>
      <w:r w:rsidR="358DAB77" w:rsidRPr="40A5FC40">
        <w:rPr>
          <w:rFonts w:eastAsia="Garamond" w:cs="Garamond"/>
          <w:color w:val="000000" w:themeColor="text1"/>
        </w:rPr>
        <w:t>reallocated</w:t>
      </w:r>
      <w:r w:rsidR="3E2D75B4" w:rsidRPr="40A5FC40">
        <w:rPr>
          <w:rFonts w:eastAsia="Garamond" w:cs="Garamond"/>
          <w:color w:val="000000" w:themeColor="text1"/>
        </w:rPr>
        <w:t xml:space="preserve"> </w:t>
      </w:r>
      <w:r w:rsidRPr="40A5FC40">
        <w:rPr>
          <w:rFonts w:eastAsia="Garamond" w:cs="Garamond"/>
          <w:color w:val="000000" w:themeColor="text1"/>
        </w:rPr>
        <w:t xml:space="preserve">to the Tehachapi and Pisgah </w:t>
      </w:r>
      <w:r w:rsidR="4F65D9D0" w:rsidRPr="40A5FC40">
        <w:rPr>
          <w:rFonts w:eastAsia="Garamond" w:cs="Garamond"/>
          <w:color w:val="000000" w:themeColor="text1"/>
        </w:rPr>
        <w:t>resource</w:t>
      </w:r>
      <w:r w:rsidR="5A3CE312" w:rsidRPr="40A5FC40">
        <w:rPr>
          <w:rFonts w:eastAsia="Garamond" w:cs="Garamond"/>
          <w:color w:val="000000" w:themeColor="text1"/>
        </w:rPr>
        <w:t xml:space="preserve">s </w:t>
      </w:r>
      <w:r w:rsidRPr="40A5FC40">
        <w:rPr>
          <w:rFonts w:eastAsia="Garamond" w:cs="Garamond"/>
          <w:color w:val="000000" w:themeColor="text1"/>
        </w:rPr>
        <w:t>based on the availability of commercial interest and transmission capability</w:t>
      </w:r>
      <w:r w:rsidR="16DA6E68" w:rsidRPr="40A5FC40">
        <w:rPr>
          <w:rFonts w:eastAsia="Garamond" w:cs="Garamond"/>
          <w:color w:val="000000" w:themeColor="text1"/>
        </w:rPr>
        <w:t xml:space="preserve"> available for each resource</w:t>
      </w:r>
      <w:r w:rsidRPr="40A5FC40">
        <w:rPr>
          <w:rFonts w:eastAsia="Garamond" w:cs="Garamond"/>
          <w:color w:val="000000" w:themeColor="text1"/>
        </w:rPr>
        <w:t>.</w:t>
      </w:r>
    </w:p>
    <w:p w14:paraId="5F88E2BE" w14:textId="5EA292A1" w:rsidR="00390037" w:rsidRPr="00BD2C6D" w:rsidRDefault="2974A3CA" w:rsidP="40A5FC40">
      <w:pPr>
        <w:pStyle w:val="ListParagraph"/>
        <w:numPr>
          <w:ilvl w:val="1"/>
          <w:numId w:val="132"/>
        </w:numPr>
        <w:spacing w:after="160" w:line="259" w:lineRule="auto"/>
        <w:rPr>
          <w:rFonts w:asciiTheme="minorHAnsi" w:eastAsiaTheme="minorEastAsia" w:hAnsiTheme="minorHAnsi" w:cstheme="minorBidi"/>
          <w:color w:val="000000" w:themeColor="text1"/>
        </w:rPr>
      </w:pPr>
      <w:r w:rsidRPr="40A5FC40">
        <w:rPr>
          <w:rFonts w:eastAsia="Garamond" w:cs="Garamond"/>
          <w:color w:val="000000" w:themeColor="text1"/>
        </w:rPr>
        <w:t xml:space="preserve">Southern California Desert Ex Solar: </w:t>
      </w:r>
      <w:r w:rsidR="63772E50" w:rsidRPr="13A18B61">
        <w:rPr>
          <w:rFonts w:eastAsia="Garamond" w:cs="Garamond"/>
          <w:color w:val="000000" w:themeColor="text1"/>
        </w:rPr>
        <w:t>reallocate</w:t>
      </w:r>
      <w:r w:rsidR="33B3D8B4" w:rsidRPr="13A18B61">
        <w:rPr>
          <w:rFonts w:eastAsia="Garamond" w:cs="Garamond"/>
          <w:color w:val="000000" w:themeColor="text1"/>
        </w:rPr>
        <w:t xml:space="preserve"> </w:t>
      </w:r>
      <w:r w:rsidRPr="13A18B61">
        <w:rPr>
          <w:rFonts w:eastAsia="Garamond" w:cs="Garamond"/>
          <w:color w:val="000000" w:themeColor="text1"/>
        </w:rPr>
        <w:t>182</w:t>
      </w:r>
      <w:r w:rsidRPr="40A5FC40">
        <w:rPr>
          <w:rFonts w:eastAsia="Garamond" w:cs="Garamond"/>
          <w:color w:val="000000" w:themeColor="text1"/>
        </w:rPr>
        <w:t xml:space="preserve"> MW FD to Southern Nevada Solar, 600 MW FD to Greater Imperial Solar, and 80 MW FD to</w:t>
      </w:r>
      <w:r w:rsidR="70759177" w:rsidRPr="40A5FC40">
        <w:rPr>
          <w:rFonts w:eastAsia="Garamond" w:cs="Garamond"/>
          <w:color w:val="000000" w:themeColor="text1"/>
        </w:rPr>
        <w:t xml:space="preserve"> Southern California Desert and Southern Nevada</w:t>
      </w:r>
      <w:r w:rsidRPr="40A5FC40">
        <w:rPr>
          <w:rFonts w:eastAsia="Garamond" w:cs="Garamond"/>
          <w:color w:val="000000" w:themeColor="text1"/>
        </w:rPr>
        <w:t xml:space="preserve"> </w:t>
      </w:r>
      <w:r w:rsidR="0CBD0CA2" w:rsidRPr="40A5FC40">
        <w:rPr>
          <w:rFonts w:eastAsia="Garamond" w:cs="Garamond"/>
          <w:color w:val="000000" w:themeColor="text1"/>
        </w:rPr>
        <w:t>Solar</w:t>
      </w:r>
      <w:r w:rsidRPr="40A5FC40">
        <w:rPr>
          <w:rFonts w:eastAsia="Garamond" w:cs="Garamond"/>
          <w:color w:val="000000" w:themeColor="text1"/>
        </w:rPr>
        <w:t xml:space="preserve">. Priority is placed on allocating FD MW to Southern Nevada </w:t>
      </w:r>
      <w:r w:rsidR="46C87E6A" w:rsidRPr="40A5FC40">
        <w:rPr>
          <w:rFonts w:eastAsia="Garamond" w:cs="Garamond"/>
          <w:color w:val="000000" w:themeColor="text1"/>
        </w:rPr>
        <w:t>S</w:t>
      </w:r>
      <w:r w:rsidRPr="40A5FC40">
        <w:rPr>
          <w:rFonts w:eastAsia="Garamond" w:cs="Garamond"/>
          <w:color w:val="000000" w:themeColor="text1"/>
        </w:rPr>
        <w:t xml:space="preserve">olar at substations in the GLW-VEA </w:t>
      </w:r>
      <w:r w:rsidR="6A05C3F8" w:rsidRPr="40A5FC40">
        <w:rPr>
          <w:rFonts w:eastAsia="Garamond" w:cs="Garamond"/>
          <w:color w:val="000000" w:themeColor="text1"/>
        </w:rPr>
        <w:t xml:space="preserve">renewable </w:t>
      </w:r>
      <w:r w:rsidR="17928216" w:rsidRPr="40A5FC40">
        <w:rPr>
          <w:rFonts w:eastAsia="Garamond" w:cs="Garamond"/>
          <w:color w:val="000000" w:themeColor="text1"/>
        </w:rPr>
        <w:t>transmission</w:t>
      </w:r>
      <w:r w:rsidR="285F485D" w:rsidRPr="40A5FC40">
        <w:rPr>
          <w:rFonts w:eastAsia="Garamond" w:cs="Garamond"/>
          <w:color w:val="000000" w:themeColor="text1"/>
        </w:rPr>
        <w:t xml:space="preserve"> zone</w:t>
      </w:r>
      <w:r w:rsidRPr="40A5FC40">
        <w:rPr>
          <w:rFonts w:eastAsia="Garamond" w:cs="Garamond"/>
          <w:color w:val="000000" w:themeColor="text1"/>
        </w:rPr>
        <w:t xml:space="preserve"> due to their proximity to the selected resources. To avoid exceeding the GLW-VEA transmission limit, resources are then </w:t>
      </w:r>
      <w:r w:rsidR="08E770C1" w:rsidRPr="40A5FC40">
        <w:rPr>
          <w:rFonts w:eastAsia="Garamond" w:cs="Garamond"/>
          <w:color w:val="000000" w:themeColor="text1"/>
        </w:rPr>
        <w:t xml:space="preserve">reallocated </w:t>
      </w:r>
      <w:r w:rsidRPr="40A5FC40">
        <w:rPr>
          <w:rFonts w:eastAsia="Garamond" w:cs="Garamond"/>
          <w:color w:val="000000" w:themeColor="text1"/>
        </w:rPr>
        <w:t>to Greater Imperial Solar</w:t>
      </w:r>
      <w:r w:rsidR="159C3201" w:rsidRPr="40A5FC40">
        <w:rPr>
          <w:rFonts w:eastAsia="Garamond" w:cs="Garamond"/>
          <w:color w:val="000000" w:themeColor="text1"/>
        </w:rPr>
        <w:t>.</w:t>
      </w:r>
      <w:r w:rsidRPr="40A5FC40">
        <w:rPr>
          <w:rFonts w:eastAsia="Garamond" w:cs="Garamond"/>
          <w:color w:val="000000" w:themeColor="text1"/>
        </w:rPr>
        <w:t xml:space="preserve"> </w:t>
      </w:r>
      <w:r w:rsidR="216B3623" w:rsidRPr="40A5FC40">
        <w:rPr>
          <w:rFonts w:eastAsia="Garamond" w:cs="Garamond"/>
          <w:color w:val="000000" w:themeColor="text1"/>
        </w:rPr>
        <w:t>T</w:t>
      </w:r>
      <w:r w:rsidR="6C44C6B2" w:rsidRPr="40A5FC40">
        <w:rPr>
          <w:rFonts w:eastAsia="Garamond" w:cs="Garamond"/>
          <w:color w:val="000000" w:themeColor="text1"/>
        </w:rPr>
        <w:t xml:space="preserve">hen </w:t>
      </w:r>
      <w:r w:rsidR="438B3544" w:rsidRPr="40A5FC40">
        <w:rPr>
          <w:rFonts w:eastAsia="Garamond" w:cs="Garamond"/>
          <w:color w:val="000000" w:themeColor="text1"/>
        </w:rPr>
        <w:t xml:space="preserve">resources are reallocated to </w:t>
      </w:r>
      <w:r w:rsidR="378A2A05" w:rsidRPr="40A5FC40">
        <w:rPr>
          <w:rFonts w:eastAsia="Garamond" w:cs="Garamond"/>
          <w:color w:val="000000" w:themeColor="text1"/>
        </w:rPr>
        <w:t>Southern California Desert and Southern Nevada Solar</w:t>
      </w:r>
      <w:r w:rsidR="78E1E98F" w:rsidRPr="40A5FC40">
        <w:rPr>
          <w:rFonts w:eastAsia="Garamond" w:cs="Garamond"/>
          <w:color w:val="000000" w:themeColor="text1"/>
        </w:rPr>
        <w:t xml:space="preserve"> and </w:t>
      </w:r>
      <w:r w:rsidR="378A2A05" w:rsidRPr="40A5FC40">
        <w:rPr>
          <w:rFonts w:eastAsia="Garamond" w:cs="Garamond"/>
          <w:color w:val="000000" w:themeColor="text1"/>
        </w:rPr>
        <w:t xml:space="preserve">specifically mapped to </w:t>
      </w:r>
      <w:r w:rsidRPr="40A5FC40">
        <w:rPr>
          <w:rFonts w:eastAsia="Garamond" w:cs="Garamond"/>
          <w:color w:val="000000" w:themeColor="text1"/>
        </w:rPr>
        <w:t>the Mohave 500 kV substation to avoid exceeding the Greater Imperial zone’s transmission limit.</w:t>
      </w:r>
    </w:p>
    <w:p w14:paraId="107820EC" w14:textId="73EF6C84" w:rsidR="00390037" w:rsidRPr="00BD2C6D" w:rsidRDefault="2974A3CA" w:rsidP="40A5FC40">
      <w:pPr>
        <w:pStyle w:val="ListParagraph"/>
        <w:numPr>
          <w:ilvl w:val="1"/>
          <w:numId w:val="132"/>
        </w:numPr>
        <w:spacing w:after="160" w:line="259" w:lineRule="auto"/>
        <w:rPr>
          <w:rFonts w:asciiTheme="minorHAnsi" w:eastAsiaTheme="minorEastAsia" w:hAnsiTheme="minorHAnsi" w:cstheme="minorBidi"/>
          <w:color w:val="000000" w:themeColor="text1"/>
        </w:rPr>
      </w:pPr>
      <w:r w:rsidRPr="40A5FC40">
        <w:rPr>
          <w:rFonts w:eastAsia="Garamond" w:cs="Garamond"/>
          <w:color w:val="000000" w:themeColor="text1"/>
        </w:rPr>
        <w:t xml:space="preserve">Northern California Ex Solar: </w:t>
      </w:r>
      <w:r w:rsidR="7EE4AE0B" w:rsidRPr="40A5FC40">
        <w:rPr>
          <w:rFonts w:eastAsia="Garamond" w:cs="Garamond"/>
          <w:color w:val="000000" w:themeColor="text1"/>
        </w:rPr>
        <w:t xml:space="preserve">reallocate </w:t>
      </w:r>
      <w:r w:rsidRPr="40A5FC40">
        <w:rPr>
          <w:rFonts w:eastAsia="Garamond" w:cs="Garamond"/>
          <w:color w:val="000000" w:themeColor="text1"/>
        </w:rPr>
        <w:t xml:space="preserve">397 MW FD to Tehachapi Solar. The RESOLVE model run calls for new transmission </w:t>
      </w:r>
      <w:r w:rsidR="7CB05303" w:rsidRPr="40A5FC40">
        <w:rPr>
          <w:rFonts w:eastAsia="Garamond" w:cs="Garamond"/>
          <w:color w:val="000000" w:themeColor="text1"/>
        </w:rPr>
        <w:t xml:space="preserve">build </w:t>
      </w:r>
      <w:r w:rsidRPr="40A5FC40">
        <w:rPr>
          <w:rFonts w:eastAsia="Garamond" w:cs="Garamond"/>
          <w:color w:val="000000" w:themeColor="text1"/>
        </w:rPr>
        <w:t>in the Tehachapi</w:t>
      </w:r>
      <w:r w:rsidR="20A1448D" w:rsidRPr="40A5FC40">
        <w:rPr>
          <w:rFonts w:eastAsia="Garamond" w:cs="Garamond"/>
          <w:color w:val="000000" w:themeColor="text1"/>
        </w:rPr>
        <w:t xml:space="preserve"> </w:t>
      </w:r>
      <w:r w:rsidR="3E5560FE" w:rsidRPr="40A5FC40">
        <w:rPr>
          <w:rFonts w:eastAsia="Garamond" w:cs="Garamond"/>
          <w:color w:val="000000" w:themeColor="text1"/>
        </w:rPr>
        <w:t xml:space="preserve">renewable </w:t>
      </w:r>
      <w:r w:rsidR="20A1448D" w:rsidRPr="40A5FC40">
        <w:rPr>
          <w:rFonts w:eastAsia="Garamond" w:cs="Garamond"/>
          <w:color w:val="000000" w:themeColor="text1"/>
        </w:rPr>
        <w:t>transmission</w:t>
      </w:r>
      <w:r w:rsidRPr="40A5FC40">
        <w:rPr>
          <w:rFonts w:eastAsia="Garamond" w:cs="Garamond"/>
          <w:color w:val="000000" w:themeColor="text1"/>
        </w:rPr>
        <w:t xml:space="preserve"> zone that</w:t>
      </w:r>
      <w:r w:rsidR="225F61EE" w:rsidRPr="40A5FC40">
        <w:rPr>
          <w:rFonts w:eastAsia="Garamond" w:cs="Garamond"/>
          <w:color w:val="000000" w:themeColor="text1"/>
        </w:rPr>
        <w:t xml:space="preserve">, according to </w:t>
      </w:r>
      <w:r w:rsidR="225F61EE" w:rsidRPr="40A5FC40">
        <w:rPr>
          <w:color w:val="000000" w:themeColor="text1"/>
        </w:rPr>
        <w:t>CAISO staff’s guidance,</w:t>
      </w:r>
      <w:r w:rsidRPr="40A5FC40">
        <w:rPr>
          <w:rFonts w:eastAsia="Garamond" w:cs="Garamond"/>
          <w:color w:val="000000" w:themeColor="text1"/>
        </w:rPr>
        <w:t xml:space="preserve"> corresponds to a</w:t>
      </w:r>
      <w:r w:rsidR="3B699240" w:rsidRPr="40A5FC40">
        <w:rPr>
          <w:rFonts w:eastAsia="Garamond" w:cs="Garamond"/>
          <w:color w:val="000000" w:themeColor="text1"/>
        </w:rPr>
        <w:t xml:space="preserve"> transmission project that provides a </w:t>
      </w:r>
      <w:r w:rsidRPr="40A5FC40">
        <w:rPr>
          <w:rFonts w:eastAsia="Garamond" w:cs="Garamond"/>
          <w:color w:val="000000" w:themeColor="text1"/>
        </w:rPr>
        <w:t xml:space="preserve">1,000 MW </w:t>
      </w:r>
      <w:r w:rsidR="60BF6A3E" w:rsidRPr="40A5FC40">
        <w:rPr>
          <w:rFonts w:eastAsia="Garamond" w:cs="Garamond"/>
          <w:color w:val="000000" w:themeColor="text1"/>
        </w:rPr>
        <w:t>expansion</w:t>
      </w:r>
      <w:r w:rsidR="322DF17F" w:rsidRPr="40A5FC40">
        <w:rPr>
          <w:rFonts w:eastAsia="Garamond" w:cs="Garamond"/>
          <w:color w:val="000000" w:themeColor="text1"/>
        </w:rPr>
        <w:t xml:space="preserve"> for the Tehachapi </w:t>
      </w:r>
      <w:r w:rsidR="6E8D9522" w:rsidRPr="40A5FC40">
        <w:rPr>
          <w:rFonts w:eastAsia="Garamond" w:cs="Garamond"/>
          <w:color w:val="000000" w:themeColor="text1"/>
        </w:rPr>
        <w:t xml:space="preserve">renewable transmission </w:t>
      </w:r>
      <w:r w:rsidR="322DF17F" w:rsidRPr="40A5FC40">
        <w:rPr>
          <w:rFonts w:eastAsia="Garamond" w:cs="Garamond"/>
          <w:color w:val="000000" w:themeColor="text1"/>
        </w:rPr>
        <w:t>zone</w:t>
      </w:r>
      <w:r w:rsidRPr="40A5FC40">
        <w:rPr>
          <w:rFonts w:eastAsia="Garamond" w:cs="Garamond"/>
          <w:color w:val="000000" w:themeColor="text1"/>
        </w:rPr>
        <w:t xml:space="preserve">. This </w:t>
      </w:r>
      <w:r w:rsidR="5CC7AC39" w:rsidRPr="40A5FC40">
        <w:rPr>
          <w:rFonts w:eastAsia="Garamond" w:cs="Garamond"/>
          <w:color w:val="000000" w:themeColor="text1"/>
        </w:rPr>
        <w:t xml:space="preserve">expansion </w:t>
      </w:r>
      <w:r w:rsidRPr="40A5FC40">
        <w:rPr>
          <w:rFonts w:eastAsia="Garamond" w:cs="Garamond"/>
          <w:color w:val="000000" w:themeColor="text1"/>
        </w:rPr>
        <w:t xml:space="preserve">enables more </w:t>
      </w:r>
      <w:r w:rsidR="3ACE3C61" w:rsidRPr="40A5FC40">
        <w:rPr>
          <w:rFonts w:eastAsia="Garamond" w:cs="Garamond"/>
          <w:color w:val="000000" w:themeColor="text1"/>
        </w:rPr>
        <w:t>resources</w:t>
      </w:r>
      <w:r w:rsidRPr="40A5FC40">
        <w:rPr>
          <w:rFonts w:eastAsia="Garamond" w:cs="Garamond"/>
          <w:color w:val="000000" w:themeColor="text1"/>
        </w:rPr>
        <w:t xml:space="preserve"> to be </w:t>
      </w:r>
      <w:r w:rsidR="79E51CA0" w:rsidRPr="40A5FC40">
        <w:rPr>
          <w:rFonts w:eastAsia="Garamond" w:cs="Garamond"/>
          <w:color w:val="000000" w:themeColor="text1"/>
        </w:rPr>
        <w:t xml:space="preserve">reallocated </w:t>
      </w:r>
      <w:r w:rsidRPr="40A5FC40">
        <w:rPr>
          <w:rFonts w:eastAsia="Garamond" w:cs="Garamond"/>
          <w:color w:val="000000" w:themeColor="text1"/>
        </w:rPr>
        <w:t xml:space="preserve">in Tehachapi </w:t>
      </w:r>
      <w:r w:rsidR="0CAE8E4A" w:rsidRPr="40A5FC40">
        <w:rPr>
          <w:rFonts w:eastAsia="Garamond" w:cs="Garamond"/>
          <w:color w:val="000000" w:themeColor="text1"/>
        </w:rPr>
        <w:t>Solar</w:t>
      </w:r>
      <w:r w:rsidRPr="40A5FC40">
        <w:rPr>
          <w:rFonts w:eastAsia="Garamond" w:cs="Garamond"/>
          <w:color w:val="000000" w:themeColor="text1"/>
        </w:rPr>
        <w:t>.</w:t>
      </w:r>
    </w:p>
    <w:p w14:paraId="180E55DB" w14:textId="7AFEFF09" w:rsidR="00390037" w:rsidRPr="00BD2C6D" w:rsidRDefault="46790ED4" w:rsidP="40A5FC40">
      <w:pPr>
        <w:pStyle w:val="ListParagraph"/>
        <w:numPr>
          <w:ilvl w:val="0"/>
          <w:numId w:val="132"/>
        </w:numPr>
        <w:spacing w:after="160" w:line="259" w:lineRule="auto"/>
        <w:rPr>
          <w:rFonts w:asciiTheme="minorHAnsi" w:eastAsiaTheme="minorEastAsia" w:hAnsiTheme="minorHAnsi" w:cstheme="minorBidi"/>
          <w:color w:val="000000" w:themeColor="text1"/>
        </w:rPr>
      </w:pPr>
      <w:r w:rsidRPr="40A5FC40">
        <w:rPr>
          <w:rFonts w:eastAsia="Garamond" w:cs="Garamond"/>
          <w:color w:val="000000" w:themeColor="text1"/>
        </w:rPr>
        <w:t xml:space="preserve">Southern PG&amp;E </w:t>
      </w:r>
      <w:r w:rsidR="419D0586" w:rsidRPr="40A5FC40">
        <w:rPr>
          <w:rFonts w:eastAsia="Garamond" w:cs="Garamond"/>
          <w:color w:val="000000" w:themeColor="text1"/>
        </w:rPr>
        <w:t xml:space="preserve">renewable </w:t>
      </w:r>
      <w:r w:rsidRPr="40A5FC40">
        <w:rPr>
          <w:rFonts w:eastAsia="Garamond" w:cs="Garamond"/>
          <w:color w:val="000000" w:themeColor="text1"/>
        </w:rPr>
        <w:t>transmission zone: the RESOLVE model run calls for new transmission build in the Southern PG&amp;E transmission</w:t>
      </w:r>
      <w:r w:rsidR="54A8EBC1" w:rsidRPr="40A5FC40">
        <w:rPr>
          <w:rFonts w:eastAsia="Garamond" w:cs="Garamond"/>
          <w:color w:val="000000" w:themeColor="text1"/>
        </w:rPr>
        <w:t>.</w:t>
      </w:r>
      <w:r w:rsidRPr="40A5FC40">
        <w:rPr>
          <w:rFonts w:eastAsia="Garamond" w:cs="Garamond"/>
          <w:color w:val="000000" w:themeColor="text1"/>
        </w:rPr>
        <w:t xml:space="preserve"> </w:t>
      </w:r>
      <w:r w:rsidR="31C3DFD1" w:rsidRPr="40A5FC40">
        <w:rPr>
          <w:rFonts w:eastAsia="Garamond" w:cs="Garamond"/>
          <w:color w:val="000000" w:themeColor="text1"/>
        </w:rPr>
        <w:t xml:space="preserve"> CAISO staff’s guidance is that this corresponds to a transmission project that provides a 1,000 MW expansion for both the </w:t>
      </w:r>
      <w:proofErr w:type="spellStart"/>
      <w:r w:rsidR="31C3DFD1" w:rsidRPr="40A5FC40">
        <w:rPr>
          <w:rFonts w:eastAsia="Garamond" w:cs="Garamond"/>
          <w:color w:val="000000" w:themeColor="text1"/>
        </w:rPr>
        <w:t>Westlands</w:t>
      </w:r>
      <w:proofErr w:type="spellEnd"/>
      <w:r w:rsidR="31C3DFD1" w:rsidRPr="40A5FC40">
        <w:rPr>
          <w:rFonts w:eastAsia="Garamond" w:cs="Garamond"/>
          <w:color w:val="000000" w:themeColor="text1"/>
        </w:rPr>
        <w:t xml:space="preserve"> inner </w:t>
      </w:r>
      <w:r w:rsidR="6BDA1175" w:rsidRPr="40A5FC40">
        <w:rPr>
          <w:rFonts w:eastAsia="Garamond" w:cs="Garamond"/>
          <w:color w:val="000000" w:themeColor="text1"/>
        </w:rPr>
        <w:t xml:space="preserve">renewable transmission </w:t>
      </w:r>
      <w:r w:rsidR="31C3DFD1" w:rsidRPr="40A5FC40">
        <w:rPr>
          <w:rFonts w:eastAsia="Garamond" w:cs="Garamond"/>
          <w:color w:val="000000" w:themeColor="text1"/>
        </w:rPr>
        <w:t xml:space="preserve">zone and Southern PG&amp;E outer </w:t>
      </w:r>
      <w:r w:rsidR="7B8DD2FB" w:rsidRPr="40A5FC40">
        <w:rPr>
          <w:rFonts w:eastAsia="Garamond" w:cs="Garamond"/>
          <w:color w:val="000000" w:themeColor="text1"/>
        </w:rPr>
        <w:t>renewable transmission</w:t>
      </w:r>
      <w:r w:rsidR="31C3DFD1" w:rsidRPr="40A5FC40">
        <w:rPr>
          <w:rFonts w:eastAsia="Garamond" w:cs="Garamond"/>
          <w:color w:val="000000" w:themeColor="text1"/>
        </w:rPr>
        <w:t xml:space="preserve"> zone. However, the initial allocations and subsequent reallocations described above are still found to result in breaches of the outer zone limit. </w:t>
      </w:r>
      <w:r w:rsidR="50A452F2" w:rsidRPr="40A5FC40">
        <w:rPr>
          <w:rFonts w:eastAsia="Garamond" w:cs="Garamond"/>
          <w:color w:val="000000" w:themeColor="text1"/>
        </w:rPr>
        <w:t>Accordingly,</w:t>
      </w:r>
      <w:r w:rsidR="31C3DFD1" w:rsidRPr="40A5FC40">
        <w:rPr>
          <w:rFonts w:eastAsia="Garamond" w:cs="Garamond"/>
          <w:color w:val="000000" w:themeColor="text1"/>
        </w:rPr>
        <w:t xml:space="preserve"> staff </w:t>
      </w:r>
      <w:r w:rsidR="51D3F9C5" w:rsidRPr="40A5FC40">
        <w:rPr>
          <w:rFonts w:eastAsia="Garamond" w:cs="Garamond"/>
          <w:color w:val="000000" w:themeColor="text1"/>
        </w:rPr>
        <w:t xml:space="preserve">recommended </w:t>
      </w:r>
      <w:r w:rsidR="31C3DFD1" w:rsidRPr="40A5FC40">
        <w:rPr>
          <w:rFonts w:eastAsia="Garamond" w:cs="Garamond"/>
          <w:color w:val="000000" w:themeColor="text1"/>
        </w:rPr>
        <w:t>the following change</w:t>
      </w:r>
      <w:r w:rsidRPr="40A5FC40">
        <w:rPr>
          <w:rFonts w:eastAsia="Garamond" w:cs="Garamond"/>
          <w:color w:val="000000" w:themeColor="text1"/>
        </w:rPr>
        <w:t>:</w:t>
      </w:r>
    </w:p>
    <w:p w14:paraId="5FFF92D1" w14:textId="5E32471F" w:rsidR="00390037" w:rsidRPr="00BD2C6D" w:rsidRDefault="46790ED4" w:rsidP="40A5FC40">
      <w:pPr>
        <w:pStyle w:val="ListParagraph"/>
        <w:numPr>
          <w:ilvl w:val="1"/>
          <w:numId w:val="132"/>
        </w:numPr>
        <w:spacing w:after="160" w:line="259" w:lineRule="auto"/>
        <w:rPr>
          <w:rFonts w:asciiTheme="minorHAnsi" w:eastAsiaTheme="minorEastAsia" w:hAnsiTheme="minorHAnsi" w:cstheme="minorBidi"/>
          <w:color w:val="000000" w:themeColor="text1"/>
        </w:rPr>
      </w:pPr>
      <w:proofErr w:type="spellStart"/>
      <w:r w:rsidRPr="40A5FC40">
        <w:rPr>
          <w:rFonts w:eastAsia="Garamond" w:cs="Garamond"/>
          <w:color w:val="000000" w:themeColor="text1"/>
        </w:rPr>
        <w:t>Westlands</w:t>
      </w:r>
      <w:proofErr w:type="spellEnd"/>
      <w:r w:rsidRPr="40A5FC40">
        <w:rPr>
          <w:rFonts w:eastAsia="Garamond" w:cs="Garamond"/>
          <w:color w:val="000000" w:themeColor="text1"/>
        </w:rPr>
        <w:t xml:space="preserve"> Solar: map 610 MW FD of this resource to the Gates-Diablo 500 kV system based on CAISO staff’s guidance that this system appears geographically </w:t>
      </w:r>
      <w:r w:rsidRPr="40A5FC40">
        <w:rPr>
          <w:rFonts w:eastAsia="Garamond" w:cs="Garamond"/>
          <w:color w:val="000000" w:themeColor="text1"/>
        </w:rPr>
        <w:lastRenderedPageBreak/>
        <w:t>in the Southern PG&amp;E outer</w:t>
      </w:r>
      <w:r w:rsidR="6F1FBFF2" w:rsidRPr="40A5FC40">
        <w:rPr>
          <w:rFonts w:eastAsia="Garamond" w:cs="Garamond"/>
          <w:color w:val="000000" w:themeColor="text1"/>
        </w:rPr>
        <w:t xml:space="preserve"> renewable</w:t>
      </w:r>
      <w:r w:rsidRPr="40A5FC40">
        <w:rPr>
          <w:rFonts w:eastAsia="Garamond" w:cs="Garamond"/>
          <w:color w:val="000000" w:themeColor="text1"/>
        </w:rPr>
        <w:t xml:space="preserve"> transmission zone, but</w:t>
      </w:r>
      <w:r w:rsidR="4ED422D7" w:rsidRPr="40A5FC40">
        <w:rPr>
          <w:rFonts w:eastAsia="Garamond" w:cs="Garamond"/>
          <w:color w:val="000000" w:themeColor="text1"/>
        </w:rPr>
        <w:t xml:space="preserve"> it</w:t>
      </w:r>
      <w:r w:rsidRPr="40A5FC40">
        <w:rPr>
          <w:rFonts w:eastAsia="Garamond" w:cs="Garamond"/>
          <w:color w:val="000000" w:themeColor="text1"/>
        </w:rPr>
        <w:t xml:space="preserve"> is</w:t>
      </w:r>
      <w:r w:rsidR="4A8F1A62" w:rsidRPr="40A5FC40">
        <w:rPr>
          <w:rFonts w:eastAsia="Garamond" w:cs="Garamond"/>
          <w:color w:val="000000" w:themeColor="text1"/>
        </w:rPr>
        <w:t xml:space="preserve"> electrically</w:t>
      </w:r>
      <w:r w:rsidR="7C7AEC09" w:rsidRPr="40A5FC40">
        <w:rPr>
          <w:rFonts w:eastAsia="Garamond" w:cs="Garamond"/>
          <w:color w:val="000000" w:themeColor="text1"/>
        </w:rPr>
        <w:t xml:space="preserve"> not in </w:t>
      </w:r>
      <w:r w:rsidR="51C17883" w:rsidRPr="40A5FC40">
        <w:rPr>
          <w:rFonts w:eastAsia="Garamond" w:cs="Garamond"/>
          <w:color w:val="000000" w:themeColor="text1"/>
        </w:rPr>
        <w:t>any</w:t>
      </w:r>
      <w:r w:rsidRPr="40A5FC40">
        <w:rPr>
          <w:rFonts w:eastAsia="Garamond" w:cs="Garamond"/>
          <w:color w:val="000000" w:themeColor="text1"/>
        </w:rPr>
        <w:t xml:space="preserve"> zone. </w:t>
      </w:r>
    </w:p>
    <w:p w14:paraId="2DF4CBCF" w14:textId="4F751DE0" w:rsidR="00390037" w:rsidRPr="00BD2C6D" w:rsidRDefault="2974A3CA" w:rsidP="40A5FC40">
      <w:pPr>
        <w:pStyle w:val="ListParagraph"/>
        <w:numPr>
          <w:ilvl w:val="0"/>
          <w:numId w:val="132"/>
        </w:numPr>
        <w:spacing w:after="160" w:line="259" w:lineRule="auto"/>
        <w:rPr>
          <w:rFonts w:asciiTheme="minorHAnsi" w:eastAsiaTheme="minorEastAsia" w:hAnsiTheme="minorHAnsi" w:cstheme="minorBidi"/>
          <w:color w:val="000000" w:themeColor="text1"/>
          <w:szCs w:val="24"/>
        </w:rPr>
      </w:pPr>
      <w:r w:rsidRPr="40A5FC40">
        <w:rPr>
          <w:rFonts w:eastAsia="Garamond" w:cs="Garamond"/>
          <w:color w:val="000000" w:themeColor="text1"/>
        </w:rPr>
        <w:t>Tehachapi</w:t>
      </w:r>
      <w:r w:rsidR="362890D3" w:rsidRPr="40A5FC40">
        <w:rPr>
          <w:rFonts w:eastAsia="Garamond" w:cs="Garamond"/>
          <w:color w:val="000000" w:themeColor="text1"/>
        </w:rPr>
        <w:t xml:space="preserve"> </w:t>
      </w:r>
      <w:r w:rsidRPr="40A5FC40">
        <w:rPr>
          <w:rFonts w:eastAsia="Garamond" w:cs="Garamond"/>
          <w:color w:val="000000" w:themeColor="text1"/>
        </w:rPr>
        <w:t xml:space="preserve">Solar: remap </w:t>
      </w:r>
      <w:r w:rsidR="5F7DCCAF" w:rsidRPr="13A18B61">
        <w:rPr>
          <w:rFonts w:eastAsia="Garamond" w:cs="Garamond"/>
          <w:color w:val="000000" w:themeColor="text1"/>
        </w:rPr>
        <w:t>resources</w:t>
      </w:r>
      <w:r w:rsidRPr="40A5FC40">
        <w:rPr>
          <w:rFonts w:eastAsia="Garamond" w:cs="Garamond"/>
          <w:color w:val="000000" w:themeColor="text1"/>
        </w:rPr>
        <w:t xml:space="preserve"> from the Pear</w:t>
      </w:r>
      <w:r w:rsidR="4D375F82" w:rsidRPr="40A5FC40">
        <w:rPr>
          <w:rFonts w:eastAsia="Garamond" w:cs="Garamond"/>
          <w:color w:val="000000" w:themeColor="text1"/>
        </w:rPr>
        <w:t xml:space="preserve"> Blossom substation to the Vincent 230kV substation </w:t>
      </w:r>
      <w:r w:rsidR="6D277EAD" w:rsidRPr="13A18B61">
        <w:rPr>
          <w:rFonts w:eastAsia="Garamond" w:cs="Garamond"/>
          <w:color w:val="000000" w:themeColor="text1"/>
        </w:rPr>
        <w:t xml:space="preserve">and </w:t>
      </w:r>
      <w:r w:rsidR="1E862B77" w:rsidRPr="13A18B61">
        <w:rPr>
          <w:rFonts w:eastAsia="Garamond" w:cs="Garamond"/>
          <w:color w:val="000000" w:themeColor="text1"/>
        </w:rPr>
        <w:t>r</w:t>
      </w:r>
      <w:r w:rsidR="204E946B" w:rsidRPr="13A18B61">
        <w:rPr>
          <w:rFonts w:eastAsia="Garamond" w:cs="Garamond"/>
          <w:color w:val="000000" w:themeColor="text1"/>
        </w:rPr>
        <w:t>emap resources from the Whirlwind and Antelope 500 kV substations to the Whirlwind and Antelope 230 kV substation respectively</w:t>
      </w:r>
      <w:r w:rsidR="11C23BAA" w:rsidRPr="13A18B61">
        <w:rPr>
          <w:rFonts w:eastAsia="Garamond" w:cs="Garamond"/>
          <w:color w:val="000000" w:themeColor="text1"/>
        </w:rPr>
        <w:t xml:space="preserve"> for the same reasons noted in Sections </w:t>
      </w:r>
      <w:r w:rsidR="00F040BF">
        <w:rPr>
          <w:rFonts w:eastAsia="Garamond" w:cs="Garamond"/>
          <w:color w:val="000000" w:themeColor="text1"/>
        </w:rPr>
        <w:fldChar w:fldCharType="begin"/>
      </w:r>
      <w:r w:rsidR="00F040BF">
        <w:rPr>
          <w:rFonts w:eastAsia="Garamond" w:cs="Garamond"/>
          <w:color w:val="000000" w:themeColor="text1"/>
        </w:rPr>
        <w:instrText xml:space="preserve"> REF _Ref59129863 \r \h </w:instrText>
      </w:r>
      <w:r w:rsidR="00F040BF">
        <w:rPr>
          <w:rFonts w:eastAsia="Garamond" w:cs="Garamond"/>
          <w:color w:val="000000" w:themeColor="text1"/>
        </w:rPr>
      </w:r>
      <w:r w:rsidR="00F040BF">
        <w:rPr>
          <w:rFonts w:eastAsia="Garamond" w:cs="Garamond"/>
          <w:color w:val="000000" w:themeColor="text1"/>
        </w:rPr>
        <w:fldChar w:fldCharType="separate"/>
      </w:r>
      <w:r w:rsidR="003B7A14">
        <w:rPr>
          <w:rFonts w:eastAsia="Garamond" w:cs="Garamond"/>
          <w:color w:val="000000" w:themeColor="text1"/>
        </w:rPr>
        <w:t>6.1</w:t>
      </w:r>
      <w:r w:rsidR="00F040BF">
        <w:rPr>
          <w:rFonts w:eastAsia="Garamond" w:cs="Garamond"/>
          <w:color w:val="000000" w:themeColor="text1"/>
        </w:rPr>
        <w:fldChar w:fldCharType="end"/>
      </w:r>
      <w:r w:rsidR="11C23BAA" w:rsidRPr="13A18B61">
        <w:rPr>
          <w:rFonts w:eastAsia="Garamond" w:cs="Garamond"/>
          <w:color w:val="000000" w:themeColor="text1"/>
        </w:rPr>
        <w:t xml:space="preserve"> for the 46 MMT portfolio.</w:t>
      </w:r>
    </w:p>
    <w:p w14:paraId="1DF387D4" w14:textId="3B35CB95" w:rsidR="00390037" w:rsidRPr="00BD2C6D" w:rsidRDefault="2974A3CA" w:rsidP="40A5FC40">
      <w:pPr>
        <w:pStyle w:val="ListParagraph"/>
        <w:numPr>
          <w:ilvl w:val="0"/>
          <w:numId w:val="132"/>
        </w:numPr>
        <w:spacing w:after="160" w:line="259" w:lineRule="auto"/>
        <w:rPr>
          <w:rFonts w:asciiTheme="minorHAnsi" w:eastAsiaTheme="minorEastAsia" w:hAnsiTheme="minorHAnsi" w:cstheme="minorBidi"/>
          <w:color w:val="000000" w:themeColor="text1"/>
        </w:rPr>
      </w:pPr>
      <w:r w:rsidRPr="40A5FC40">
        <w:rPr>
          <w:rFonts w:eastAsia="Garamond" w:cs="Garamond"/>
          <w:color w:val="000000" w:themeColor="text1"/>
        </w:rPr>
        <w:t xml:space="preserve">Arizona Solar: remap 993 MW from the Hoodoo Wash substation to the Delaney and Hassayampa substations based on CAISO’s staff guidance that this would </w:t>
      </w:r>
      <w:r w:rsidR="6F94FAD6" w:rsidRPr="4B1F0A78">
        <w:rPr>
          <w:rFonts w:eastAsia="Garamond" w:cs="Garamond"/>
          <w:color w:val="000000" w:themeColor="text1"/>
        </w:rPr>
        <w:t>prevent</w:t>
      </w:r>
      <w:r w:rsidR="2EC1DBEF" w:rsidRPr="40A5FC40">
        <w:rPr>
          <w:rFonts w:eastAsia="Garamond" w:cs="Garamond"/>
          <w:color w:val="000000" w:themeColor="text1"/>
        </w:rPr>
        <w:t xml:space="preserve"> increased</w:t>
      </w:r>
      <w:r w:rsidRPr="40A5FC40">
        <w:rPr>
          <w:rFonts w:eastAsia="Garamond" w:cs="Garamond"/>
          <w:color w:val="000000" w:themeColor="text1"/>
        </w:rPr>
        <w:t xml:space="preserve"> curtailments at the Hoodoo Wash substation. 666 MW and 327 MW are mapped to the Delaney and Hassayampa substations based proportionally on the commercial interest at each substation.</w:t>
      </w:r>
    </w:p>
    <w:p w14:paraId="7583DE21" w14:textId="5BC865F3" w:rsidR="00390037" w:rsidRPr="00BD2C6D" w:rsidRDefault="2974A3CA" w:rsidP="40A5FC40">
      <w:pPr>
        <w:pStyle w:val="ListParagraph"/>
        <w:numPr>
          <w:ilvl w:val="0"/>
          <w:numId w:val="132"/>
        </w:numPr>
        <w:spacing w:after="160" w:line="259" w:lineRule="auto"/>
        <w:rPr>
          <w:rFonts w:asciiTheme="minorHAnsi" w:eastAsiaTheme="minorEastAsia" w:hAnsiTheme="minorHAnsi" w:cstheme="minorBidi"/>
          <w:color w:val="000000" w:themeColor="text1"/>
        </w:rPr>
      </w:pPr>
      <w:r w:rsidRPr="40A5FC40">
        <w:rPr>
          <w:rFonts w:eastAsia="Garamond" w:cs="Garamond"/>
          <w:color w:val="000000" w:themeColor="text1"/>
        </w:rPr>
        <w:t xml:space="preserve">Pumped </w:t>
      </w:r>
      <w:r w:rsidR="75E85C93" w:rsidRPr="40A5FC40">
        <w:rPr>
          <w:rFonts w:eastAsia="Garamond" w:cs="Garamond"/>
          <w:color w:val="000000" w:themeColor="text1"/>
        </w:rPr>
        <w:t xml:space="preserve">Storage </w:t>
      </w:r>
      <w:r w:rsidRPr="40A5FC40">
        <w:rPr>
          <w:rFonts w:eastAsia="Garamond" w:cs="Garamond"/>
          <w:color w:val="000000" w:themeColor="text1"/>
        </w:rPr>
        <w:t>Hydro: map 500 MW FD pumped</w:t>
      </w:r>
      <w:r w:rsidR="5736B909" w:rsidRPr="40A5FC40">
        <w:rPr>
          <w:rFonts w:eastAsia="Garamond" w:cs="Garamond"/>
          <w:color w:val="000000" w:themeColor="text1"/>
        </w:rPr>
        <w:t xml:space="preserve"> storage</w:t>
      </w:r>
      <w:r w:rsidRPr="40A5FC40">
        <w:rPr>
          <w:rFonts w:eastAsia="Garamond" w:cs="Garamond"/>
          <w:color w:val="000000" w:themeColor="text1"/>
        </w:rPr>
        <w:t xml:space="preserve"> hydro to the Lee Lake substation and </w:t>
      </w:r>
      <w:r w:rsidRPr="13A18B61">
        <w:rPr>
          <w:rFonts w:eastAsia="Garamond" w:cs="Garamond"/>
          <w:color w:val="000000" w:themeColor="text1"/>
        </w:rPr>
        <w:t>1</w:t>
      </w:r>
      <w:r w:rsidR="1D056A01" w:rsidRPr="13A18B61">
        <w:rPr>
          <w:rFonts w:eastAsia="Garamond" w:cs="Garamond"/>
          <w:color w:val="000000" w:themeColor="text1"/>
        </w:rPr>
        <w:t>,</w:t>
      </w:r>
      <w:r w:rsidRPr="13A18B61">
        <w:rPr>
          <w:rFonts w:eastAsia="Garamond" w:cs="Garamond"/>
          <w:color w:val="000000" w:themeColor="text1"/>
        </w:rPr>
        <w:t>343</w:t>
      </w:r>
      <w:r w:rsidRPr="40A5FC40">
        <w:rPr>
          <w:rFonts w:eastAsia="Garamond" w:cs="Garamond"/>
          <w:color w:val="000000" w:themeColor="text1"/>
        </w:rPr>
        <w:t xml:space="preserve"> MW FD to the Red Bluff substation</w:t>
      </w:r>
      <w:r w:rsidR="6D227805" w:rsidRPr="40A5FC40">
        <w:rPr>
          <w:rFonts w:eastAsia="Garamond" w:cs="Garamond"/>
          <w:color w:val="000000" w:themeColor="text1"/>
        </w:rPr>
        <w:t xml:space="preserve"> in accordance with commercial interest</w:t>
      </w:r>
      <w:r w:rsidRPr="40A5FC40">
        <w:rPr>
          <w:rFonts w:eastAsia="Garamond" w:cs="Garamond"/>
          <w:color w:val="000000" w:themeColor="text1"/>
        </w:rPr>
        <w:t xml:space="preserve">. Pumped </w:t>
      </w:r>
      <w:r w:rsidR="086763AA" w:rsidRPr="40A5FC40">
        <w:rPr>
          <w:rFonts w:eastAsia="Garamond" w:cs="Garamond"/>
          <w:color w:val="000000" w:themeColor="text1"/>
        </w:rPr>
        <w:t xml:space="preserve">storage </w:t>
      </w:r>
      <w:r w:rsidRPr="40A5FC40">
        <w:rPr>
          <w:rFonts w:eastAsia="Garamond" w:cs="Garamond"/>
          <w:color w:val="000000" w:themeColor="text1"/>
        </w:rPr>
        <w:t>hydro was not initially mapped in Round 1. The Lee Lake substation is not in any of the CAISO’s outer</w:t>
      </w:r>
      <w:r w:rsidR="0957A46E" w:rsidRPr="40A5FC40">
        <w:rPr>
          <w:rFonts w:eastAsia="Garamond" w:cs="Garamond"/>
          <w:color w:val="000000" w:themeColor="text1"/>
        </w:rPr>
        <w:t xml:space="preserve"> </w:t>
      </w:r>
      <w:r w:rsidR="3F2CD445" w:rsidRPr="40A5FC40">
        <w:rPr>
          <w:rFonts w:eastAsia="Garamond" w:cs="Garamond"/>
          <w:color w:val="000000" w:themeColor="text1"/>
        </w:rPr>
        <w:t>transmission</w:t>
      </w:r>
      <w:r w:rsidR="0957A46E" w:rsidRPr="40A5FC40">
        <w:rPr>
          <w:rFonts w:eastAsia="Garamond" w:cs="Garamond"/>
          <w:color w:val="000000" w:themeColor="text1"/>
        </w:rPr>
        <w:t xml:space="preserve"> </w:t>
      </w:r>
      <w:r w:rsidRPr="40A5FC40">
        <w:rPr>
          <w:rFonts w:eastAsia="Garamond" w:cs="Garamond"/>
          <w:color w:val="000000" w:themeColor="text1"/>
        </w:rPr>
        <w:t xml:space="preserve">zones, while the Red Bluff substation is in the Riverside Palm Springs inner </w:t>
      </w:r>
      <w:r w:rsidR="7D30321C" w:rsidRPr="40A5FC40">
        <w:rPr>
          <w:rFonts w:eastAsia="Garamond" w:cs="Garamond"/>
          <w:color w:val="000000" w:themeColor="text1"/>
        </w:rPr>
        <w:t xml:space="preserve">renewable </w:t>
      </w:r>
      <w:r w:rsidRPr="40A5FC40">
        <w:rPr>
          <w:rFonts w:eastAsia="Garamond" w:cs="Garamond"/>
          <w:color w:val="000000" w:themeColor="text1"/>
        </w:rPr>
        <w:t xml:space="preserve">transmission zone. </w:t>
      </w:r>
    </w:p>
    <w:p w14:paraId="10C93E55" w14:textId="19CFF25E" w:rsidR="00390037" w:rsidRPr="00BD2C6D" w:rsidRDefault="2974A3CA" w:rsidP="40A5FC40">
      <w:pPr>
        <w:pStyle w:val="ListParagraph"/>
        <w:numPr>
          <w:ilvl w:val="0"/>
          <w:numId w:val="132"/>
        </w:numPr>
        <w:spacing w:after="160" w:line="259" w:lineRule="auto"/>
        <w:rPr>
          <w:rFonts w:asciiTheme="minorHAnsi" w:eastAsiaTheme="minorEastAsia" w:hAnsiTheme="minorHAnsi" w:cstheme="minorBidi"/>
          <w:color w:val="000000" w:themeColor="text1"/>
        </w:rPr>
      </w:pPr>
      <w:r w:rsidRPr="40A5FC40">
        <w:rPr>
          <w:rFonts w:eastAsia="Garamond" w:cs="Garamond"/>
          <w:color w:val="000000" w:themeColor="text1"/>
        </w:rPr>
        <w:t xml:space="preserve">Arizona Solar: </w:t>
      </w:r>
      <w:r w:rsidR="2F47A109" w:rsidRPr="40A5FC40">
        <w:rPr>
          <w:rFonts w:eastAsia="Garamond" w:cs="Garamond"/>
          <w:color w:val="000000" w:themeColor="text1"/>
        </w:rPr>
        <w:t>re</w:t>
      </w:r>
      <w:r w:rsidR="71E565B7" w:rsidRPr="40A5FC40">
        <w:rPr>
          <w:rFonts w:eastAsia="Garamond" w:cs="Garamond"/>
          <w:color w:val="000000" w:themeColor="text1"/>
        </w:rPr>
        <w:t xml:space="preserve">allocate </w:t>
      </w:r>
      <w:r w:rsidR="4D375F82" w:rsidRPr="40A5FC40">
        <w:rPr>
          <w:rFonts w:eastAsia="Garamond" w:cs="Garamond"/>
          <w:color w:val="000000" w:themeColor="text1"/>
        </w:rPr>
        <w:t xml:space="preserve">330 MW FD </w:t>
      </w:r>
      <w:r w:rsidR="73A7EDB3" w:rsidRPr="40A5FC40">
        <w:rPr>
          <w:rFonts w:eastAsia="Garamond" w:cs="Garamond"/>
          <w:color w:val="000000" w:themeColor="text1"/>
        </w:rPr>
        <w:t>to Southern</w:t>
      </w:r>
      <w:r w:rsidR="4D375F82" w:rsidRPr="40A5FC40">
        <w:rPr>
          <w:rFonts w:eastAsia="Garamond" w:cs="Garamond"/>
          <w:color w:val="000000" w:themeColor="text1"/>
        </w:rPr>
        <w:t xml:space="preserve"> California Desert and Southern Nevada</w:t>
      </w:r>
      <w:r w:rsidR="6FCC01DF" w:rsidRPr="40A5FC40">
        <w:rPr>
          <w:rFonts w:eastAsia="Garamond" w:cs="Garamond"/>
          <w:color w:val="000000" w:themeColor="text1"/>
        </w:rPr>
        <w:t xml:space="preserve"> Solar and specifically map to the Mohave 500 kV substation</w:t>
      </w:r>
      <w:r w:rsidRPr="40A5FC40">
        <w:rPr>
          <w:rFonts w:eastAsia="Garamond" w:cs="Garamond"/>
          <w:color w:val="000000" w:themeColor="text1"/>
        </w:rPr>
        <w:t>. This re</w:t>
      </w:r>
      <w:r w:rsidR="39844EC9" w:rsidRPr="40A5FC40">
        <w:rPr>
          <w:rFonts w:eastAsia="Garamond" w:cs="Garamond"/>
          <w:color w:val="000000" w:themeColor="text1"/>
        </w:rPr>
        <w:t>a</w:t>
      </w:r>
      <w:r w:rsidRPr="40A5FC40">
        <w:rPr>
          <w:rFonts w:eastAsia="Garamond" w:cs="Garamond"/>
          <w:color w:val="000000" w:themeColor="text1"/>
        </w:rPr>
        <w:t>l</w:t>
      </w:r>
      <w:r w:rsidR="77D949C5" w:rsidRPr="40A5FC40">
        <w:rPr>
          <w:rFonts w:eastAsia="Garamond" w:cs="Garamond"/>
          <w:color w:val="000000" w:themeColor="text1"/>
        </w:rPr>
        <w:t>l</w:t>
      </w:r>
      <w:r w:rsidRPr="40A5FC40">
        <w:rPr>
          <w:rFonts w:eastAsia="Garamond" w:cs="Garamond"/>
          <w:color w:val="000000" w:themeColor="text1"/>
        </w:rPr>
        <w:t xml:space="preserve">ocation is needed to </w:t>
      </w:r>
      <w:r w:rsidR="7FC75E10" w:rsidRPr="4B1F0A78">
        <w:rPr>
          <w:rFonts w:eastAsia="Garamond" w:cs="Garamond"/>
          <w:color w:val="000000" w:themeColor="text1"/>
        </w:rPr>
        <w:t>prevent</w:t>
      </w:r>
      <w:r w:rsidRPr="40A5FC40">
        <w:rPr>
          <w:rFonts w:eastAsia="Garamond" w:cs="Garamond"/>
          <w:color w:val="000000" w:themeColor="text1"/>
        </w:rPr>
        <w:t xml:space="preserve"> exceeding transmission limits in the Riverside Palm Springs inner </w:t>
      </w:r>
      <w:r w:rsidR="20938BC0" w:rsidRPr="40A5FC40">
        <w:rPr>
          <w:rFonts w:eastAsia="Garamond" w:cs="Garamond"/>
          <w:color w:val="000000" w:themeColor="text1"/>
        </w:rPr>
        <w:t xml:space="preserve">renewable transmission </w:t>
      </w:r>
      <w:r w:rsidRPr="40A5FC40">
        <w:rPr>
          <w:rFonts w:eastAsia="Garamond" w:cs="Garamond"/>
          <w:color w:val="000000" w:themeColor="text1"/>
        </w:rPr>
        <w:t xml:space="preserve">zone triggered by mapping pumped </w:t>
      </w:r>
      <w:r w:rsidR="678371C1" w:rsidRPr="13A18B61">
        <w:rPr>
          <w:rFonts w:eastAsia="Garamond" w:cs="Garamond"/>
          <w:color w:val="000000" w:themeColor="text1"/>
        </w:rPr>
        <w:t xml:space="preserve">storage </w:t>
      </w:r>
      <w:r w:rsidRPr="40A5FC40">
        <w:rPr>
          <w:rFonts w:eastAsia="Garamond" w:cs="Garamond"/>
          <w:color w:val="000000" w:themeColor="text1"/>
        </w:rPr>
        <w:t>hydro to the Red Bluff substation.</w:t>
      </w:r>
    </w:p>
    <w:p w14:paraId="0C879C09" w14:textId="749A13A5" w:rsidR="00390037" w:rsidRPr="00BD2C6D" w:rsidRDefault="71491220" w:rsidP="099CA948">
      <w:pPr>
        <w:pStyle w:val="ListParagraph"/>
        <w:numPr>
          <w:ilvl w:val="0"/>
          <w:numId w:val="132"/>
        </w:numPr>
        <w:spacing w:after="160" w:line="259" w:lineRule="auto"/>
        <w:rPr>
          <w:rFonts w:asciiTheme="minorHAnsi" w:eastAsiaTheme="minorEastAsia" w:hAnsiTheme="minorHAnsi" w:cstheme="minorBidi"/>
          <w:color w:val="000000" w:themeColor="text1"/>
        </w:rPr>
      </w:pPr>
      <w:r w:rsidRPr="099CA948">
        <w:rPr>
          <w:rFonts w:eastAsia="Garamond" w:cs="Garamond"/>
          <w:color w:val="000000" w:themeColor="text1"/>
        </w:rPr>
        <w:t xml:space="preserve">Northern California </w:t>
      </w:r>
      <w:r w:rsidR="58917B3C" w:rsidRPr="099CA948">
        <w:rPr>
          <w:rFonts w:eastAsia="Garamond" w:cs="Garamond"/>
          <w:color w:val="000000" w:themeColor="text1"/>
        </w:rPr>
        <w:t xml:space="preserve">renewable </w:t>
      </w:r>
      <w:r w:rsidRPr="099CA948">
        <w:rPr>
          <w:rFonts w:eastAsia="Garamond" w:cs="Garamond"/>
          <w:color w:val="000000" w:themeColor="text1"/>
        </w:rPr>
        <w:t xml:space="preserve">transmission zone: </w:t>
      </w:r>
      <w:r w:rsidR="201D2F96" w:rsidRPr="099CA948">
        <w:rPr>
          <w:rFonts w:eastAsia="Garamond" w:cs="Garamond"/>
          <w:color w:val="000000" w:themeColor="text1"/>
        </w:rPr>
        <w:t xml:space="preserve">initial </w:t>
      </w:r>
      <w:r w:rsidRPr="099CA948">
        <w:rPr>
          <w:rFonts w:eastAsia="Garamond" w:cs="Garamond"/>
          <w:color w:val="000000" w:themeColor="text1"/>
        </w:rPr>
        <w:t xml:space="preserve">allocations comply with </w:t>
      </w:r>
      <w:r w:rsidR="0C130B74" w:rsidRPr="099CA948">
        <w:rPr>
          <w:rFonts w:eastAsia="Garamond" w:cs="Garamond"/>
          <w:color w:val="000000" w:themeColor="text1"/>
        </w:rPr>
        <w:t>the</w:t>
      </w:r>
      <w:r w:rsidRPr="099CA948">
        <w:rPr>
          <w:rFonts w:eastAsia="Garamond" w:cs="Garamond"/>
          <w:color w:val="000000" w:themeColor="text1"/>
        </w:rPr>
        <w:t xml:space="preserve"> </w:t>
      </w:r>
      <w:r w:rsidR="03FEA3B7" w:rsidRPr="099CA948">
        <w:rPr>
          <w:rFonts w:eastAsia="Garamond" w:cs="Garamond"/>
          <w:color w:val="000000" w:themeColor="text1"/>
        </w:rPr>
        <w:t>transmission</w:t>
      </w:r>
      <w:r w:rsidR="0CDCF2D1" w:rsidRPr="099CA948">
        <w:rPr>
          <w:rFonts w:eastAsia="Garamond" w:cs="Garamond"/>
          <w:color w:val="000000" w:themeColor="text1"/>
        </w:rPr>
        <w:t xml:space="preserve"> limits</w:t>
      </w:r>
      <w:r w:rsidR="21252BC3" w:rsidRPr="099CA948">
        <w:rPr>
          <w:rFonts w:eastAsia="Garamond" w:cs="Garamond"/>
          <w:color w:val="000000" w:themeColor="text1"/>
        </w:rPr>
        <w:t xml:space="preserve"> for all the inner zones</w:t>
      </w:r>
      <w:r w:rsidR="0CDCF2D1" w:rsidRPr="099CA948">
        <w:rPr>
          <w:rFonts w:eastAsia="Garamond" w:cs="Garamond"/>
          <w:color w:val="000000" w:themeColor="text1"/>
        </w:rPr>
        <w:t xml:space="preserve"> but are found </w:t>
      </w:r>
      <w:r w:rsidR="1C4A0D00" w:rsidRPr="099CA948">
        <w:rPr>
          <w:rFonts w:eastAsia="Garamond" w:cs="Garamond"/>
          <w:color w:val="000000" w:themeColor="text1"/>
        </w:rPr>
        <w:t>to exceed</w:t>
      </w:r>
      <w:r w:rsidR="0CDCF2D1" w:rsidRPr="099CA948">
        <w:rPr>
          <w:rFonts w:eastAsia="Garamond" w:cs="Garamond"/>
          <w:color w:val="000000" w:themeColor="text1"/>
        </w:rPr>
        <w:t xml:space="preserve"> the </w:t>
      </w:r>
      <w:r w:rsidR="07E2847A" w:rsidRPr="099CA948">
        <w:rPr>
          <w:rFonts w:eastAsia="Garamond" w:cs="Garamond"/>
          <w:color w:val="000000" w:themeColor="text1"/>
        </w:rPr>
        <w:t xml:space="preserve">Northern California </w:t>
      </w:r>
      <w:r w:rsidR="0CDCF2D1" w:rsidRPr="099CA948">
        <w:rPr>
          <w:rFonts w:eastAsia="Garamond" w:cs="Garamond"/>
          <w:color w:val="000000" w:themeColor="text1"/>
        </w:rPr>
        <w:t xml:space="preserve">outer zone’s EO limit. </w:t>
      </w:r>
      <w:r w:rsidR="10E0D27D" w:rsidRPr="099CA948">
        <w:rPr>
          <w:rFonts w:eastAsia="Garamond" w:cs="Garamond"/>
          <w:color w:val="000000" w:themeColor="text1"/>
        </w:rPr>
        <w:t xml:space="preserve">The following reallocation was recommended to </w:t>
      </w:r>
      <w:r w:rsidR="3CAD1CBA" w:rsidRPr="099CA948">
        <w:rPr>
          <w:rFonts w:eastAsia="Garamond" w:cs="Garamond"/>
          <w:color w:val="000000" w:themeColor="text1"/>
        </w:rPr>
        <w:t xml:space="preserve">address </w:t>
      </w:r>
      <w:r w:rsidR="10E0D27D" w:rsidRPr="099CA948">
        <w:rPr>
          <w:rFonts w:eastAsia="Garamond" w:cs="Garamond"/>
          <w:color w:val="000000" w:themeColor="text1"/>
        </w:rPr>
        <w:t xml:space="preserve">the </w:t>
      </w:r>
      <w:r w:rsidR="3DEE0371" w:rsidRPr="099CA948">
        <w:rPr>
          <w:rFonts w:eastAsia="Garamond" w:cs="Garamond"/>
          <w:color w:val="000000" w:themeColor="text1"/>
        </w:rPr>
        <w:t>exceedance:</w:t>
      </w:r>
    </w:p>
    <w:p w14:paraId="1F0E34E3" w14:textId="181F5D5E" w:rsidR="00390037" w:rsidRPr="00BD2C6D" w:rsidRDefault="2974A3CA" w:rsidP="40A5FC40">
      <w:pPr>
        <w:pStyle w:val="ListParagraph"/>
        <w:numPr>
          <w:ilvl w:val="1"/>
          <w:numId w:val="132"/>
        </w:numPr>
        <w:spacing w:after="160" w:line="259" w:lineRule="auto"/>
        <w:rPr>
          <w:rFonts w:asciiTheme="minorHAnsi" w:eastAsiaTheme="minorEastAsia" w:hAnsiTheme="minorHAnsi" w:cstheme="minorBidi"/>
          <w:color w:val="000000" w:themeColor="text1"/>
        </w:rPr>
      </w:pPr>
      <w:r w:rsidRPr="40A5FC40">
        <w:rPr>
          <w:rFonts w:eastAsia="Garamond" w:cs="Garamond"/>
          <w:color w:val="000000" w:themeColor="text1"/>
        </w:rPr>
        <w:t xml:space="preserve">Sacramento River Solar: </w:t>
      </w:r>
      <w:r w:rsidR="51B1AA8F" w:rsidRPr="40A5FC40">
        <w:rPr>
          <w:rFonts w:eastAsia="Garamond" w:cs="Garamond"/>
          <w:color w:val="000000" w:themeColor="text1"/>
        </w:rPr>
        <w:t>re</w:t>
      </w:r>
      <w:r w:rsidR="6817EFE7" w:rsidRPr="40A5FC40">
        <w:rPr>
          <w:rFonts w:eastAsia="Garamond" w:cs="Garamond"/>
          <w:color w:val="000000" w:themeColor="text1"/>
        </w:rPr>
        <w:t xml:space="preserve">allocate </w:t>
      </w:r>
      <w:r w:rsidR="7A4A4B70" w:rsidRPr="7956503B">
        <w:rPr>
          <w:rFonts w:eastAsia="Garamond" w:cs="Garamond"/>
          <w:color w:val="000000" w:themeColor="text1"/>
        </w:rPr>
        <w:t xml:space="preserve">665 </w:t>
      </w:r>
      <w:r w:rsidR="4D375F82" w:rsidRPr="40A5FC40">
        <w:rPr>
          <w:rFonts w:eastAsia="Garamond" w:cs="Garamond"/>
          <w:color w:val="000000" w:themeColor="text1"/>
        </w:rPr>
        <w:t xml:space="preserve">MW EO to </w:t>
      </w:r>
      <w:proofErr w:type="spellStart"/>
      <w:r w:rsidR="4D375F82" w:rsidRPr="40A5FC40">
        <w:rPr>
          <w:rFonts w:eastAsia="Garamond" w:cs="Garamond"/>
          <w:color w:val="000000" w:themeColor="text1"/>
        </w:rPr>
        <w:t>Westlands</w:t>
      </w:r>
      <w:proofErr w:type="spellEnd"/>
      <w:r w:rsidR="737F2B0E" w:rsidRPr="40A5FC40">
        <w:rPr>
          <w:rFonts w:eastAsia="Garamond" w:cs="Garamond"/>
          <w:color w:val="000000" w:themeColor="text1"/>
        </w:rPr>
        <w:t xml:space="preserve"> Solar</w:t>
      </w:r>
      <w:r w:rsidR="4D375F82" w:rsidRPr="40A5FC40">
        <w:rPr>
          <w:rFonts w:eastAsia="Garamond" w:cs="Garamond"/>
          <w:color w:val="000000" w:themeColor="text1"/>
        </w:rPr>
        <w:t xml:space="preserve">. The Sacramento River zone has little solar commercial interest while </w:t>
      </w:r>
      <w:proofErr w:type="spellStart"/>
      <w:r w:rsidR="4D375F82" w:rsidRPr="40A5FC40">
        <w:rPr>
          <w:rFonts w:eastAsia="Garamond" w:cs="Garamond"/>
          <w:color w:val="000000" w:themeColor="text1"/>
        </w:rPr>
        <w:t>Westlands</w:t>
      </w:r>
      <w:proofErr w:type="spellEnd"/>
      <w:r w:rsidR="4D375F82" w:rsidRPr="40A5FC40">
        <w:rPr>
          <w:rFonts w:eastAsia="Garamond" w:cs="Garamond"/>
          <w:color w:val="000000" w:themeColor="text1"/>
        </w:rPr>
        <w:t xml:space="preserve"> </w:t>
      </w:r>
      <w:r w:rsidR="13ADBD96" w:rsidRPr="40A5FC40">
        <w:rPr>
          <w:rFonts w:eastAsia="Garamond" w:cs="Garamond"/>
          <w:color w:val="000000" w:themeColor="text1"/>
        </w:rPr>
        <w:t xml:space="preserve">Solar </w:t>
      </w:r>
      <w:r w:rsidR="4D375F82" w:rsidRPr="40A5FC40">
        <w:rPr>
          <w:rFonts w:eastAsia="Garamond" w:cs="Garamond"/>
          <w:color w:val="000000" w:themeColor="text1"/>
        </w:rPr>
        <w:t xml:space="preserve">has commercial interest for EO </w:t>
      </w:r>
      <w:proofErr w:type="gramStart"/>
      <w:r w:rsidR="4D375F82" w:rsidRPr="40A5FC40">
        <w:rPr>
          <w:rFonts w:eastAsia="Garamond" w:cs="Garamond"/>
          <w:color w:val="000000" w:themeColor="text1"/>
        </w:rPr>
        <w:t>solar</w:t>
      </w:r>
      <w:proofErr w:type="gramEnd"/>
      <w:r w:rsidR="4D375F82" w:rsidRPr="40A5FC40">
        <w:rPr>
          <w:rFonts w:eastAsia="Garamond" w:cs="Garamond"/>
          <w:color w:val="000000" w:themeColor="text1"/>
        </w:rPr>
        <w:t xml:space="preserve"> but none </w:t>
      </w:r>
      <w:r w:rsidR="2952117B" w:rsidRPr="40A5FC40">
        <w:rPr>
          <w:rFonts w:eastAsia="Garamond" w:cs="Garamond"/>
          <w:color w:val="000000" w:themeColor="text1"/>
        </w:rPr>
        <w:t>was assigned</w:t>
      </w:r>
      <w:r w:rsidR="79E518AC" w:rsidRPr="40A5FC40">
        <w:rPr>
          <w:rFonts w:eastAsia="Garamond" w:cs="Garamond"/>
          <w:color w:val="000000" w:themeColor="text1"/>
        </w:rPr>
        <w:t xml:space="preserve"> </w:t>
      </w:r>
      <w:r w:rsidRPr="40A5FC40">
        <w:rPr>
          <w:rFonts w:eastAsia="Garamond" w:cs="Garamond"/>
          <w:color w:val="000000" w:themeColor="text1"/>
        </w:rPr>
        <w:t>by RESOLVE.</w:t>
      </w:r>
    </w:p>
    <w:p w14:paraId="6397AEC5" w14:textId="4FAC7FA4" w:rsidR="00390037" w:rsidRPr="00BD2C6D" w:rsidRDefault="33CC43AB" w:rsidP="40A5FC40">
      <w:pPr>
        <w:pStyle w:val="ListParagraph"/>
        <w:numPr>
          <w:ilvl w:val="0"/>
          <w:numId w:val="132"/>
        </w:numPr>
        <w:spacing w:after="160" w:line="259" w:lineRule="auto"/>
        <w:rPr>
          <w:color w:val="000000" w:themeColor="text1"/>
        </w:rPr>
      </w:pPr>
      <w:r w:rsidRPr="40A5FC40">
        <w:rPr>
          <w:rFonts w:eastAsia="Garamond" w:cs="Garamond"/>
          <w:color w:val="000000" w:themeColor="text1"/>
        </w:rPr>
        <w:t>Wyoming Wind: re</w:t>
      </w:r>
      <w:r w:rsidR="4848A52B" w:rsidRPr="40A5FC40">
        <w:rPr>
          <w:rFonts w:eastAsia="Garamond" w:cs="Garamond"/>
          <w:color w:val="000000" w:themeColor="text1"/>
        </w:rPr>
        <w:t xml:space="preserve">allocate </w:t>
      </w:r>
      <w:r w:rsidRPr="40A5FC40">
        <w:rPr>
          <w:rFonts w:eastAsia="Garamond" w:cs="Garamond"/>
          <w:color w:val="000000" w:themeColor="text1"/>
        </w:rPr>
        <w:t xml:space="preserve">1,500 MW </w:t>
      </w:r>
      <w:r w:rsidR="79A8BD47" w:rsidRPr="40A5FC40">
        <w:rPr>
          <w:rFonts w:eastAsia="Garamond" w:cs="Garamond"/>
          <w:color w:val="000000" w:themeColor="text1"/>
        </w:rPr>
        <w:t>of EO to FD</w:t>
      </w:r>
      <w:r w:rsidR="1A2DA1A7" w:rsidRPr="40A5FC40">
        <w:rPr>
          <w:rFonts w:eastAsia="Garamond" w:cs="Garamond"/>
          <w:color w:val="000000" w:themeColor="text1"/>
        </w:rPr>
        <w:t>,</w:t>
      </w:r>
      <w:r w:rsidR="1BEAF82B" w:rsidRPr="40A5FC40">
        <w:rPr>
          <w:rFonts w:eastAsia="Garamond" w:cs="Garamond"/>
          <w:color w:val="000000" w:themeColor="text1"/>
        </w:rPr>
        <w:t xml:space="preserve"> </w:t>
      </w:r>
      <w:r w:rsidR="479EACB3" w:rsidRPr="40A5FC40">
        <w:rPr>
          <w:rFonts w:eastAsia="Garamond" w:cs="Garamond"/>
          <w:color w:val="000000" w:themeColor="text1"/>
        </w:rPr>
        <w:t>keeping the resource mapped to El Dorado 500 kV substation.</w:t>
      </w:r>
      <w:r w:rsidR="072A4EE8" w:rsidRPr="40A5FC40">
        <w:rPr>
          <w:rFonts w:eastAsia="Garamond" w:cs="Garamond"/>
          <w:color w:val="000000" w:themeColor="text1"/>
        </w:rPr>
        <w:t xml:space="preserve"> </w:t>
      </w:r>
      <w:r w:rsidR="4F2D6A5E" w:rsidRPr="40A5FC40">
        <w:rPr>
          <w:rFonts w:eastAsia="Garamond" w:cs="Garamond"/>
          <w:color w:val="000000" w:themeColor="text1"/>
        </w:rPr>
        <w:t xml:space="preserve">Reallocating the Wyoming wind as FD </w:t>
      </w:r>
      <w:r w:rsidR="7A79AF0D" w:rsidRPr="7956503B">
        <w:rPr>
          <w:rFonts w:eastAsia="Garamond" w:cs="Garamond"/>
          <w:color w:val="000000" w:themeColor="text1"/>
        </w:rPr>
        <w:t xml:space="preserve">enables its </w:t>
      </w:r>
      <w:r w:rsidR="4F2D6A5E" w:rsidRPr="40A5FC40">
        <w:rPr>
          <w:rFonts w:eastAsia="Garamond" w:cs="Garamond"/>
          <w:color w:val="000000" w:themeColor="text1"/>
        </w:rPr>
        <w:t>contribution</w:t>
      </w:r>
      <w:r w:rsidR="38D95A57" w:rsidRPr="7956503B">
        <w:rPr>
          <w:rFonts w:eastAsia="Garamond" w:cs="Garamond"/>
          <w:color w:val="000000" w:themeColor="text1"/>
        </w:rPr>
        <w:t xml:space="preserve"> to resource adequacy</w:t>
      </w:r>
      <w:r w:rsidR="4F2D6A5E" w:rsidRPr="7956503B">
        <w:rPr>
          <w:rFonts w:eastAsia="Garamond" w:cs="Garamond"/>
          <w:color w:val="000000" w:themeColor="text1"/>
        </w:rPr>
        <w:t>,</w:t>
      </w:r>
      <w:r w:rsidR="68050D4A" w:rsidRPr="7956503B">
        <w:rPr>
          <w:rFonts w:eastAsia="Garamond" w:cs="Garamond"/>
          <w:color w:val="000000" w:themeColor="text1"/>
        </w:rPr>
        <w:t xml:space="preserve"> which may be beneficial based on the wind output in evening periods</w:t>
      </w:r>
      <w:r w:rsidR="5772C5FC" w:rsidRPr="40A5FC40">
        <w:rPr>
          <w:rFonts w:eastAsia="Garamond" w:cs="Garamond"/>
          <w:color w:val="000000" w:themeColor="text1"/>
        </w:rPr>
        <w:t xml:space="preserve">. The FD resource </w:t>
      </w:r>
      <w:r w:rsidR="77387A2F" w:rsidRPr="7956503B">
        <w:rPr>
          <w:rFonts w:eastAsia="Garamond" w:cs="Garamond"/>
          <w:color w:val="000000" w:themeColor="text1"/>
        </w:rPr>
        <w:t xml:space="preserve">status </w:t>
      </w:r>
      <w:r w:rsidR="5772C5FC" w:rsidRPr="40A5FC40">
        <w:rPr>
          <w:rFonts w:eastAsia="Garamond" w:cs="Garamond"/>
          <w:color w:val="000000" w:themeColor="text1"/>
        </w:rPr>
        <w:t xml:space="preserve">ensures its ability to be </w:t>
      </w:r>
      <w:r w:rsidR="14038AA9" w:rsidRPr="7956503B">
        <w:rPr>
          <w:rFonts w:eastAsia="Garamond" w:cs="Garamond"/>
          <w:color w:val="000000" w:themeColor="text1"/>
        </w:rPr>
        <w:t xml:space="preserve">delivered </w:t>
      </w:r>
      <w:r w:rsidR="5772C5FC" w:rsidRPr="40A5FC40">
        <w:rPr>
          <w:rFonts w:eastAsia="Garamond" w:cs="Garamond"/>
          <w:color w:val="000000" w:themeColor="text1"/>
        </w:rPr>
        <w:t>during peak times.</w:t>
      </w:r>
    </w:p>
    <w:p w14:paraId="2BDE0E18" w14:textId="56F3243D" w:rsidR="31546DED" w:rsidRDefault="31546DED" w:rsidP="057D115D">
      <w:pPr>
        <w:spacing w:after="160" w:line="259" w:lineRule="auto"/>
      </w:pPr>
      <w:r>
        <w:t>The CEC completed these adjustments in Round 2 of mapping.</w:t>
      </w:r>
    </w:p>
    <w:p w14:paraId="4691EEBD" w14:textId="01CD8FC8" w:rsidR="31546DED" w:rsidRDefault="31546DED" w:rsidP="057D115D">
      <w:pPr>
        <w:spacing w:after="160" w:line="259" w:lineRule="auto"/>
      </w:pPr>
      <w:r w:rsidRPr="057D115D">
        <w:rPr>
          <w:b/>
          <w:bCs/>
        </w:rPr>
        <w:t>Round 2 Battery Mapping</w:t>
      </w:r>
    </w:p>
    <w:p w14:paraId="34774C0A" w14:textId="6E12F30E" w:rsidR="00390037" w:rsidRPr="00BD2C6D" w:rsidRDefault="00C643FF" w:rsidP="057D115D">
      <w:pPr>
        <w:spacing w:after="160" w:line="259" w:lineRule="auto"/>
        <w:rPr>
          <w:rFonts w:eastAsia="Garamond" w:cs="Garamond"/>
          <w:color w:val="000000" w:themeColor="text1"/>
        </w:rPr>
      </w:pPr>
      <w:r>
        <w:fldChar w:fldCharType="begin"/>
      </w:r>
      <w:r>
        <w:instrText xml:space="preserve"> REF _Ref59117507 \r \h </w:instrText>
      </w:r>
      <w:r>
        <w:fldChar w:fldCharType="end"/>
      </w:r>
    </w:p>
    <w:p w14:paraId="4B441D2A" w14:textId="12D291C7" w:rsidR="54BA6D49" w:rsidRDefault="63879AFF" w:rsidP="057D115D">
      <w:pPr>
        <w:ind w:left="0"/>
      </w:pPr>
      <w:r w:rsidRPr="40A5FC40">
        <w:rPr>
          <w:rFonts w:eastAsia="Garamond" w:cs="Garamond"/>
          <w:color w:val="000000" w:themeColor="text1"/>
        </w:rPr>
        <w:lastRenderedPageBreak/>
        <w:t xml:space="preserve">With these adjustments </w:t>
      </w:r>
      <w:r w:rsidR="6992BCBA" w:rsidRPr="057D115D">
        <w:rPr>
          <w:rFonts w:eastAsia="Garamond" w:cs="Garamond"/>
          <w:color w:val="000000" w:themeColor="text1"/>
        </w:rPr>
        <w:t>noted above</w:t>
      </w:r>
      <w:r w:rsidRPr="057D115D">
        <w:rPr>
          <w:rFonts w:eastAsia="Garamond" w:cs="Garamond"/>
          <w:color w:val="000000" w:themeColor="text1"/>
        </w:rPr>
        <w:t xml:space="preserve"> </w:t>
      </w:r>
      <w:r w:rsidRPr="40A5FC40">
        <w:rPr>
          <w:rFonts w:eastAsia="Garamond" w:cs="Garamond"/>
          <w:color w:val="000000" w:themeColor="text1"/>
        </w:rPr>
        <w:t>in place, staff then mapped the batteries to busbars.</w:t>
      </w:r>
      <w:r w:rsidR="00B63666">
        <w:rPr>
          <w:rFonts w:eastAsia="Garamond" w:cs="Garamond"/>
          <w:color w:val="000000" w:themeColor="text1"/>
        </w:rPr>
        <w:t xml:space="preserve"> </w:t>
      </w:r>
      <w:r w:rsidR="7FFA6923">
        <w:t>After accounting for baseline reconciliation</w:t>
      </w:r>
      <w:r w:rsidR="43AD92D8">
        <w:t xml:space="preserve"> as note</w:t>
      </w:r>
      <w:r w:rsidR="29EACDF7">
        <w:t>d</w:t>
      </w:r>
      <w:r w:rsidR="43AD92D8">
        <w:t xml:space="preserve"> in S</w:t>
      </w:r>
      <w:r w:rsidR="6F428C08">
        <w:t xml:space="preserve">ection </w:t>
      </w:r>
      <w:r w:rsidR="00D95DCB">
        <w:fldChar w:fldCharType="begin"/>
      </w:r>
      <w:r w:rsidR="00D95DCB">
        <w:instrText xml:space="preserve"> REF _Ref36201141 \r \h </w:instrText>
      </w:r>
      <w:r w:rsidR="00D95DCB">
        <w:fldChar w:fldCharType="separate"/>
      </w:r>
      <w:r w:rsidR="003B7A14">
        <w:t>4</w:t>
      </w:r>
      <w:r w:rsidR="00D95DCB">
        <w:fldChar w:fldCharType="end"/>
      </w:r>
      <w:r w:rsidR="7FFA6923">
        <w:t xml:space="preserve">, 9,447 MW of battery storage was mapped for this sensitivity. </w:t>
      </w:r>
      <w:r w:rsidR="0804D607">
        <w:t>As described above, in Round 1 the following non-battery resources were mapped:</w:t>
      </w:r>
      <w:r w:rsidR="1BFE07C6">
        <w:t xml:space="preserve"> 7,845 MW of FD solar resources, 2,</w:t>
      </w:r>
      <w:r w:rsidR="2FE627B2">
        <w:t>727</w:t>
      </w:r>
      <w:r w:rsidR="1BFE07C6">
        <w:t xml:space="preserve"> MW of FD wind resources, </w:t>
      </w:r>
      <w:r w:rsidR="082B8D5F">
        <w:t xml:space="preserve">57 MW of FD geothermal resources, </w:t>
      </w:r>
      <w:r w:rsidR="1BFE07C6">
        <w:t xml:space="preserve">and </w:t>
      </w:r>
      <w:r w:rsidR="1C11E95A">
        <w:t>1,843</w:t>
      </w:r>
      <w:r w:rsidR="1BFE07C6">
        <w:t xml:space="preserve"> MW of FD pumped storage hydro resources.</w:t>
      </w:r>
    </w:p>
    <w:p w14:paraId="08E39CA0" w14:textId="77777777" w:rsidR="00C81FE0" w:rsidRDefault="00C81FE0" w:rsidP="5B86ABBE"/>
    <w:p w14:paraId="30E85F83" w14:textId="22A14199" w:rsidR="54BA6D49" w:rsidRDefault="390446B8">
      <w:r>
        <w:t xml:space="preserve">After the implementation of battery mapping steps 1 through </w:t>
      </w:r>
      <w:r w:rsidR="6044F317">
        <w:t>8</w:t>
      </w:r>
      <w:r w:rsidR="0954B10D">
        <w:t>,</w:t>
      </w:r>
      <w:r>
        <w:t xml:space="preserve"> CPUC staff identified the following initial results:</w:t>
      </w:r>
    </w:p>
    <w:p w14:paraId="712EADEC" w14:textId="3E2D4A93" w:rsidR="20173647" w:rsidRDefault="17050E10" w:rsidP="40A5FC40">
      <w:pPr>
        <w:pStyle w:val="ListParagraph"/>
        <w:numPr>
          <w:ilvl w:val="0"/>
          <w:numId w:val="15"/>
        </w:numPr>
        <w:rPr>
          <w:rFonts w:asciiTheme="minorHAnsi" w:eastAsiaTheme="minorEastAsia" w:hAnsiTheme="minorHAnsi" w:cstheme="minorBidi"/>
        </w:rPr>
      </w:pPr>
      <w:r>
        <w:t>No substation with available transmission headroom in the outer renewable transmission zone</w:t>
      </w:r>
      <w:r w:rsidR="25200ED3">
        <w:t>s</w:t>
      </w:r>
      <w:r>
        <w:t>.</w:t>
      </w:r>
    </w:p>
    <w:p w14:paraId="517050E2" w14:textId="1810AC65" w:rsidR="54BA6D49" w:rsidRDefault="239DCD01" w:rsidP="309F74DB">
      <w:pPr>
        <w:pStyle w:val="ListParagraph"/>
        <w:numPr>
          <w:ilvl w:val="0"/>
          <w:numId w:val="15"/>
        </w:numPr>
        <w:rPr>
          <w:rFonts w:asciiTheme="minorHAnsi" w:eastAsiaTheme="minorEastAsia" w:hAnsiTheme="minorHAnsi" w:cstheme="minorBidi"/>
        </w:rPr>
      </w:pPr>
      <w:r>
        <w:t>20</w:t>
      </w:r>
      <w:r w:rsidR="4EA5DE53">
        <w:t xml:space="preserve"> substations within LCR </w:t>
      </w:r>
      <w:r w:rsidR="3F06AA8C">
        <w:t>a</w:t>
      </w:r>
      <w:r w:rsidR="4EA5DE53">
        <w:t xml:space="preserve">reas within the renewable transmission zones, 17 substations within LCR </w:t>
      </w:r>
      <w:r w:rsidR="3FAB76C0">
        <w:t>a</w:t>
      </w:r>
      <w:r w:rsidR="4EA5DE53">
        <w:t>reas within the</w:t>
      </w:r>
      <w:r w:rsidR="57957064">
        <w:t xml:space="preserve"> “Ex” zones</w:t>
      </w:r>
      <w:r w:rsidR="4EA5DE53">
        <w:t>.</w:t>
      </w:r>
    </w:p>
    <w:p w14:paraId="73F28DEE" w14:textId="20B60E63" w:rsidR="54BA6D49" w:rsidRDefault="4EA5DE53" w:rsidP="309F74DB">
      <w:pPr>
        <w:pStyle w:val="ListParagraph"/>
        <w:numPr>
          <w:ilvl w:val="0"/>
          <w:numId w:val="103"/>
        </w:numPr>
        <w:rPr>
          <w:rFonts w:asciiTheme="minorHAnsi" w:eastAsiaTheme="minorEastAsia" w:hAnsiTheme="minorHAnsi" w:cstheme="minorBidi"/>
        </w:rPr>
      </w:pPr>
      <w:r>
        <w:t xml:space="preserve">17 substations within DACs within the renewable transmission zones, 28 substations within DACs within the </w:t>
      </w:r>
      <w:r w:rsidR="6D59C643">
        <w:t>“Ex” zones</w:t>
      </w:r>
      <w:r>
        <w:t>.</w:t>
      </w:r>
    </w:p>
    <w:p w14:paraId="3EBF71BA" w14:textId="28AE33E3" w:rsidR="54BA6D49" w:rsidRDefault="4EA5DE53" w:rsidP="309F74DB">
      <w:pPr>
        <w:pStyle w:val="ListParagraph"/>
        <w:numPr>
          <w:ilvl w:val="0"/>
          <w:numId w:val="103"/>
        </w:numPr>
        <w:rPr>
          <w:rFonts w:asciiTheme="minorHAnsi" w:eastAsiaTheme="minorEastAsia" w:hAnsiTheme="minorHAnsi" w:cstheme="minorBidi"/>
          <w:szCs w:val="24"/>
        </w:rPr>
      </w:pPr>
      <w:r>
        <w:t xml:space="preserve">52 substations within non-attainment areas within the renewable transmission zones, 74 substations within non-attainment areas within the </w:t>
      </w:r>
      <w:r w:rsidR="6B34B5F4">
        <w:t>“Ex” zones</w:t>
      </w:r>
      <w:r>
        <w:t>.</w:t>
      </w:r>
    </w:p>
    <w:p w14:paraId="175D8666" w14:textId="158A4EE7" w:rsidR="54BA6D49" w:rsidRPr="00C81FE0" w:rsidRDefault="4EA5DE53" w:rsidP="309F74DB">
      <w:pPr>
        <w:pStyle w:val="ListParagraph"/>
        <w:numPr>
          <w:ilvl w:val="0"/>
          <w:numId w:val="103"/>
        </w:numPr>
        <w:rPr>
          <w:rFonts w:asciiTheme="minorHAnsi" w:eastAsiaTheme="minorEastAsia" w:hAnsiTheme="minorHAnsi" w:cstheme="minorBidi"/>
        </w:rPr>
      </w:pPr>
      <w:r>
        <w:t xml:space="preserve">38,377 MW of battery commercial interest within the renewable transmission zones, 3,178 MW of battery commercial interest within the </w:t>
      </w:r>
      <w:r w:rsidR="3149EF2C">
        <w:t>“Ex” zones</w:t>
      </w:r>
      <w:r>
        <w:t>.</w:t>
      </w:r>
    </w:p>
    <w:p w14:paraId="501AB0BB" w14:textId="77777777" w:rsidR="00C81FE0" w:rsidRDefault="00C81FE0" w:rsidP="00C81FE0">
      <w:pPr>
        <w:pStyle w:val="ListParagraph"/>
        <w:rPr>
          <w:rFonts w:asciiTheme="minorHAnsi" w:eastAsiaTheme="minorEastAsia" w:hAnsiTheme="minorHAnsi" w:cstheme="minorBidi"/>
          <w:szCs w:val="24"/>
        </w:rPr>
      </w:pPr>
    </w:p>
    <w:p w14:paraId="3215293D" w14:textId="5018F5E2" w:rsidR="1C169E9A" w:rsidRDefault="250B4A38" w:rsidP="63B70070">
      <w:r>
        <w:t>CPUC staff mapped the battery resources in the following manner while implementing steps 9a through e:</w:t>
      </w:r>
    </w:p>
    <w:p w14:paraId="413078DC" w14:textId="7FBDA849" w:rsidR="54BA6D49" w:rsidRDefault="4EA5DE53" w:rsidP="4E1893D1">
      <w:pPr>
        <w:pStyle w:val="ListParagraph"/>
        <w:numPr>
          <w:ilvl w:val="0"/>
          <w:numId w:val="105"/>
        </w:numPr>
        <w:rPr>
          <w:rFonts w:asciiTheme="minorHAnsi" w:eastAsiaTheme="minorEastAsia" w:hAnsiTheme="minorHAnsi" w:cstheme="minorBidi"/>
        </w:rPr>
      </w:pPr>
      <w:r>
        <w:t>2,00</w:t>
      </w:r>
      <w:r w:rsidR="3EA186E4">
        <w:t>8</w:t>
      </w:r>
      <w:r>
        <w:t xml:space="preserve"> MW of stand-alone battery resources providing LCR and system RA located entirely in </w:t>
      </w:r>
      <w:r w:rsidR="487FF627">
        <w:t>“Ex” zones</w:t>
      </w:r>
      <w:r>
        <w:t>.</w:t>
      </w:r>
    </w:p>
    <w:p w14:paraId="59129996" w14:textId="408FA9CF" w:rsidR="54BA6D49" w:rsidRDefault="4EA5DE53" w:rsidP="309F74DB">
      <w:pPr>
        <w:pStyle w:val="ListParagraph"/>
        <w:numPr>
          <w:ilvl w:val="0"/>
          <w:numId w:val="105"/>
        </w:numPr>
        <w:rPr>
          <w:rFonts w:asciiTheme="minorHAnsi" w:eastAsiaTheme="minorEastAsia" w:hAnsiTheme="minorHAnsi" w:cstheme="minorBidi"/>
        </w:rPr>
      </w:pPr>
      <w:r>
        <w:t xml:space="preserve">1,170 MW of stand-alone battery resources providing system-only RA located entirely in </w:t>
      </w:r>
      <w:r w:rsidR="390DE494">
        <w:t>“Ex” zones</w:t>
      </w:r>
      <w:r>
        <w:t>.</w:t>
      </w:r>
    </w:p>
    <w:p w14:paraId="79C2B948" w14:textId="2560A1F7" w:rsidR="54BA6D49" w:rsidRDefault="27BDC79C" w:rsidP="309F74DB">
      <w:pPr>
        <w:pStyle w:val="ListParagraph"/>
        <w:numPr>
          <w:ilvl w:val="0"/>
          <w:numId w:val="105"/>
        </w:numPr>
      </w:pPr>
      <w:r>
        <w:t>4</w:t>
      </w:r>
      <w:r w:rsidR="5AA5F2DD">
        <w:t>,</w:t>
      </w:r>
      <w:r w:rsidR="264EDA79">
        <w:t>836</w:t>
      </w:r>
      <w:r w:rsidR="4EA5DE53">
        <w:t xml:space="preserve"> MW of co-located solar + battery resources located in the renewable transmission zones</w:t>
      </w:r>
      <w:r w:rsidR="73B8EC81">
        <w:t>.</w:t>
      </w:r>
    </w:p>
    <w:p w14:paraId="750FB8EF" w14:textId="77777777" w:rsidR="00C81FE0" w:rsidRDefault="00C81FE0" w:rsidP="00C81FE0">
      <w:pPr>
        <w:pStyle w:val="ListParagraph"/>
      </w:pPr>
    </w:p>
    <w:p w14:paraId="7F657787" w14:textId="145ECC78" w:rsidR="54BA6D49" w:rsidRDefault="6094037B" w:rsidP="00A24A87">
      <w:pPr>
        <w:rPr>
          <w:rFonts w:asciiTheme="minorHAnsi" w:eastAsiaTheme="minorEastAsia" w:hAnsiTheme="minorHAnsi" w:cstheme="minorBidi"/>
        </w:rPr>
      </w:pPr>
      <w:r>
        <w:t>With the total of 8,</w:t>
      </w:r>
      <w:r w:rsidR="6D104663">
        <w:t>014</w:t>
      </w:r>
      <w:r>
        <w:t xml:space="preserve"> MW of battery resources initially mapped, </w:t>
      </w:r>
      <w:r w:rsidR="3196ACEC">
        <w:t xml:space="preserve">CPUC </w:t>
      </w:r>
      <w:r w:rsidR="084E99E2">
        <w:t>staff implemented step 9f. This involved further interaction with the non-battery mapping Dashboard and checking consistency with the previous year’s mapping</w:t>
      </w:r>
      <w:r>
        <w:t xml:space="preserve"> to identify suitable substations for siting the remaining 1,</w:t>
      </w:r>
      <w:r w:rsidR="3416E265">
        <w:t>433</w:t>
      </w:r>
      <w:r>
        <w:t xml:space="preserve"> MW of battery resources. </w:t>
      </w:r>
      <w:r w:rsidR="63EDE32A">
        <w:t xml:space="preserve">In the non-battery analysis </w:t>
      </w:r>
      <w:r w:rsidR="3F4636F9">
        <w:t>CPUC s</w:t>
      </w:r>
      <w:r w:rsidR="6AEFBFA1">
        <w:t>taff identified exceedances</w:t>
      </w:r>
      <w:r>
        <w:t xml:space="preserve"> of </w:t>
      </w:r>
      <w:r w:rsidR="1942FEB3">
        <w:t>transmission constraint</w:t>
      </w:r>
      <w:r w:rsidR="0C21ECC4">
        <w:t>s at multiple zones including</w:t>
      </w:r>
      <w:r>
        <w:t xml:space="preserve"> the</w:t>
      </w:r>
      <w:r w:rsidR="63C9C8BF">
        <w:t xml:space="preserve"> Southern California Desert and Southern Nevada zone</w:t>
      </w:r>
      <w:r w:rsidR="7B2FBDDE">
        <w:t xml:space="preserve">. </w:t>
      </w:r>
      <w:r w:rsidR="1DAE6D97">
        <w:t>CPUC s</w:t>
      </w:r>
      <w:r w:rsidR="7AF7643B">
        <w:t xml:space="preserve">taff used </w:t>
      </w:r>
      <w:r w:rsidR="684BEE98">
        <w:t xml:space="preserve">a part of </w:t>
      </w:r>
      <w:r w:rsidR="7AF7643B">
        <w:t>t</w:t>
      </w:r>
      <w:r w:rsidR="7B2FBDDE">
        <w:t>he</w:t>
      </w:r>
      <w:r w:rsidR="6D40A143">
        <w:t xml:space="preserve"> 2,800 MW transmission upgra</w:t>
      </w:r>
      <w:r w:rsidR="3DDD86C3">
        <w:t>de</w:t>
      </w:r>
      <w:r w:rsidR="61EDE6BD">
        <w:t xml:space="preserve"> </w:t>
      </w:r>
      <w:r w:rsidR="19F4E48B">
        <w:t>to</w:t>
      </w:r>
      <w:r w:rsidR="3A5F4888">
        <w:t xml:space="preserve"> </w:t>
      </w:r>
      <w:r w:rsidR="19F4E48B">
        <w:t>map the remaining battery resources</w:t>
      </w:r>
      <w:r>
        <w:t xml:space="preserve">. </w:t>
      </w:r>
      <w:r w:rsidR="33E74238">
        <w:t>CPUC s</w:t>
      </w:r>
      <w:r w:rsidR="45017933">
        <w:t>taff selected t</w:t>
      </w:r>
      <w:r w:rsidR="0180A5FC">
        <w:t>he</w:t>
      </w:r>
      <w:r w:rsidR="2E54054B">
        <w:t xml:space="preserve"> Riverside East Palm Springs sub-zone due to the </w:t>
      </w:r>
      <w:r w:rsidR="77CBBE9C">
        <w:t>1</w:t>
      </w:r>
      <w:r w:rsidR="598CCD64">
        <w:t>,</w:t>
      </w:r>
      <w:r w:rsidR="77CBBE9C">
        <w:t xml:space="preserve">400 MW of </w:t>
      </w:r>
      <w:r w:rsidR="3A43DF7F">
        <w:t xml:space="preserve">available </w:t>
      </w:r>
      <w:r w:rsidR="2E54054B">
        <w:t xml:space="preserve">transmission capacity </w:t>
      </w:r>
      <w:r w:rsidR="7D79E7E2">
        <w:t>as part of</w:t>
      </w:r>
      <w:r w:rsidR="50041DE0">
        <w:t xml:space="preserve"> the transmission upgrade </w:t>
      </w:r>
      <w:r w:rsidR="32BC8B06">
        <w:t>for the outer renewable transmission zone</w:t>
      </w:r>
      <w:r w:rsidR="6EBFAD4B">
        <w:t>.</w:t>
      </w:r>
      <w:r w:rsidR="242CFF71">
        <w:t xml:space="preserve"> </w:t>
      </w:r>
      <w:r w:rsidR="70C6282B">
        <w:t xml:space="preserve">CPUC staff also identified </w:t>
      </w:r>
      <w:r w:rsidR="79775D5E">
        <w:t xml:space="preserve">734 MW of </w:t>
      </w:r>
      <w:r w:rsidR="70C6282B">
        <w:t xml:space="preserve">available headroom at the Gates substation </w:t>
      </w:r>
      <w:r w:rsidR="15B93D42">
        <w:t xml:space="preserve">based on </w:t>
      </w:r>
      <w:r w:rsidR="31E3AE19">
        <w:t>CAISO</w:t>
      </w:r>
      <w:r w:rsidR="64D71564">
        <w:t>’s</w:t>
      </w:r>
      <w:r w:rsidR="31E3AE19">
        <w:t xml:space="preserve"> staff guidance</w:t>
      </w:r>
      <w:r w:rsidR="6B1B6318">
        <w:t>.</w:t>
      </w:r>
      <w:r w:rsidR="250CB855">
        <w:t xml:space="preserve"> </w:t>
      </w:r>
      <w:r w:rsidR="20ADA51F">
        <w:t>CPUC s</w:t>
      </w:r>
      <w:r w:rsidR="42B0D580">
        <w:t>taff mapped the</w:t>
      </w:r>
      <w:r w:rsidR="242CFF71">
        <w:t xml:space="preserve"> </w:t>
      </w:r>
      <w:r w:rsidR="396740E5">
        <w:t xml:space="preserve">battery resources across substations that had </w:t>
      </w:r>
      <w:r w:rsidR="242CFF71">
        <w:t xml:space="preserve">battery storage commercial interest </w:t>
      </w:r>
      <w:r w:rsidR="4BD9B24C">
        <w:t>in the following manner:</w:t>
      </w:r>
    </w:p>
    <w:p w14:paraId="044149D9" w14:textId="245CF51B" w:rsidR="347CD9CD" w:rsidRPr="005169DA" w:rsidRDefault="5409C043" w:rsidP="005169DA">
      <w:pPr>
        <w:pStyle w:val="ListParagraph"/>
        <w:numPr>
          <w:ilvl w:val="0"/>
          <w:numId w:val="105"/>
        </w:numPr>
      </w:pPr>
      <w:r>
        <w:t>4</w:t>
      </w:r>
      <w:r w:rsidR="2447CB3B">
        <w:t>20</w:t>
      </w:r>
      <w:r>
        <w:t xml:space="preserve"> MW to Delaney-Colorado substation</w:t>
      </w:r>
    </w:p>
    <w:p w14:paraId="64B23AFC" w14:textId="1D33C887" w:rsidR="347CD9CD" w:rsidRDefault="5409C043" w:rsidP="005169DA">
      <w:pPr>
        <w:pStyle w:val="ListParagraph"/>
        <w:numPr>
          <w:ilvl w:val="0"/>
          <w:numId w:val="105"/>
        </w:numPr>
      </w:pPr>
      <w:r>
        <w:t>4</w:t>
      </w:r>
      <w:r w:rsidR="1F8ADD80">
        <w:t>20</w:t>
      </w:r>
      <w:r>
        <w:t xml:space="preserve"> MW to Red Bluff substation</w:t>
      </w:r>
    </w:p>
    <w:p w14:paraId="39CAF055" w14:textId="66A0B3F7" w:rsidR="70D11774" w:rsidRDefault="73900610" w:rsidP="005169DA">
      <w:pPr>
        <w:pStyle w:val="ListParagraph"/>
        <w:numPr>
          <w:ilvl w:val="0"/>
          <w:numId w:val="105"/>
        </w:numPr>
      </w:pPr>
      <w:r>
        <w:t>4</w:t>
      </w:r>
      <w:r w:rsidR="33185D9E">
        <w:t>20</w:t>
      </w:r>
      <w:r>
        <w:t xml:space="preserve"> MW to Colorado River substation</w:t>
      </w:r>
    </w:p>
    <w:p w14:paraId="4C7985EC" w14:textId="4B1C0FBE" w:rsidR="63DF1CD0" w:rsidRDefault="63DF1CD0" w:rsidP="005169DA">
      <w:pPr>
        <w:pStyle w:val="ListParagraph"/>
        <w:numPr>
          <w:ilvl w:val="0"/>
          <w:numId w:val="105"/>
        </w:numPr>
      </w:pPr>
      <w:r>
        <w:t>1</w:t>
      </w:r>
      <w:r w:rsidR="142C3A98">
        <w:t>73</w:t>
      </w:r>
      <w:r w:rsidR="62935583">
        <w:t xml:space="preserve"> MW to Gates 500 kV substation</w:t>
      </w:r>
    </w:p>
    <w:p w14:paraId="0E94B814" w14:textId="77777777" w:rsidR="00C81FE0" w:rsidRDefault="00C81FE0" w:rsidP="00C81FE0">
      <w:pPr>
        <w:pStyle w:val="ListParagraph"/>
        <w:spacing w:line="259" w:lineRule="auto"/>
      </w:pPr>
    </w:p>
    <w:p w14:paraId="62CEF8DB" w14:textId="221DF749" w:rsidR="5F716987" w:rsidRDefault="5F716987">
      <w:r w:rsidRPr="11B67F87">
        <w:rPr>
          <w:b/>
          <w:bCs/>
        </w:rPr>
        <w:t>Round 2 Mapping Analysis</w:t>
      </w:r>
    </w:p>
    <w:p w14:paraId="159ABBF0" w14:textId="1FE0741A" w:rsidR="38D217B2" w:rsidRDefault="38D217B2" w:rsidP="4E1893D1">
      <w:pPr>
        <w:rPr>
          <w:rFonts w:eastAsia="Garamond" w:cs="Garamond"/>
          <w:color w:val="000000" w:themeColor="text1"/>
        </w:rPr>
      </w:pPr>
      <w:r>
        <w:lastRenderedPageBreak/>
        <w:t xml:space="preserve">After a second round of mapping to implement the changes noted above and to map the battery resources, CPUC staff reassessed the mapped resources compliance with the five criteria. These results are summarized below in </w:t>
      </w:r>
      <w:r w:rsidR="002829AA">
        <w:fldChar w:fldCharType="begin"/>
      </w:r>
      <w:r w:rsidR="002829AA">
        <w:instrText xml:space="preserve"> REF _Ref63665323 \h </w:instrText>
      </w:r>
      <w:r w:rsidR="002829AA">
        <w:fldChar w:fldCharType="separate"/>
      </w:r>
      <w:r w:rsidR="002829AA">
        <w:t xml:space="preserve">Table </w:t>
      </w:r>
      <w:r w:rsidR="002829AA">
        <w:rPr>
          <w:noProof/>
        </w:rPr>
        <w:t>13</w:t>
      </w:r>
      <w:r w:rsidR="002829AA">
        <w:fldChar w:fldCharType="end"/>
      </w:r>
      <w:r>
        <w:t xml:space="preserve">. CPUC staff note increases in compliance for criteria 1 </w:t>
      </w:r>
      <w:r w:rsidRPr="4E1893D1">
        <w:rPr>
          <w:rFonts w:eastAsia="Garamond" w:cs="Garamond"/>
          <w:color w:val="000000" w:themeColor="text1"/>
        </w:rPr>
        <w:t>distance to transmission of appropriate voltage), 4 (commercial interest), and 5 (consistency with prior year’s mapping). The</w:t>
      </w:r>
      <w:r w:rsidR="0A3D214D" w:rsidRPr="4E1893D1">
        <w:rPr>
          <w:rFonts w:eastAsia="Garamond" w:cs="Garamond"/>
          <w:color w:val="000000" w:themeColor="text1"/>
        </w:rPr>
        <w:t xml:space="preserve"> </w:t>
      </w:r>
      <w:r w:rsidR="1BD05747" w:rsidRPr="4E1893D1">
        <w:rPr>
          <w:rFonts w:eastAsia="Garamond" w:cs="Garamond"/>
          <w:color w:val="000000" w:themeColor="text1"/>
        </w:rPr>
        <w:t>adjustments</w:t>
      </w:r>
      <w:r w:rsidR="4199E51A" w:rsidRPr="057D115D">
        <w:rPr>
          <w:rFonts w:eastAsia="Garamond" w:cs="Garamond"/>
          <w:color w:val="000000" w:themeColor="text1"/>
        </w:rPr>
        <w:t xml:space="preserve"> made during Round 2 of mapping</w:t>
      </w:r>
      <w:r w:rsidR="1BD05747" w:rsidRPr="4E1893D1">
        <w:rPr>
          <w:rFonts w:eastAsia="Garamond" w:cs="Garamond"/>
          <w:color w:val="000000" w:themeColor="text1"/>
        </w:rPr>
        <w:t xml:space="preserve"> </w:t>
      </w:r>
      <w:r w:rsidRPr="4E1893D1">
        <w:rPr>
          <w:rFonts w:eastAsia="Garamond" w:cs="Garamond"/>
          <w:color w:val="000000" w:themeColor="text1"/>
        </w:rPr>
        <w:t xml:space="preserve">resulted in </w:t>
      </w:r>
      <w:r w:rsidR="2AEBBE21" w:rsidRPr="4E1893D1">
        <w:rPr>
          <w:rFonts w:eastAsia="Garamond" w:cs="Garamond"/>
          <w:color w:val="000000" w:themeColor="text1"/>
        </w:rPr>
        <w:t xml:space="preserve">improved compliance in </w:t>
      </w:r>
      <w:r w:rsidRPr="4E1893D1">
        <w:rPr>
          <w:rFonts w:eastAsia="Garamond" w:cs="Garamond"/>
          <w:color w:val="000000" w:themeColor="text1"/>
        </w:rPr>
        <w:t>criterion 2 (transmission capability)</w:t>
      </w:r>
      <w:r w:rsidR="182DB7F5" w:rsidRPr="4E1893D1">
        <w:rPr>
          <w:rFonts w:eastAsia="Garamond" w:cs="Garamond"/>
          <w:color w:val="000000" w:themeColor="text1"/>
        </w:rPr>
        <w:t xml:space="preserve"> for resources in the Northe</w:t>
      </w:r>
      <w:r w:rsidR="00952765">
        <w:rPr>
          <w:rFonts w:eastAsia="Garamond" w:cs="Garamond"/>
          <w:color w:val="000000" w:themeColor="text1"/>
        </w:rPr>
        <w:t>r</w:t>
      </w:r>
      <w:r w:rsidR="182DB7F5" w:rsidRPr="4E1893D1">
        <w:rPr>
          <w:rFonts w:eastAsia="Garamond" w:cs="Garamond"/>
          <w:color w:val="000000" w:themeColor="text1"/>
        </w:rPr>
        <w:t>n California transmission zone but increased</w:t>
      </w:r>
      <w:r w:rsidRPr="4E1893D1">
        <w:rPr>
          <w:rFonts w:eastAsia="Garamond" w:cs="Garamond"/>
          <w:color w:val="000000" w:themeColor="text1"/>
        </w:rPr>
        <w:t xml:space="preserve"> non-compliance </w:t>
      </w:r>
      <w:r w:rsidR="6E24ACF4" w:rsidRPr="4E1893D1">
        <w:rPr>
          <w:rFonts w:eastAsia="Garamond" w:cs="Garamond"/>
          <w:color w:val="000000" w:themeColor="text1"/>
        </w:rPr>
        <w:t>for resource</w:t>
      </w:r>
      <w:r w:rsidR="370BD656" w:rsidRPr="4E1893D1">
        <w:rPr>
          <w:rFonts w:eastAsia="Garamond" w:cs="Garamond"/>
          <w:color w:val="000000" w:themeColor="text1"/>
        </w:rPr>
        <w:t>s</w:t>
      </w:r>
      <w:r w:rsidR="6804702B" w:rsidRPr="4E1893D1">
        <w:rPr>
          <w:rFonts w:eastAsia="Garamond" w:cs="Garamond"/>
          <w:color w:val="000000" w:themeColor="text1"/>
        </w:rPr>
        <w:t xml:space="preserve"> in other transmission zones</w:t>
      </w:r>
      <w:r w:rsidR="6E24ACF4" w:rsidRPr="4E1893D1">
        <w:rPr>
          <w:rFonts w:eastAsia="Garamond" w:cs="Garamond"/>
          <w:color w:val="000000" w:themeColor="text1"/>
        </w:rPr>
        <w:t xml:space="preserve"> </w:t>
      </w:r>
      <w:r w:rsidR="5FB3BCD4" w:rsidRPr="4E1893D1">
        <w:rPr>
          <w:rFonts w:eastAsia="Garamond" w:cs="Garamond"/>
          <w:color w:val="000000" w:themeColor="text1"/>
        </w:rPr>
        <w:t xml:space="preserve">mostly </w:t>
      </w:r>
      <w:r w:rsidRPr="4E1893D1">
        <w:rPr>
          <w:rFonts w:eastAsia="Garamond" w:cs="Garamond"/>
          <w:color w:val="000000" w:themeColor="text1"/>
        </w:rPr>
        <w:t>as the result of reallocating resources from “Ex” zones into CAISO’s renewable transmission zones and</w:t>
      </w:r>
      <w:r w:rsidR="389EDB70" w:rsidRPr="4E1893D1">
        <w:rPr>
          <w:rFonts w:eastAsia="Garamond" w:cs="Garamond"/>
          <w:color w:val="000000" w:themeColor="text1"/>
        </w:rPr>
        <w:t xml:space="preserve"> moving EO resources to FD</w:t>
      </w:r>
      <w:r w:rsidRPr="4E1893D1">
        <w:rPr>
          <w:rFonts w:eastAsia="Garamond" w:cs="Garamond"/>
          <w:color w:val="000000" w:themeColor="text1"/>
        </w:rPr>
        <w:t xml:space="preserve">. These non-compliances and the remaining non-compliances for criteria 3a (available land area) and 3b (high environmental impacts) are </w:t>
      </w:r>
      <w:r w:rsidR="130296B8" w:rsidRPr="057D115D">
        <w:rPr>
          <w:rFonts w:eastAsia="Garamond" w:cs="Garamond"/>
          <w:color w:val="000000" w:themeColor="text1"/>
        </w:rPr>
        <w:t xml:space="preserve">discussed </w:t>
      </w:r>
      <w:r w:rsidRPr="4E1893D1">
        <w:rPr>
          <w:rFonts w:eastAsia="Garamond" w:cs="Garamond"/>
          <w:color w:val="000000" w:themeColor="text1"/>
        </w:rPr>
        <w:t>in detail in the Results section 7.</w:t>
      </w:r>
      <w:r w:rsidR="6A4D3805" w:rsidRPr="4E1893D1">
        <w:rPr>
          <w:rFonts w:eastAsia="Garamond" w:cs="Garamond"/>
          <w:color w:val="000000" w:themeColor="text1"/>
        </w:rPr>
        <w:t>2</w:t>
      </w:r>
      <w:r w:rsidRPr="4E1893D1">
        <w:rPr>
          <w:rFonts w:eastAsia="Garamond" w:cs="Garamond"/>
          <w:color w:val="000000" w:themeColor="text1"/>
        </w:rPr>
        <w:t>.</w:t>
      </w:r>
    </w:p>
    <w:p w14:paraId="1F3E7D86" w14:textId="3B62508D" w:rsidR="000D2EB0" w:rsidRDefault="000D2EB0" w:rsidP="4E1893D1">
      <w:pPr>
        <w:rPr>
          <w:rFonts w:eastAsia="Garamond" w:cs="Garamond"/>
          <w:color w:val="000000" w:themeColor="text1"/>
        </w:rPr>
      </w:pPr>
    </w:p>
    <w:p w14:paraId="7F5EB656" w14:textId="77777777" w:rsidR="000D2EB0" w:rsidRDefault="000D2EB0" w:rsidP="4E1893D1">
      <w:pPr>
        <w:rPr>
          <w:rFonts w:eastAsia="Garamond" w:cs="Garamond"/>
          <w:color w:val="000000" w:themeColor="text1"/>
        </w:rPr>
        <w:sectPr w:rsidR="000D2EB0">
          <w:pgSz w:w="12240" w:h="15840"/>
          <w:pgMar w:top="1440" w:right="1440" w:bottom="1440" w:left="1440" w:header="720" w:footer="720" w:gutter="0"/>
          <w:cols w:space="720"/>
          <w:docGrid w:linePitch="360"/>
        </w:sectPr>
      </w:pPr>
    </w:p>
    <w:p w14:paraId="2015B8D0" w14:textId="7FE4E6B4" w:rsidR="001D72D3" w:rsidRDefault="001D72D3" w:rsidP="005169DA">
      <w:pPr>
        <w:pStyle w:val="Caption"/>
        <w:keepNext/>
      </w:pPr>
      <w:bookmarkStart w:id="55" w:name="_Ref63665323"/>
      <w:r>
        <w:lastRenderedPageBreak/>
        <w:t xml:space="preserve">Table </w:t>
      </w:r>
      <w:r w:rsidR="00F02B49">
        <w:fldChar w:fldCharType="begin"/>
      </w:r>
      <w:r w:rsidR="00F02B49">
        <w:instrText xml:space="preserve"> SEQ Table \* ARABIC </w:instrText>
      </w:r>
      <w:r w:rsidR="00F02B49">
        <w:fldChar w:fldCharType="separate"/>
      </w:r>
      <w:r>
        <w:rPr>
          <w:noProof/>
        </w:rPr>
        <w:t>13</w:t>
      </w:r>
      <w:r w:rsidR="00F02B49">
        <w:rPr>
          <w:noProof/>
        </w:rPr>
        <w:fldChar w:fldCharType="end"/>
      </w:r>
      <w:bookmarkEnd w:id="55"/>
      <w:r>
        <w:t xml:space="preserve">. </w:t>
      </w:r>
      <w:r w:rsidRPr="001D72D3">
        <w:t>Dashboard showing compliance of busbar allocations for the 38 MMT portfolio, after Round 2 of mapping, with the criteria</w:t>
      </w:r>
    </w:p>
    <w:p w14:paraId="03EC58FD" w14:textId="21EFCF56" w:rsidR="000D2EB0" w:rsidRDefault="2744B8B1" w:rsidP="4E1893D1">
      <w:pPr>
        <w:sectPr w:rsidR="000D2EB0" w:rsidSect="006E3DEF">
          <w:pgSz w:w="15840" w:h="12240" w:orient="landscape"/>
          <w:pgMar w:top="1440" w:right="1440" w:bottom="1440" w:left="1440" w:header="720" w:footer="720" w:gutter="0"/>
          <w:cols w:space="720"/>
          <w:docGrid w:linePitch="360"/>
        </w:sectPr>
      </w:pPr>
      <w:r>
        <w:rPr>
          <w:noProof/>
        </w:rPr>
        <w:drawing>
          <wp:inline distT="0" distB="0" distL="0" distR="0" wp14:anchorId="5EE2E61B" wp14:editId="5D1A232C">
            <wp:extent cx="7256679" cy="5611112"/>
            <wp:effectExtent l="0" t="0" r="1905" b="8890"/>
            <wp:docPr id="142081006" name="Picture 14208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81006"/>
                    <pic:cNvPicPr/>
                  </pic:nvPicPr>
                  <pic:blipFill>
                    <a:blip r:embed="rId27">
                      <a:extLst>
                        <a:ext uri="{28A0092B-C50C-407E-A947-70E740481C1C}">
                          <a14:useLocalDpi xmlns:a14="http://schemas.microsoft.com/office/drawing/2010/main" val="0"/>
                        </a:ext>
                      </a:extLst>
                    </a:blip>
                    <a:stretch>
                      <a:fillRect/>
                    </a:stretch>
                  </pic:blipFill>
                  <pic:spPr>
                    <a:xfrm>
                      <a:off x="0" y="0"/>
                      <a:ext cx="7256679" cy="5611112"/>
                    </a:xfrm>
                    <a:prstGeom prst="rect">
                      <a:avLst/>
                    </a:prstGeom>
                  </pic:spPr>
                </pic:pic>
              </a:graphicData>
            </a:graphic>
          </wp:inline>
        </w:drawing>
      </w:r>
    </w:p>
    <w:p w14:paraId="58BD2C9F" w14:textId="2BCD3EC9" w:rsidR="4E1893D1" w:rsidRDefault="4E1893D1" w:rsidP="11B67F87">
      <w:pPr>
        <w:ind w:left="0"/>
      </w:pPr>
    </w:p>
    <w:p w14:paraId="3EC57D94" w14:textId="338CA959" w:rsidR="63C4D963" w:rsidRDefault="63C4D963" w:rsidP="005169DA">
      <w:pPr>
        <w:spacing w:after="120"/>
        <w:rPr>
          <w:rFonts w:eastAsia="Garamond" w:cs="Garamond"/>
          <w:color w:val="000000" w:themeColor="text1"/>
        </w:rPr>
      </w:pPr>
      <w:r w:rsidRPr="057D115D">
        <w:rPr>
          <w:rFonts w:eastAsia="Garamond" w:cs="Garamond"/>
          <w:b/>
          <w:bCs/>
          <w:color w:val="000000" w:themeColor="text1"/>
        </w:rPr>
        <w:t>Proposed Adjustments for Round 3 of Mapping</w:t>
      </w:r>
    </w:p>
    <w:p w14:paraId="62BBACA0" w14:textId="0E97153C" w:rsidR="11B67F87" w:rsidRDefault="781E8854" w:rsidP="005169DA">
      <w:pPr>
        <w:spacing w:after="120"/>
        <w:rPr>
          <w:rFonts w:eastAsia="Garamond" w:cs="Garamond"/>
          <w:color w:val="000000" w:themeColor="text1"/>
        </w:rPr>
      </w:pPr>
      <w:r w:rsidRPr="4E1893D1">
        <w:rPr>
          <w:rFonts w:eastAsia="Garamond" w:cs="Garamond"/>
          <w:color w:val="000000" w:themeColor="text1"/>
        </w:rPr>
        <w:t xml:space="preserve">The January 2021 PD included the results of Round 2 of mapping shown in </w:t>
      </w:r>
      <w:r w:rsidR="002829AA">
        <w:rPr>
          <w:rFonts w:eastAsia="Garamond" w:cs="Garamond"/>
          <w:color w:val="000000" w:themeColor="text1"/>
        </w:rPr>
        <w:fldChar w:fldCharType="begin"/>
      </w:r>
      <w:r w:rsidR="002829AA">
        <w:rPr>
          <w:rFonts w:eastAsia="Garamond" w:cs="Garamond"/>
          <w:color w:val="000000" w:themeColor="text1"/>
        </w:rPr>
        <w:instrText xml:space="preserve"> REF _Ref63665323 \h </w:instrText>
      </w:r>
      <w:r w:rsidR="002829AA">
        <w:rPr>
          <w:rFonts w:eastAsia="Garamond" w:cs="Garamond"/>
          <w:color w:val="000000" w:themeColor="text1"/>
        </w:rPr>
      </w:r>
      <w:r w:rsidR="002829AA">
        <w:rPr>
          <w:rFonts w:eastAsia="Garamond" w:cs="Garamond"/>
          <w:color w:val="000000" w:themeColor="text1"/>
        </w:rPr>
        <w:fldChar w:fldCharType="separate"/>
      </w:r>
      <w:r w:rsidR="002829AA">
        <w:t xml:space="preserve">Table </w:t>
      </w:r>
      <w:r w:rsidR="002829AA">
        <w:rPr>
          <w:noProof/>
        </w:rPr>
        <w:t>13</w:t>
      </w:r>
      <w:r w:rsidR="002829AA">
        <w:rPr>
          <w:rFonts w:eastAsia="Garamond" w:cs="Garamond"/>
          <w:color w:val="000000" w:themeColor="text1"/>
        </w:rPr>
        <w:fldChar w:fldCharType="end"/>
      </w:r>
      <w:r w:rsidRPr="4E1893D1">
        <w:rPr>
          <w:rFonts w:eastAsia="Garamond" w:cs="Garamond"/>
          <w:color w:val="000000" w:themeColor="text1"/>
        </w:rPr>
        <w:t xml:space="preserve">, and </w:t>
      </w:r>
      <w:r w:rsidR="55C29D5B" w:rsidRPr="4E1893D1">
        <w:rPr>
          <w:rFonts w:eastAsia="Garamond" w:cs="Garamond"/>
          <w:color w:val="000000" w:themeColor="text1"/>
        </w:rPr>
        <w:t xml:space="preserve">parties </w:t>
      </w:r>
      <w:r w:rsidRPr="4E1893D1">
        <w:rPr>
          <w:rFonts w:eastAsia="Garamond" w:cs="Garamond"/>
          <w:color w:val="000000" w:themeColor="text1"/>
        </w:rPr>
        <w:t xml:space="preserve">were able to review </w:t>
      </w:r>
      <w:r w:rsidR="38D217B2" w:rsidRPr="4E1893D1" w:rsidDel="781E8854">
        <w:rPr>
          <w:rFonts w:eastAsia="Garamond" w:cs="Garamond"/>
          <w:color w:val="000000" w:themeColor="text1"/>
        </w:rPr>
        <w:t xml:space="preserve">and </w:t>
      </w:r>
      <w:r w:rsidR="3519909E" w:rsidRPr="4E1893D1">
        <w:rPr>
          <w:rFonts w:eastAsia="Garamond" w:cs="Garamond"/>
          <w:color w:val="000000" w:themeColor="text1"/>
        </w:rPr>
        <w:t>provide</w:t>
      </w:r>
      <w:r w:rsidRPr="4E1893D1">
        <w:rPr>
          <w:rFonts w:eastAsia="Garamond" w:cs="Garamond"/>
          <w:color w:val="000000" w:themeColor="text1"/>
        </w:rPr>
        <w:t xml:space="preserve"> comments on the mapping. Following </w:t>
      </w:r>
      <w:r w:rsidR="4A17D65E" w:rsidRPr="4E1893D1">
        <w:rPr>
          <w:rFonts w:eastAsia="Garamond" w:cs="Garamond"/>
          <w:color w:val="000000" w:themeColor="text1"/>
        </w:rPr>
        <w:t xml:space="preserve">party </w:t>
      </w:r>
      <w:r w:rsidRPr="4E1893D1">
        <w:rPr>
          <w:rFonts w:eastAsia="Garamond" w:cs="Garamond"/>
          <w:color w:val="000000" w:themeColor="text1"/>
        </w:rPr>
        <w:t>comment</w:t>
      </w:r>
      <w:r w:rsidR="5D4B6D3C" w:rsidRPr="4E1893D1">
        <w:rPr>
          <w:rFonts w:eastAsia="Garamond" w:cs="Garamond"/>
          <w:color w:val="000000" w:themeColor="text1"/>
        </w:rPr>
        <w:t>s</w:t>
      </w:r>
      <w:r w:rsidRPr="4E1893D1">
        <w:rPr>
          <w:rFonts w:eastAsia="Garamond" w:cs="Garamond"/>
          <w:color w:val="000000" w:themeColor="text1"/>
        </w:rPr>
        <w:t xml:space="preserve"> and replies to the PD, </w:t>
      </w:r>
      <w:r w:rsidR="0A8F4D4C" w:rsidRPr="057D115D">
        <w:rPr>
          <w:rFonts w:eastAsia="Garamond" w:cs="Garamond"/>
          <w:color w:val="000000" w:themeColor="text1"/>
        </w:rPr>
        <w:t xml:space="preserve">CPUC </w:t>
      </w:r>
      <w:r w:rsidRPr="4E1893D1">
        <w:rPr>
          <w:rFonts w:eastAsia="Garamond" w:cs="Garamond"/>
          <w:color w:val="000000" w:themeColor="text1"/>
        </w:rPr>
        <w:t xml:space="preserve">staff </w:t>
      </w:r>
      <w:r w:rsidR="3D45021A" w:rsidRPr="4E1893D1">
        <w:rPr>
          <w:rFonts w:eastAsia="Garamond" w:cs="Garamond"/>
          <w:color w:val="000000" w:themeColor="text1"/>
        </w:rPr>
        <w:t xml:space="preserve">implemented </w:t>
      </w:r>
      <w:r w:rsidRPr="4E1893D1">
        <w:rPr>
          <w:rFonts w:eastAsia="Garamond" w:cs="Garamond"/>
          <w:color w:val="000000" w:themeColor="text1"/>
        </w:rPr>
        <w:t>the following adjustments:</w:t>
      </w:r>
    </w:p>
    <w:p w14:paraId="0687BA25" w14:textId="79B2F7E9" w:rsidR="784A56B6" w:rsidRDefault="784A56B6" w:rsidP="00A422B5">
      <w:pPr>
        <w:pStyle w:val="ListParagraph"/>
        <w:numPr>
          <w:ilvl w:val="0"/>
          <w:numId w:val="129"/>
        </w:numPr>
        <w:rPr>
          <w:rFonts w:asciiTheme="minorHAnsi" w:eastAsiaTheme="minorEastAsia" w:hAnsiTheme="minorHAnsi" w:cstheme="minorBidi"/>
          <w:color w:val="000000" w:themeColor="text1"/>
        </w:rPr>
      </w:pPr>
      <w:r w:rsidRPr="4E1893D1">
        <w:rPr>
          <w:rFonts w:eastAsia="Garamond" w:cs="Garamond"/>
          <w:color w:val="000000" w:themeColor="text1"/>
        </w:rPr>
        <w:t xml:space="preserve">Pumped Storage Hydro: remap 500 MW of pumped storage hydro mapped to the Red Bluff substation to the Sycamore Canyon substation. This remapping results in the following distribution of pumped storage hydro: 500 MW at Lee Lake substation, 500 MW at Sycamore Canyon substation, and 843 MW at Red Bluff substation. </w:t>
      </w:r>
      <w:r w:rsidR="00395187" w:rsidRPr="11B67F87">
        <w:rPr>
          <w:rFonts w:eastAsia="Garamond" w:cs="Garamond"/>
          <w:color w:val="000000" w:themeColor="text1"/>
        </w:rPr>
        <w:t>Similar</w:t>
      </w:r>
      <w:r w:rsidR="00395187">
        <w:rPr>
          <w:rFonts w:eastAsia="Garamond" w:cs="Garamond"/>
          <w:color w:val="000000" w:themeColor="text1"/>
        </w:rPr>
        <w:t xml:space="preserve"> to</w:t>
      </w:r>
      <w:r w:rsidR="00A9279E">
        <w:rPr>
          <w:rFonts w:eastAsia="Garamond" w:cs="Garamond"/>
          <w:color w:val="000000" w:themeColor="text1"/>
        </w:rPr>
        <w:t xml:space="preserve"> the changes described</w:t>
      </w:r>
      <w:r w:rsidRPr="4E1893D1">
        <w:rPr>
          <w:rFonts w:eastAsia="Garamond" w:cs="Garamond"/>
          <w:color w:val="000000" w:themeColor="text1"/>
        </w:rPr>
        <w:t xml:space="preserve"> in Section 6.1 for the 46 MMT base case</w:t>
      </w:r>
      <w:r w:rsidR="767FEB87" w:rsidRPr="4E1893D1">
        <w:rPr>
          <w:rFonts w:eastAsia="Garamond" w:cs="Garamond"/>
          <w:color w:val="000000" w:themeColor="text1"/>
        </w:rPr>
        <w:t>, this adjustment better aligns the pumped storage mapping with the 2020-</w:t>
      </w:r>
      <w:r w:rsidR="00AF65BA">
        <w:rPr>
          <w:rFonts w:eastAsia="Garamond" w:cs="Garamond"/>
          <w:color w:val="000000" w:themeColor="text1"/>
        </w:rPr>
        <w:t>20</w:t>
      </w:r>
      <w:r w:rsidR="767FEB87" w:rsidRPr="4E1893D1">
        <w:rPr>
          <w:rFonts w:eastAsia="Garamond" w:cs="Garamond"/>
          <w:color w:val="000000" w:themeColor="text1"/>
        </w:rPr>
        <w:t>21 TPP portfolios and accounts for additional areas of commercial interest.</w:t>
      </w:r>
    </w:p>
    <w:p w14:paraId="23A5DBD2" w14:textId="2729DA84" w:rsidR="416EDACC" w:rsidRDefault="416EDACC" w:rsidP="005169DA">
      <w:pPr>
        <w:pStyle w:val="ListParagraph"/>
        <w:numPr>
          <w:ilvl w:val="0"/>
          <w:numId w:val="129"/>
        </w:numPr>
        <w:spacing w:after="120"/>
        <w:rPr>
          <w:rFonts w:asciiTheme="minorHAnsi" w:eastAsiaTheme="minorEastAsia" w:hAnsiTheme="minorHAnsi" w:cstheme="minorBidi"/>
          <w:color w:val="000000" w:themeColor="text1"/>
        </w:rPr>
      </w:pPr>
      <w:r w:rsidRPr="4E1893D1">
        <w:rPr>
          <w:rFonts w:eastAsia="Garamond" w:cs="Garamond"/>
          <w:color w:val="000000" w:themeColor="text1"/>
        </w:rPr>
        <w:t xml:space="preserve">New Mexico Wind: reallocate 555 MW of EO to FD, keeping the resource mapped to Palo Verde 500 kV substation. Reallocating the New Mexico wind so that </w:t>
      </w:r>
      <w:r w:rsidR="4C970E39" w:rsidRPr="4E1893D1">
        <w:rPr>
          <w:rFonts w:eastAsia="Garamond" w:cs="Garamond"/>
          <w:color w:val="000000" w:themeColor="text1"/>
        </w:rPr>
        <w:t>the</w:t>
      </w:r>
      <w:r w:rsidRPr="4E1893D1">
        <w:rPr>
          <w:rFonts w:eastAsia="Garamond" w:cs="Garamond"/>
          <w:color w:val="000000" w:themeColor="text1"/>
        </w:rPr>
        <w:t xml:space="preserve"> total of 1,500 MW is FD enables its contribution to resource adequacy, which may be beneficial based on the wind output in evening periods. The FD resource status ensures its ability to be delivered during peak times.</w:t>
      </w:r>
    </w:p>
    <w:p w14:paraId="79E7AFCE" w14:textId="7B76A5DB" w:rsidR="4E1893D1" w:rsidRDefault="3F50A420" w:rsidP="057D115D">
      <w:pPr>
        <w:rPr>
          <w:rFonts w:eastAsia="Garamond" w:cs="Garamond"/>
          <w:color w:val="000000" w:themeColor="text1"/>
        </w:rPr>
      </w:pPr>
      <w:r w:rsidRPr="057D115D">
        <w:rPr>
          <w:rFonts w:eastAsia="Garamond" w:cs="Garamond"/>
          <w:color w:val="000000" w:themeColor="text1"/>
        </w:rPr>
        <w:t>The CEC made these adjustments in Round 3 of mapping.</w:t>
      </w:r>
    </w:p>
    <w:p w14:paraId="38ABA28D" w14:textId="095D1908" w:rsidR="4E1893D1" w:rsidRDefault="4E1893D1" w:rsidP="4E1893D1">
      <w:pPr>
        <w:rPr>
          <w:rFonts w:eastAsia="Garamond" w:cs="Garamond"/>
          <w:b/>
          <w:bCs/>
          <w:color w:val="000000" w:themeColor="text1"/>
        </w:rPr>
      </w:pPr>
    </w:p>
    <w:p w14:paraId="1DC3B5A1" w14:textId="017E1715" w:rsidR="057D115D" w:rsidRDefault="057D115D" w:rsidP="057D115D">
      <w:pPr>
        <w:rPr>
          <w:rFonts w:eastAsia="Garamond" w:cs="Garamond"/>
          <w:b/>
          <w:bCs/>
          <w:color w:val="000000" w:themeColor="text1"/>
        </w:rPr>
      </w:pPr>
    </w:p>
    <w:p w14:paraId="0664A0AF" w14:textId="07293423" w:rsidR="3F50A420" w:rsidRDefault="3F50A420" w:rsidP="057D115D">
      <w:pPr>
        <w:spacing w:after="160" w:line="259" w:lineRule="auto"/>
        <w:rPr>
          <w:rFonts w:eastAsia="Garamond" w:cs="Garamond"/>
          <w:color w:val="000000" w:themeColor="text1"/>
        </w:rPr>
      </w:pPr>
      <w:r w:rsidRPr="057D115D">
        <w:rPr>
          <w:rFonts w:eastAsia="Garamond" w:cs="Garamond"/>
          <w:b/>
          <w:bCs/>
          <w:color w:val="000000" w:themeColor="text1"/>
        </w:rPr>
        <w:t>Round 3 Battery Mapping</w:t>
      </w:r>
    </w:p>
    <w:p w14:paraId="4AFEB41B" w14:textId="01C9374E" w:rsidR="4B57E539" w:rsidRDefault="4B57E539" w:rsidP="4E1893D1">
      <w:pPr>
        <w:spacing w:after="160" w:line="259" w:lineRule="auto"/>
        <w:rPr>
          <w:rFonts w:eastAsia="Garamond" w:cs="Garamond"/>
          <w:color w:val="000000" w:themeColor="text1"/>
        </w:rPr>
      </w:pPr>
      <w:r w:rsidRPr="4E1893D1">
        <w:rPr>
          <w:rFonts w:eastAsia="Garamond" w:cs="Garamond"/>
          <w:color w:val="000000" w:themeColor="text1"/>
        </w:rPr>
        <w:t>CPUC staff also implemented the following battery storage adjustments:</w:t>
      </w:r>
    </w:p>
    <w:p w14:paraId="2723CC49" w14:textId="1CA01CA6" w:rsidR="4B57E539" w:rsidRDefault="45F651C4" w:rsidP="4E1893D1">
      <w:pPr>
        <w:pStyle w:val="ListParagraph"/>
        <w:numPr>
          <w:ilvl w:val="0"/>
          <w:numId w:val="117"/>
        </w:numPr>
        <w:rPr>
          <w:rFonts w:asciiTheme="minorHAnsi" w:eastAsiaTheme="minorEastAsia" w:hAnsiTheme="minorHAnsi" w:cstheme="minorBidi"/>
          <w:color w:val="000000" w:themeColor="text1"/>
        </w:rPr>
      </w:pPr>
      <w:r w:rsidRPr="057D115D">
        <w:rPr>
          <w:rFonts w:eastAsia="Garamond" w:cs="Garamond"/>
          <w:color w:val="000000" w:themeColor="text1"/>
        </w:rPr>
        <w:t>Moved</w:t>
      </w:r>
      <w:r w:rsidR="4B57E539" w:rsidRPr="4E1893D1">
        <w:rPr>
          <w:rFonts w:eastAsia="Garamond" w:cs="Garamond"/>
          <w:color w:val="000000" w:themeColor="text1"/>
        </w:rPr>
        <w:t xml:space="preserve"> 608 MW of stand-alone battery storage from the Rio Hondo substation in the LA Basin LCR Area</w:t>
      </w:r>
      <w:r w:rsidR="56238694" w:rsidRPr="057D115D">
        <w:rPr>
          <w:rFonts w:eastAsia="Garamond" w:cs="Garamond"/>
          <w:color w:val="000000" w:themeColor="text1"/>
        </w:rPr>
        <w:t xml:space="preserve"> to other substations</w:t>
      </w:r>
      <w:r w:rsidR="4B57E539" w:rsidRPr="4E1893D1">
        <w:rPr>
          <w:rFonts w:eastAsia="Garamond" w:cs="Garamond"/>
          <w:color w:val="000000" w:themeColor="text1"/>
        </w:rPr>
        <w:t xml:space="preserve">, based on CAISO </w:t>
      </w:r>
      <w:r w:rsidR="540C0F0D" w:rsidRPr="057D115D">
        <w:rPr>
          <w:rFonts w:eastAsia="Garamond" w:cs="Garamond"/>
          <w:color w:val="000000" w:themeColor="text1"/>
        </w:rPr>
        <w:t>s</w:t>
      </w:r>
      <w:r w:rsidR="4B57E539" w:rsidRPr="057D115D">
        <w:rPr>
          <w:rFonts w:eastAsia="Garamond" w:cs="Garamond"/>
          <w:color w:val="000000" w:themeColor="text1"/>
        </w:rPr>
        <w:t>taff</w:t>
      </w:r>
      <w:r w:rsidR="4B57E539" w:rsidRPr="4E1893D1">
        <w:rPr>
          <w:rFonts w:eastAsia="Garamond" w:cs="Garamond"/>
          <w:color w:val="000000" w:themeColor="text1"/>
        </w:rPr>
        <w:t xml:space="preserve"> guidance to </w:t>
      </w:r>
      <w:r w:rsidR="12FFEE39" w:rsidRPr="057D115D">
        <w:rPr>
          <w:rFonts w:eastAsia="Garamond" w:cs="Garamond"/>
          <w:color w:val="000000" w:themeColor="text1"/>
        </w:rPr>
        <w:t>prevent</w:t>
      </w:r>
      <w:r w:rsidR="4B57E539" w:rsidRPr="4E1893D1">
        <w:rPr>
          <w:rFonts w:eastAsia="Garamond" w:cs="Garamond"/>
          <w:color w:val="000000" w:themeColor="text1"/>
        </w:rPr>
        <w:t xml:space="preserve"> worsening </w:t>
      </w:r>
      <w:r w:rsidR="255ED43C" w:rsidRPr="057D115D">
        <w:rPr>
          <w:rFonts w:eastAsia="Garamond" w:cs="Garamond"/>
          <w:color w:val="000000" w:themeColor="text1"/>
        </w:rPr>
        <w:t>of</w:t>
      </w:r>
      <w:r w:rsidR="4B57E539" w:rsidRPr="057D115D">
        <w:rPr>
          <w:rFonts w:eastAsia="Garamond" w:cs="Garamond"/>
          <w:color w:val="000000" w:themeColor="text1"/>
        </w:rPr>
        <w:t xml:space="preserve"> </w:t>
      </w:r>
      <w:r w:rsidR="4B57E539" w:rsidRPr="4E1893D1">
        <w:rPr>
          <w:rFonts w:eastAsia="Garamond" w:cs="Garamond"/>
          <w:color w:val="000000" w:themeColor="text1"/>
        </w:rPr>
        <w:t>the Mesa – Laguna-Bell transmission constraint</w:t>
      </w:r>
      <w:r w:rsidR="7BB0BE9A" w:rsidRPr="057D115D">
        <w:rPr>
          <w:rFonts w:eastAsia="Garamond" w:cs="Garamond"/>
          <w:color w:val="000000" w:themeColor="text1"/>
        </w:rPr>
        <w:t>. The 608 MW of battery storage was distributed</w:t>
      </w:r>
      <w:r w:rsidR="4B57E539" w:rsidRPr="4E1893D1">
        <w:rPr>
          <w:rFonts w:eastAsia="Garamond" w:cs="Garamond"/>
          <w:color w:val="000000" w:themeColor="text1"/>
        </w:rPr>
        <w:t xml:space="preserve"> to the following substations in the San Diego-Imperial Valley LCR Area: Talega 138 kV (200 MW), Trabuco 138 kV (250 MW), and Encina 138 KV (160 MW).</w:t>
      </w:r>
    </w:p>
    <w:p w14:paraId="65F35933" w14:textId="1F413820" w:rsidR="4898EB45" w:rsidRDefault="4898EB45" w:rsidP="4E1893D1">
      <w:pPr>
        <w:pStyle w:val="ListParagraph"/>
        <w:numPr>
          <w:ilvl w:val="0"/>
          <w:numId w:val="117"/>
        </w:numPr>
        <w:rPr>
          <w:color w:val="000000" w:themeColor="text1"/>
        </w:rPr>
      </w:pPr>
      <w:r w:rsidRPr="4E1893D1">
        <w:rPr>
          <w:rFonts w:eastAsia="Garamond" w:cs="Garamond"/>
          <w:color w:val="000000" w:themeColor="text1"/>
        </w:rPr>
        <w:t>Revised</w:t>
      </w:r>
      <w:r w:rsidR="0A777EE0" w:rsidRPr="4E1893D1">
        <w:rPr>
          <w:rFonts w:eastAsia="Garamond" w:cs="Garamond"/>
          <w:color w:val="000000" w:themeColor="text1"/>
        </w:rPr>
        <w:t xml:space="preserve"> the non-battery busbar mapping allocations to four substations: </w:t>
      </w:r>
      <w:proofErr w:type="spellStart"/>
      <w:r w:rsidR="0A777EE0" w:rsidRPr="4E1893D1">
        <w:rPr>
          <w:rFonts w:eastAsia="Garamond" w:cs="Garamond"/>
          <w:color w:val="000000" w:themeColor="text1"/>
        </w:rPr>
        <w:t>Windhub</w:t>
      </w:r>
      <w:proofErr w:type="spellEnd"/>
      <w:r w:rsidR="0A777EE0" w:rsidRPr="4E1893D1">
        <w:rPr>
          <w:rFonts w:eastAsia="Garamond" w:cs="Garamond"/>
          <w:color w:val="000000" w:themeColor="text1"/>
        </w:rPr>
        <w:t xml:space="preserve"> 230 kV,</w:t>
      </w:r>
      <w:r w:rsidR="71FAF30B" w:rsidRPr="4E1893D1">
        <w:rPr>
          <w:rFonts w:eastAsia="Garamond" w:cs="Garamond"/>
          <w:color w:val="000000" w:themeColor="text1"/>
        </w:rPr>
        <w:t xml:space="preserve"> Whirlwind 230 kV, Antelope 230 kV, and Vincent 230 kV. </w:t>
      </w:r>
      <w:r w:rsidR="00199E6D" w:rsidRPr="057D115D">
        <w:rPr>
          <w:rFonts w:eastAsia="Garamond" w:cs="Garamond"/>
          <w:color w:val="000000" w:themeColor="text1"/>
        </w:rPr>
        <w:t xml:space="preserve">CPUC </w:t>
      </w:r>
      <w:r w:rsidR="00505A42">
        <w:rPr>
          <w:rFonts w:eastAsia="Garamond" w:cs="Garamond"/>
          <w:color w:val="000000" w:themeColor="text1"/>
        </w:rPr>
        <w:t>s</w:t>
      </w:r>
      <w:r w:rsidR="00505A42" w:rsidRPr="057D115D">
        <w:rPr>
          <w:rFonts w:eastAsia="Garamond" w:cs="Garamond"/>
          <w:color w:val="000000" w:themeColor="text1"/>
        </w:rPr>
        <w:t xml:space="preserve">taff </w:t>
      </w:r>
      <w:r w:rsidR="00199E6D" w:rsidRPr="057D115D">
        <w:rPr>
          <w:rFonts w:eastAsia="Garamond" w:cs="Garamond"/>
          <w:color w:val="000000" w:themeColor="text1"/>
        </w:rPr>
        <w:t xml:space="preserve">found that </w:t>
      </w:r>
      <w:r w:rsidR="71C28382" w:rsidRPr="057D115D">
        <w:rPr>
          <w:rFonts w:eastAsia="Garamond" w:cs="Garamond"/>
          <w:color w:val="000000" w:themeColor="text1"/>
        </w:rPr>
        <w:t>the</w:t>
      </w:r>
      <w:r w:rsidR="71FAF30B" w:rsidRPr="4E1893D1">
        <w:rPr>
          <w:rFonts w:eastAsia="Garamond" w:cs="Garamond"/>
          <w:color w:val="000000" w:themeColor="text1"/>
        </w:rPr>
        <w:t xml:space="preserve"> previous battery busbar mapping </w:t>
      </w:r>
      <w:r w:rsidR="7FFFC9AF" w:rsidRPr="4E1893D1">
        <w:rPr>
          <w:rFonts w:eastAsia="Garamond" w:cs="Garamond"/>
          <w:color w:val="000000" w:themeColor="text1"/>
        </w:rPr>
        <w:t xml:space="preserve">to these substations </w:t>
      </w:r>
      <w:r w:rsidR="71FAF30B" w:rsidRPr="4E1893D1">
        <w:rPr>
          <w:rFonts w:eastAsia="Garamond" w:cs="Garamond"/>
          <w:color w:val="000000" w:themeColor="text1"/>
        </w:rPr>
        <w:t>did not reflect the reallocation</w:t>
      </w:r>
      <w:r w:rsidR="178A6A25" w:rsidRPr="4E1893D1">
        <w:rPr>
          <w:rFonts w:eastAsia="Garamond" w:cs="Garamond"/>
          <w:color w:val="000000" w:themeColor="text1"/>
        </w:rPr>
        <w:t xml:space="preserve"> of 1</w:t>
      </w:r>
      <w:r w:rsidR="24422D75" w:rsidRPr="4E1893D1">
        <w:rPr>
          <w:rFonts w:eastAsia="Garamond" w:cs="Garamond"/>
          <w:color w:val="000000" w:themeColor="text1"/>
        </w:rPr>
        <w:t>,</w:t>
      </w:r>
      <w:r w:rsidR="178A6A25" w:rsidRPr="4E1893D1">
        <w:rPr>
          <w:rFonts w:eastAsia="Garamond" w:cs="Garamond"/>
          <w:color w:val="000000" w:themeColor="text1"/>
        </w:rPr>
        <w:t xml:space="preserve">020 MW of </w:t>
      </w:r>
      <w:proofErr w:type="spellStart"/>
      <w:r w:rsidR="178A6A25" w:rsidRPr="4E1893D1">
        <w:rPr>
          <w:rFonts w:eastAsia="Garamond" w:cs="Garamond"/>
          <w:color w:val="000000" w:themeColor="text1"/>
        </w:rPr>
        <w:t>Westlands</w:t>
      </w:r>
      <w:proofErr w:type="spellEnd"/>
      <w:r w:rsidR="178A6A25" w:rsidRPr="4E1893D1">
        <w:rPr>
          <w:rFonts w:eastAsia="Garamond" w:cs="Garamond"/>
          <w:color w:val="000000" w:themeColor="text1"/>
        </w:rPr>
        <w:t xml:space="preserve"> Ex Solar and </w:t>
      </w:r>
      <w:proofErr w:type="spellStart"/>
      <w:r w:rsidR="178A6A25" w:rsidRPr="4E1893D1">
        <w:rPr>
          <w:rFonts w:eastAsia="Garamond" w:cs="Garamond"/>
          <w:color w:val="000000" w:themeColor="text1"/>
        </w:rPr>
        <w:t>Nothern</w:t>
      </w:r>
      <w:proofErr w:type="spellEnd"/>
      <w:r w:rsidR="178A6A25" w:rsidRPr="4E1893D1">
        <w:rPr>
          <w:rFonts w:eastAsia="Garamond" w:cs="Garamond"/>
          <w:color w:val="000000" w:themeColor="text1"/>
        </w:rPr>
        <w:t xml:space="preserve"> California Ex Solar</w:t>
      </w:r>
      <w:r w:rsidR="603F1623" w:rsidRPr="4E1893D1">
        <w:rPr>
          <w:rFonts w:eastAsia="Garamond" w:cs="Garamond"/>
          <w:color w:val="000000" w:themeColor="text1"/>
        </w:rPr>
        <w:t xml:space="preserve"> to Tehachapi Solar</w:t>
      </w:r>
      <w:r w:rsidR="178A6A25" w:rsidRPr="4E1893D1">
        <w:rPr>
          <w:rFonts w:eastAsia="Garamond" w:cs="Garamond"/>
          <w:color w:val="000000" w:themeColor="text1"/>
        </w:rPr>
        <w:t xml:space="preserve"> </w:t>
      </w:r>
      <w:r w:rsidR="6F2EFDDF" w:rsidRPr="4E1893D1">
        <w:rPr>
          <w:rFonts w:eastAsia="Garamond" w:cs="Garamond"/>
          <w:color w:val="000000" w:themeColor="text1"/>
        </w:rPr>
        <w:t xml:space="preserve">noted above in the post Round 1 mapping </w:t>
      </w:r>
      <w:r w:rsidRPr="4E1893D1" w:rsidDel="6F2EFDDF">
        <w:rPr>
          <w:rFonts w:eastAsia="Garamond" w:cs="Garamond"/>
          <w:color w:val="000000" w:themeColor="text1"/>
        </w:rPr>
        <w:t>adjustments</w:t>
      </w:r>
      <w:r w:rsidR="2456DD97" w:rsidRPr="4E1893D1">
        <w:rPr>
          <w:rFonts w:eastAsia="Garamond" w:cs="Garamond"/>
          <w:color w:val="000000" w:themeColor="text1"/>
        </w:rPr>
        <w:t>.</w:t>
      </w:r>
    </w:p>
    <w:p w14:paraId="6BD493FD" w14:textId="2A459CD1" w:rsidR="229612BF" w:rsidRDefault="229612BF" w:rsidP="00B63666">
      <w:pPr>
        <w:spacing w:after="160" w:line="259" w:lineRule="auto"/>
        <w:rPr>
          <w:color w:val="000000" w:themeColor="text1"/>
        </w:rPr>
      </w:pPr>
      <w:r w:rsidRPr="4E1893D1">
        <w:rPr>
          <w:rFonts w:eastAsia="Garamond" w:cs="Garamond"/>
          <w:color w:val="000000" w:themeColor="text1"/>
        </w:rPr>
        <w:t>All</w:t>
      </w:r>
      <w:r w:rsidRPr="096127CA">
        <w:rPr>
          <w:rFonts w:eastAsia="Garamond" w:cs="Garamond"/>
          <w:color w:val="000000" w:themeColor="text1"/>
        </w:rPr>
        <w:t xml:space="preserve"> the</w:t>
      </w:r>
      <w:r w:rsidR="48258A37" w:rsidRPr="096127CA">
        <w:rPr>
          <w:rFonts w:eastAsia="Garamond" w:cs="Garamond"/>
          <w:color w:val="000000" w:themeColor="text1"/>
        </w:rPr>
        <w:t xml:space="preserve"> implemented</w:t>
      </w:r>
      <w:r w:rsidRPr="4E1893D1">
        <w:rPr>
          <w:rFonts w:eastAsia="Garamond" w:cs="Garamond"/>
          <w:color w:val="000000" w:themeColor="text1"/>
        </w:rPr>
        <w:t xml:space="preserve"> </w:t>
      </w:r>
      <w:r w:rsidR="142827F7" w:rsidRPr="4E1893D1">
        <w:rPr>
          <w:rFonts w:eastAsia="Garamond" w:cs="Garamond"/>
          <w:color w:val="000000" w:themeColor="text1"/>
        </w:rPr>
        <w:t xml:space="preserve">adjustments </w:t>
      </w:r>
      <w:r w:rsidR="579AB382" w:rsidRPr="096127CA">
        <w:rPr>
          <w:rFonts w:eastAsia="Garamond" w:cs="Garamond"/>
          <w:color w:val="000000" w:themeColor="text1"/>
        </w:rPr>
        <w:t>to the battery storage mapping</w:t>
      </w:r>
      <w:r w:rsidR="142827F7" w:rsidRPr="096127CA">
        <w:rPr>
          <w:rFonts w:eastAsia="Garamond" w:cs="Garamond"/>
          <w:color w:val="000000" w:themeColor="text1"/>
        </w:rPr>
        <w:t xml:space="preserve"> </w:t>
      </w:r>
      <w:r w:rsidR="2E0143F8" w:rsidRPr="096127CA">
        <w:rPr>
          <w:rFonts w:eastAsia="Garamond" w:cs="Garamond"/>
          <w:color w:val="000000" w:themeColor="text1"/>
        </w:rPr>
        <w:t>led to</w:t>
      </w:r>
      <w:r w:rsidR="142827F7" w:rsidRPr="4E1893D1">
        <w:rPr>
          <w:rFonts w:eastAsia="Garamond" w:cs="Garamond"/>
          <w:color w:val="000000" w:themeColor="text1"/>
        </w:rPr>
        <w:t xml:space="preserve"> the following changes to the manual allocations:</w:t>
      </w:r>
    </w:p>
    <w:p w14:paraId="144E3FAD" w14:textId="1EED1E1A" w:rsidR="06A024A2" w:rsidRPr="00B63666" w:rsidRDefault="06A024A2" w:rsidP="00B63666">
      <w:pPr>
        <w:pStyle w:val="ListParagraph"/>
        <w:numPr>
          <w:ilvl w:val="0"/>
          <w:numId w:val="117"/>
        </w:numPr>
        <w:rPr>
          <w:rFonts w:eastAsia="Garamond" w:cs="Garamond"/>
          <w:color w:val="000000" w:themeColor="text1"/>
        </w:rPr>
      </w:pPr>
      <w:r w:rsidRPr="4E1893D1">
        <w:rPr>
          <w:rFonts w:eastAsia="Garamond" w:cs="Garamond"/>
          <w:color w:val="000000" w:themeColor="text1"/>
        </w:rPr>
        <w:t>278 MW to Delaney-Colorado substation</w:t>
      </w:r>
    </w:p>
    <w:p w14:paraId="1584EB7A" w14:textId="7D6663DD" w:rsidR="06A024A2" w:rsidRPr="00B63666" w:rsidRDefault="06A024A2" w:rsidP="00B63666">
      <w:pPr>
        <w:pStyle w:val="ListParagraph"/>
        <w:numPr>
          <w:ilvl w:val="0"/>
          <w:numId w:val="117"/>
        </w:numPr>
        <w:rPr>
          <w:rFonts w:eastAsia="Garamond" w:cs="Garamond"/>
          <w:color w:val="000000" w:themeColor="text1"/>
        </w:rPr>
      </w:pPr>
      <w:r w:rsidRPr="4E1893D1">
        <w:rPr>
          <w:rFonts w:eastAsia="Garamond" w:cs="Garamond"/>
          <w:color w:val="000000" w:themeColor="text1"/>
        </w:rPr>
        <w:t>278 MW to Red Bluff substation</w:t>
      </w:r>
    </w:p>
    <w:p w14:paraId="7E0D5D72" w14:textId="532CE189" w:rsidR="06A024A2" w:rsidRPr="00B63666" w:rsidRDefault="06A024A2" w:rsidP="00B63666">
      <w:pPr>
        <w:pStyle w:val="ListParagraph"/>
        <w:numPr>
          <w:ilvl w:val="0"/>
          <w:numId w:val="117"/>
        </w:numPr>
        <w:rPr>
          <w:rFonts w:eastAsia="Garamond" w:cs="Garamond"/>
          <w:color w:val="000000" w:themeColor="text1"/>
        </w:rPr>
      </w:pPr>
      <w:r w:rsidRPr="4E1893D1">
        <w:rPr>
          <w:rFonts w:eastAsia="Garamond" w:cs="Garamond"/>
          <w:color w:val="000000" w:themeColor="text1"/>
        </w:rPr>
        <w:t>278 MW to Colorado River substation</w:t>
      </w:r>
    </w:p>
    <w:p w14:paraId="412939DA" w14:textId="1016E0F8" w:rsidR="4E1893D1" w:rsidRDefault="4E1893D1" w:rsidP="4E1893D1">
      <w:pPr>
        <w:ind w:left="0"/>
      </w:pPr>
    </w:p>
    <w:p w14:paraId="77717663" w14:textId="37FE3E46" w:rsidR="004F10F7" w:rsidRDefault="5BED45DB" w:rsidP="11B67F87">
      <w:pPr>
        <w:spacing w:after="160" w:line="259" w:lineRule="auto"/>
        <w:rPr>
          <w:rFonts w:eastAsia="Garamond" w:cs="Garamond"/>
          <w:color w:val="000000" w:themeColor="text1"/>
        </w:rPr>
      </w:pPr>
      <w:r>
        <w:fldChar w:fldCharType="begin"/>
      </w:r>
      <w:r>
        <w:instrText xml:space="preserve"> REF _Ref59120576 \r \h </w:instrText>
      </w:r>
      <w:r>
        <w:fldChar w:fldCharType="end"/>
      </w:r>
      <w:r w:rsidR="79C4A26C" w:rsidRPr="076D4CAC">
        <w:rPr>
          <w:rFonts w:eastAsia="Garamond" w:cs="Garamond"/>
          <w:color w:val="000000" w:themeColor="text1"/>
        </w:rPr>
        <w:t xml:space="preserve"> The results of this final mapping are discussed in the Results section 7.2 below.</w:t>
      </w:r>
    </w:p>
    <w:p w14:paraId="6A493827" w14:textId="57B55CCC" w:rsidR="004F10F7" w:rsidRDefault="004F10F7" w:rsidP="00A24A87">
      <w:pPr>
        <w:spacing w:after="160" w:line="259" w:lineRule="auto"/>
      </w:pPr>
    </w:p>
    <w:p w14:paraId="49AD000F" w14:textId="3C7C2875" w:rsidR="005568F5" w:rsidRPr="000115B3" w:rsidRDefault="32236E9B" w:rsidP="000115B3">
      <w:pPr>
        <w:pStyle w:val="Heading3"/>
      </w:pPr>
      <w:bookmarkStart w:id="56" w:name="_Toc63669601"/>
      <w:r w:rsidRPr="000115B3">
        <w:lastRenderedPageBreak/>
        <w:t>Offshore Wind Sensitivity</w:t>
      </w:r>
      <w:r w:rsidR="22F145E7" w:rsidRPr="000115B3">
        <w:t xml:space="preserve"> </w:t>
      </w:r>
      <w:r w:rsidR="717D22E6" w:rsidRPr="000115B3">
        <w:t>Portfolio</w:t>
      </w:r>
      <w:bookmarkEnd w:id="56"/>
    </w:p>
    <w:p w14:paraId="62A54D48" w14:textId="7E3970A3" w:rsidR="7E3E2E3A" w:rsidRDefault="7E3E2E3A" w:rsidP="057D115D">
      <w:pPr>
        <w:spacing w:after="160" w:line="259" w:lineRule="auto"/>
        <w:rPr>
          <w:rFonts w:eastAsia="Garamond" w:cs="Garamond"/>
          <w:color w:val="000000" w:themeColor="text1"/>
        </w:rPr>
      </w:pPr>
      <w:r w:rsidRPr="057D115D">
        <w:rPr>
          <w:rFonts w:eastAsia="Garamond" w:cs="Garamond"/>
          <w:b/>
          <w:bCs/>
          <w:color w:val="000000" w:themeColor="text1"/>
        </w:rPr>
        <w:t>Round 1 Mapping Analysis</w:t>
      </w:r>
    </w:p>
    <w:p w14:paraId="2E583FE8" w14:textId="5F089844" w:rsidR="410BD486" w:rsidRDefault="7E1C6EFF" w:rsidP="0C982D1E">
      <w:pPr>
        <w:spacing w:after="160" w:line="259" w:lineRule="auto"/>
        <w:rPr>
          <w:rFonts w:eastAsia="Garamond" w:cs="Garamond"/>
          <w:color w:val="000000" w:themeColor="text1"/>
        </w:rPr>
      </w:pPr>
      <w:r w:rsidRPr="61CF619C">
        <w:rPr>
          <w:rFonts w:eastAsia="Garamond" w:cs="Garamond"/>
          <w:color w:val="000000" w:themeColor="text1"/>
        </w:rPr>
        <w:t xml:space="preserve">For </w:t>
      </w:r>
      <w:r w:rsidR="38FE991E" w:rsidRPr="61CF619C">
        <w:rPr>
          <w:rFonts w:eastAsia="Garamond" w:cs="Garamond"/>
          <w:color w:val="000000" w:themeColor="text1"/>
        </w:rPr>
        <w:t xml:space="preserve">Round 1, </w:t>
      </w:r>
      <w:r w:rsidR="4887880F" w:rsidRPr="61CF619C">
        <w:rPr>
          <w:rFonts w:eastAsia="Garamond" w:cs="Garamond"/>
          <w:color w:val="000000" w:themeColor="text1"/>
        </w:rPr>
        <w:t xml:space="preserve">CEC staff </w:t>
      </w:r>
      <w:r w:rsidR="47386033" w:rsidRPr="61CF619C">
        <w:rPr>
          <w:rFonts w:eastAsia="Garamond" w:cs="Garamond"/>
          <w:color w:val="000000" w:themeColor="text1"/>
        </w:rPr>
        <w:t xml:space="preserve">mapped </w:t>
      </w:r>
      <w:r w:rsidR="4887880F" w:rsidRPr="61CF619C">
        <w:rPr>
          <w:rFonts w:eastAsia="Garamond" w:cs="Garamond"/>
          <w:color w:val="000000" w:themeColor="text1"/>
        </w:rPr>
        <w:t xml:space="preserve">the RESOLVE-selected </w:t>
      </w:r>
      <w:r w:rsidR="4C0A2944" w:rsidRPr="61CF619C">
        <w:rPr>
          <w:rFonts w:eastAsia="Garamond" w:cs="Garamond"/>
          <w:color w:val="000000" w:themeColor="text1"/>
        </w:rPr>
        <w:t>non-battery</w:t>
      </w:r>
      <w:r w:rsidR="4887880F" w:rsidRPr="61CF619C">
        <w:rPr>
          <w:rFonts w:eastAsia="Garamond" w:cs="Garamond"/>
          <w:color w:val="000000" w:themeColor="text1"/>
        </w:rPr>
        <w:t xml:space="preserve"> resources identified in Section </w:t>
      </w:r>
      <w:r w:rsidR="00F040BF">
        <w:rPr>
          <w:rFonts w:eastAsia="Garamond" w:cs="Garamond"/>
          <w:color w:val="000000" w:themeColor="text1"/>
        </w:rPr>
        <w:fldChar w:fldCharType="begin"/>
      </w:r>
      <w:r w:rsidR="00F040BF">
        <w:rPr>
          <w:rFonts w:eastAsia="Garamond" w:cs="Garamond"/>
          <w:color w:val="000000" w:themeColor="text1"/>
        </w:rPr>
        <w:instrText xml:space="preserve"> REF _Ref60744732 \r \h </w:instrText>
      </w:r>
      <w:r w:rsidR="00F040BF">
        <w:rPr>
          <w:rFonts w:eastAsia="Garamond" w:cs="Garamond"/>
          <w:color w:val="000000" w:themeColor="text1"/>
        </w:rPr>
      </w:r>
      <w:r w:rsidR="00F040BF">
        <w:rPr>
          <w:rFonts w:eastAsia="Garamond" w:cs="Garamond"/>
          <w:color w:val="000000" w:themeColor="text1"/>
        </w:rPr>
        <w:fldChar w:fldCharType="separate"/>
      </w:r>
      <w:r w:rsidR="003B7A14">
        <w:rPr>
          <w:rFonts w:eastAsia="Garamond" w:cs="Garamond"/>
          <w:color w:val="000000" w:themeColor="text1"/>
        </w:rPr>
        <w:t>4.3</w:t>
      </w:r>
      <w:r w:rsidR="00F040BF">
        <w:rPr>
          <w:rFonts w:eastAsia="Garamond" w:cs="Garamond"/>
          <w:color w:val="000000" w:themeColor="text1"/>
        </w:rPr>
        <w:fldChar w:fldCharType="end"/>
      </w:r>
      <w:r w:rsidR="4887880F" w:rsidRPr="61CF619C">
        <w:rPr>
          <w:rFonts w:eastAsia="Garamond" w:cs="Garamond"/>
          <w:color w:val="000000" w:themeColor="text1"/>
        </w:rPr>
        <w:t xml:space="preserve">, in accordance with the Methodology, and demonstrated strong compliance with criteria 1 (distance to transmission), 3a (available land area), and 3b (high environmental impacts), as shown in </w:t>
      </w:r>
      <w:r w:rsidR="002829AA">
        <w:rPr>
          <w:rFonts w:eastAsia="Garamond" w:cs="Garamond"/>
          <w:color w:val="000000" w:themeColor="text1"/>
        </w:rPr>
        <w:fldChar w:fldCharType="begin"/>
      </w:r>
      <w:r w:rsidR="002829AA">
        <w:rPr>
          <w:rFonts w:eastAsia="Garamond" w:cs="Garamond"/>
          <w:color w:val="000000" w:themeColor="text1"/>
        </w:rPr>
        <w:instrText xml:space="preserve"> REF _Ref63665377 \h </w:instrText>
      </w:r>
      <w:r w:rsidR="002829AA">
        <w:rPr>
          <w:rFonts w:eastAsia="Garamond" w:cs="Garamond"/>
          <w:color w:val="000000" w:themeColor="text1"/>
        </w:rPr>
      </w:r>
      <w:r w:rsidR="002829AA">
        <w:rPr>
          <w:rFonts w:eastAsia="Garamond" w:cs="Garamond"/>
          <w:color w:val="000000" w:themeColor="text1"/>
        </w:rPr>
        <w:fldChar w:fldCharType="separate"/>
      </w:r>
      <w:r w:rsidR="002829AA">
        <w:t xml:space="preserve">Table </w:t>
      </w:r>
      <w:r w:rsidR="002829AA">
        <w:rPr>
          <w:noProof/>
        </w:rPr>
        <w:t>14</w:t>
      </w:r>
      <w:r w:rsidR="002829AA">
        <w:rPr>
          <w:rFonts w:eastAsia="Garamond" w:cs="Garamond"/>
          <w:color w:val="000000" w:themeColor="text1"/>
        </w:rPr>
        <w:fldChar w:fldCharType="end"/>
      </w:r>
      <w:r w:rsidR="17F2D40F">
        <w:rPr>
          <w:rFonts w:eastAsia="Garamond" w:cs="Garamond"/>
          <w:color w:val="000000" w:themeColor="text1"/>
        </w:rPr>
        <w:t xml:space="preserve"> </w:t>
      </w:r>
      <w:r w:rsidR="410BD486" w:rsidRPr="61CF619C">
        <w:rPr>
          <w:rFonts w:eastAsia="Garamond" w:cs="Garamond"/>
          <w:color w:val="000000" w:themeColor="text1"/>
        </w:rPr>
        <w:t>below.</w:t>
      </w:r>
      <w:r w:rsidR="1175ACD9" w:rsidRPr="61CF619C">
        <w:rPr>
          <w:rFonts w:eastAsia="Garamond" w:cs="Garamond"/>
          <w:color w:val="000000" w:themeColor="text1"/>
        </w:rPr>
        <w:t xml:space="preserve"> Compliance with criterion 5 was assessed with reference to the February 2020 busbar allocations of the 30 MMT EO Policy-driven Sensitivity Portfolio 2 described in the 2020-2021 TPP Report Release 2. </w:t>
      </w:r>
      <w:r w:rsidR="14891718" w:rsidRPr="61CF619C">
        <w:rPr>
          <w:rFonts w:eastAsia="Garamond" w:cs="Garamond"/>
          <w:color w:val="000000" w:themeColor="text1"/>
        </w:rPr>
        <w:t xml:space="preserve">Storage Resources, both </w:t>
      </w:r>
      <w:r w:rsidR="46D7C517" w:rsidRPr="61CF619C">
        <w:rPr>
          <w:rFonts w:eastAsia="Garamond" w:cs="Garamond"/>
          <w:color w:val="000000" w:themeColor="text1"/>
        </w:rPr>
        <w:t>b</w:t>
      </w:r>
      <w:r w:rsidR="1175ACD9" w:rsidRPr="61CF619C">
        <w:rPr>
          <w:rFonts w:eastAsia="Garamond" w:cs="Garamond"/>
          <w:color w:val="000000" w:themeColor="text1"/>
        </w:rPr>
        <w:t>atteries</w:t>
      </w:r>
      <w:r w:rsidR="4C2C0F71" w:rsidRPr="61CF619C">
        <w:rPr>
          <w:rFonts w:eastAsia="Garamond" w:cs="Garamond"/>
          <w:color w:val="000000" w:themeColor="text1"/>
        </w:rPr>
        <w:t xml:space="preserve"> and pumped hydro storage,</w:t>
      </w:r>
      <w:r w:rsidR="1175ACD9" w:rsidRPr="61CF619C">
        <w:rPr>
          <w:rFonts w:eastAsia="Garamond" w:cs="Garamond"/>
          <w:color w:val="000000" w:themeColor="text1"/>
        </w:rPr>
        <w:t xml:space="preserve"> were not mapped during Round 1 so are not included in </w:t>
      </w:r>
      <w:r w:rsidR="002829AA">
        <w:rPr>
          <w:rFonts w:eastAsia="Garamond" w:cs="Garamond"/>
          <w:color w:val="000000" w:themeColor="text1"/>
        </w:rPr>
        <w:fldChar w:fldCharType="begin"/>
      </w:r>
      <w:r w:rsidR="002829AA">
        <w:rPr>
          <w:rFonts w:eastAsia="Garamond" w:cs="Garamond"/>
          <w:color w:val="000000" w:themeColor="text1"/>
        </w:rPr>
        <w:instrText xml:space="preserve"> REF _Ref63665377 \h </w:instrText>
      </w:r>
      <w:r w:rsidR="002829AA">
        <w:rPr>
          <w:rFonts w:eastAsia="Garamond" w:cs="Garamond"/>
          <w:color w:val="000000" w:themeColor="text1"/>
        </w:rPr>
      </w:r>
      <w:r w:rsidR="002829AA">
        <w:rPr>
          <w:rFonts w:eastAsia="Garamond" w:cs="Garamond"/>
          <w:color w:val="000000" w:themeColor="text1"/>
        </w:rPr>
        <w:fldChar w:fldCharType="separate"/>
      </w:r>
      <w:r w:rsidR="002829AA">
        <w:t xml:space="preserve">Table </w:t>
      </w:r>
      <w:r w:rsidR="002829AA">
        <w:rPr>
          <w:noProof/>
        </w:rPr>
        <w:t>14</w:t>
      </w:r>
      <w:r w:rsidR="002829AA">
        <w:rPr>
          <w:rFonts w:eastAsia="Garamond" w:cs="Garamond"/>
          <w:color w:val="000000" w:themeColor="text1"/>
        </w:rPr>
        <w:fldChar w:fldCharType="end"/>
      </w:r>
      <w:r w:rsidR="004A1A78">
        <w:rPr>
          <w:rFonts w:eastAsia="Garamond" w:cs="Garamond"/>
          <w:color w:val="000000" w:themeColor="text1"/>
        </w:rPr>
        <w:t xml:space="preserve"> </w:t>
      </w:r>
      <w:r w:rsidR="1175ACD9" w:rsidRPr="61CF619C">
        <w:rPr>
          <w:rFonts w:eastAsia="Garamond" w:cs="Garamond"/>
          <w:color w:val="000000" w:themeColor="text1"/>
        </w:rPr>
        <w:t>or accounted for in the transmission capability limits (criterion 2)</w:t>
      </w:r>
      <w:r w:rsidR="00D17F13">
        <w:rPr>
          <w:rFonts w:eastAsia="Garamond" w:cs="Garamond"/>
          <w:color w:val="000000" w:themeColor="text1"/>
        </w:rPr>
        <w:t>.</w:t>
      </w:r>
      <w:r w:rsidR="1D692CA9">
        <w:rPr>
          <w:rFonts w:eastAsia="Garamond" w:cs="Garamond"/>
          <w:color w:val="000000" w:themeColor="text1"/>
        </w:rPr>
        <w:t xml:space="preserve"> They are mapped during Round 2.</w:t>
      </w:r>
    </w:p>
    <w:p w14:paraId="73F27CE0" w14:textId="77777777" w:rsidR="00D17F13" w:rsidRDefault="00D17F13" w:rsidP="0C982D1E">
      <w:pPr>
        <w:spacing w:after="160" w:line="259" w:lineRule="auto"/>
        <w:rPr>
          <w:rFonts w:eastAsia="Garamond" w:cs="Garamond"/>
          <w:color w:val="000000" w:themeColor="text1"/>
        </w:rPr>
        <w:sectPr w:rsidR="00D17F13">
          <w:pgSz w:w="12240" w:h="15840"/>
          <w:pgMar w:top="1440" w:right="1440" w:bottom="1440" w:left="1440" w:header="720" w:footer="720" w:gutter="0"/>
          <w:cols w:space="720"/>
          <w:docGrid w:linePitch="360"/>
        </w:sectPr>
      </w:pPr>
    </w:p>
    <w:p w14:paraId="04C50227" w14:textId="28B44F40" w:rsidR="001D72D3" w:rsidRDefault="001D72D3" w:rsidP="005169DA">
      <w:pPr>
        <w:pStyle w:val="Caption"/>
        <w:keepNext/>
      </w:pPr>
      <w:bookmarkStart w:id="57" w:name="_Ref63665377"/>
      <w:r>
        <w:lastRenderedPageBreak/>
        <w:t xml:space="preserve">Table </w:t>
      </w:r>
      <w:r w:rsidR="00F02B49">
        <w:fldChar w:fldCharType="begin"/>
      </w:r>
      <w:r w:rsidR="00F02B49">
        <w:instrText xml:space="preserve"> SEQ Table \* ARABIC </w:instrText>
      </w:r>
      <w:r w:rsidR="00F02B49">
        <w:fldChar w:fldCharType="separate"/>
      </w:r>
      <w:r>
        <w:rPr>
          <w:noProof/>
        </w:rPr>
        <w:t>14</w:t>
      </w:r>
      <w:r w:rsidR="00F02B49">
        <w:rPr>
          <w:noProof/>
        </w:rPr>
        <w:fldChar w:fldCharType="end"/>
      </w:r>
      <w:bookmarkEnd w:id="57"/>
      <w:r>
        <w:t xml:space="preserve">. </w:t>
      </w:r>
      <w:r w:rsidRPr="001D72D3">
        <w:t>Dashboard showing compliance of busbar allocations for the Offshore Wind portfolio, after Round 1 mapping, with the criteria</w:t>
      </w:r>
    </w:p>
    <w:p w14:paraId="1CDD6902" w14:textId="606AE40D" w:rsidR="00D17F13" w:rsidRDefault="19E99C02" w:rsidP="0C982D1E">
      <w:pPr>
        <w:spacing w:after="160" w:line="259" w:lineRule="auto"/>
      </w:pPr>
      <w:r>
        <w:rPr>
          <w:noProof/>
        </w:rPr>
        <w:drawing>
          <wp:inline distT="0" distB="0" distL="0" distR="0" wp14:anchorId="15E314EF" wp14:editId="0697465F">
            <wp:extent cx="8229600" cy="4257675"/>
            <wp:effectExtent l="0" t="0" r="0" b="0"/>
            <wp:docPr id="2099295545" name="Picture 209929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295545"/>
                    <pic:cNvPicPr/>
                  </pic:nvPicPr>
                  <pic:blipFill>
                    <a:blip r:embed="rId28">
                      <a:extLst>
                        <a:ext uri="{28A0092B-C50C-407E-A947-70E740481C1C}">
                          <a14:useLocalDpi xmlns:a14="http://schemas.microsoft.com/office/drawing/2010/main" val="0"/>
                        </a:ext>
                      </a:extLst>
                    </a:blip>
                    <a:stretch>
                      <a:fillRect/>
                    </a:stretch>
                  </pic:blipFill>
                  <pic:spPr>
                    <a:xfrm>
                      <a:off x="0" y="0"/>
                      <a:ext cx="8229600" cy="4257675"/>
                    </a:xfrm>
                    <a:prstGeom prst="rect">
                      <a:avLst/>
                    </a:prstGeom>
                  </pic:spPr>
                </pic:pic>
              </a:graphicData>
            </a:graphic>
          </wp:inline>
        </w:drawing>
      </w:r>
    </w:p>
    <w:p w14:paraId="393DFD48" w14:textId="77777777" w:rsidR="00D17F13" w:rsidRDefault="00D17F13" w:rsidP="0C982D1E">
      <w:pPr>
        <w:spacing w:after="160" w:line="259" w:lineRule="auto"/>
        <w:rPr>
          <w:rFonts w:eastAsia="Garamond" w:cs="Garamond"/>
          <w:color w:val="000000" w:themeColor="text1"/>
        </w:rPr>
      </w:pPr>
    </w:p>
    <w:p w14:paraId="3F97F80B" w14:textId="77777777" w:rsidR="00D17F13" w:rsidRDefault="00D17F13" w:rsidP="0C982D1E">
      <w:pPr>
        <w:spacing w:after="160" w:line="259" w:lineRule="auto"/>
        <w:rPr>
          <w:rFonts w:eastAsia="Garamond" w:cs="Garamond"/>
          <w:color w:val="000000" w:themeColor="text1"/>
        </w:rPr>
        <w:sectPr w:rsidR="00D17F13" w:rsidSect="00196C06">
          <w:pgSz w:w="15840" w:h="12240" w:orient="landscape"/>
          <w:pgMar w:top="1440" w:right="1440" w:bottom="1440" w:left="1440" w:header="720" w:footer="720" w:gutter="0"/>
          <w:cols w:space="720"/>
          <w:docGrid w:linePitch="360"/>
        </w:sectPr>
      </w:pPr>
    </w:p>
    <w:p w14:paraId="244F07D3" w14:textId="33B23BC5" w:rsidR="785BC9F8" w:rsidRDefault="785BC9F8" w:rsidP="057D115D">
      <w:pPr>
        <w:spacing w:after="160" w:line="259" w:lineRule="auto"/>
        <w:rPr>
          <w:rFonts w:eastAsia="Garamond" w:cs="Garamond"/>
          <w:b/>
          <w:bCs/>
          <w:color w:val="000000" w:themeColor="text1"/>
        </w:rPr>
      </w:pPr>
      <w:r w:rsidRPr="057D115D">
        <w:rPr>
          <w:rFonts w:eastAsia="Garamond" w:cs="Garamond"/>
          <w:b/>
          <w:bCs/>
          <w:color w:val="000000" w:themeColor="text1"/>
        </w:rPr>
        <w:lastRenderedPageBreak/>
        <w:t>Proposed Adjustments for Round 2 Mapping</w:t>
      </w:r>
    </w:p>
    <w:p w14:paraId="2D960172" w14:textId="454705C4" w:rsidR="410BD486" w:rsidRDefault="6DA36C66" w:rsidP="6D737CC7">
      <w:pPr>
        <w:spacing w:after="160" w:line="259" w:lineRule="auto"/>
        <w:rPr>
          <w:rFonts w:eastAsia="Garamond" w:cs="Garamond"/>
          <w:color w:val="000000" w:themeColor="text1"/>
        </w:rPr>
      </w:pPr>
      <w:r w:rsidRPr="512C7633">
        <w:rPr>
          <w:rFonts w:eastAsia="Garamond" w:cs="Garamond"/>
          <w:color w:val="000000" w:themeColor="text1"/>
        </w:rPr>
        <w:t xml:space="preserve">Following Round 1 </w:t>
      </w:r>
      <w:r w:rsidR="2B8CA829" w:rsidRPr="512C7633">
        <w:rPr>
          <w:rFonts w:eastAsia="Garamond" w:cs="Garamond"/>
          <w:color w:val="000000" w:themeColor="text1"/>
        </w:rPr>
        <w:t>m</w:t>
      </w:r>
      <w:r w:rsidRPr="512C7633">
        <w:rPr>
          <w:rFonts w:eastAsia="Garamond" w:cs="Garamond"/>
          <w:color w:val="000000" w:themeColor="text1"/>
        </w:rPr>
        <w:t xml:space="preserve">apping, </w:t>
      </w:r>
      <w:r w:rsidR="07503CF5" w:rsidRPr="512C7633">
        <w:rPr>
          <w:rFonts w:eastAsia="Garamond" w:cs="Garamond"/>
          <w:color w:val="000000" w:themeColor="text1"/>
        </w:rPr>
        <w:t>CPUC staff observed the material non-compliances with criteri</w:t>
      </w:r>
      <w:r w:rsidR="51FC06C7" w:rsidRPr="512C7633">
        <w:rPr>
          <w:rFonts w:eastAsia="Garamond" w:cs="Garamond"/>
          <w:color w:val="000000" w:themeColor="text1"/>
        </w:rPr>
        <w:t>on</w:t>
      </w:r>
      <w:r w:rsidR="07503CF5" w:rsidRPr="512C7633">
        <w:rPr>
          <w:rFonts w:eastAsia="Garamond" w:cs="Garamond"/>
          <w:color w:val="000000" w:themeColor="text1"/>
        </w:rPr>
        <w:t xml:space="preserve"> 2 (transmission capability) and determined that further changes were necessary to resolve these non-compliances. These changes, as well as some unrelated improvements, were </w:t>
      </w:r>
      <w:r w:rsidR="681466A2" w:rsidRPr="512C7633">
        <w:rPr>
          <w:rFonts w:eastAsia="Garamond" w:cs="Garamond"/>
          <w:color w:val="000000" w:themeColor="text1"/>
        </w:rPr>
        <w:t>recommended by CPUC staff</w:t>
      </w:r>
      <w:r w:rsidR="7D80CA1B" w:rsidRPr="512C7633">
        <w:rPr>
          <w:rFonts w:eastAsia="Garamond" w:cs="Garamond"/>
          <w:color w:val="000000" w:themeColor="text1"/>
        </w:rPr>
        <w:t xml:space="preserve"> as adjustments for Round 2</w:t>
      </w:r>
      <w:r w:rsidR="07503CF5" w:rsidRPr="512C7633">
        <w:rPr>
          <w:rFonts w:eastAsia="Garamond" w:cs="Garamond"/>
          <w:color w:val="000000" w:themeColor="text1"/>
        </w:rPr>
        <w:t>:</w:t>
      </w:r>
    </w:p>
    <w:p w14:paraId="588FB578" w14:textId="7C90B7E3" w:rsidR="410BD486" w:rsidRDefault="07503CF5" w:rsidP="512C7633">
      <w:pPr>
        <w:pStyle w:val="ListParagraph"/>
        <w:numPr>
          <w:ilvl w:val="0"/>
          <w:numId w:val="62"/>
        </w:numPr>
        <w:spacing w:after="160" w:line="259" w:lineRule="auto"/>
        <w:rPr>
          <w:rFonts w:asciiTheme="minorHAnsi" w:eastAsiaTheme="minorEastAsia" w:hAnsiTheme="minorHAnsi" w:cstheme="minorBidi"/>
          <w:color w:val="000000" w:themeColor="text1"/>
        </w:rPr>
      </w:pPr>
      <w:r w:rsidRPr="0174A409">
        <w:rPr>
          <w:rFonts w:eastAsia="Garamond" w:cs="Garamond"/>
          <w:color w:val="000000" w:themeColor="text1"/>
        </w:rPr>
        <w:t xml:space="preserve">Solar resources in “Ex” Zones: Staff determined it was necessary to relocate these solar resources from “Ex” zone. The rationale for these reallocations is consistent with that described for the 46 MMT with 2019 IEPR Portfolio in Section </w:t>
      </w:r>
      <w:r w:rsidR="00F040BF">
        <w:rPr>
          <w:rFonts w:eastAsia="Garamond" w:cs="Garamond"/>
          <w:color w:val="000000" w:themeColor="text1"/>
        </w:rPr>
        <w:fldChar w:fldCharType="begin"/>
      </w:r>
      <w:r w:rsidR="00F040BF">
        <w:rPr>
          <w:rFonts w:eastAsia="Garamond" w:cs="Garamond"/>
          <w:color w:val="000000" w:themeColor="text1"/>
        </w:rPr>
        <w:instrText xml:space="preserve"> REF _Ref59129863 \r \h </w:instrText>
      </w:r>
      <w:r w:rsidR="00F040BF">
        <w:rPr>
          <w:rFonts w:eastAsia="Garamond" w:cs="Garamond"/>
          <w:color w:val="000000" w:themeColor="text1"/>
        </w:rPr>
      </w:r>
      <w:r w:rsidR="00F040BF">
        <w:rPr>
          <w:rFonts w:eastAsia="Garamond" w:cs="Garamond"/>
          <w:color w:val="000000" w:themeColor="text1"/>
        </w:rPr>
        <w:fldChar w:fldCharType="separate"/>
      </w:r>
      <w:r w:rsidR="003B7A14">
        <w:rPr>
          <w:rFonts w:eastAsia="Garamond" w:cs="Garamond"/>
          <w:color w:val="000000" w:themeColor="text1"/>
        </w:rPr>
        <w:t>6.1</w:t>
      </w:r>
      <w:r w:rsidR="00F040BF">
        <w:rPr>
          <w:rFonts w:eastAsia="Garamond" w:cs="Garamond"/>
          <w:color w:val="000000" w:themeColor="text1"/>
        </w:rPr>
        <w:fldChar w:fldCharType="end"/>
      </w:r>
      <w:r w:rsidRPr="0174A409">
        <w:rPr>
          <w:rFonts w:eastAsia="Garamond" w:cs="Garamond"/>
          <w:color w:val="000000" w:themeColor="text1"/>
        </w:rPr>
        <w:t xml:space="preserve"> above.</w:t>
      </w:r>
    </w:p>
    <w:p w14:paraId="5EF7C7C6" w14:textId="0F0B6E3C" w:rsidR="410BD486" w:rsidRDefault="477A6584" w:rsidP="40A5FC40">
      <w:pPr>
        <w:pStyle w:val="ListParagraph"/>
        <w:numPr>
          <w:ilvl w:val="1"/>
          <w:numId w:val="62"/>
        </w:numPr>
        <w:spacing w:after="160" w:line="259" w:lineRule="auto"/>
        <w:rPr>
          <w:rFonts w:asciiTheme="minorHAnsi" w:eastAsiaTheme="minorEastAsia" w:hAnsiTheme="minorHAnsi" w:cstheme="minorBidi"/>
          <w:color w:val="000000" w:themeColor="text1"/>
        </w:rPr>
      </w:pPr>
      <w:proofErr w:type="spellStart"/>
      <w:r w:rsidRPr="40A5FC40">
        <w:rPr>
          <w:rFonts w:eastAsia="Garamond" w:cs="Garamond"/>
          <w:color w:val="000000" w:themeColor="text1"/>
        </w:rPr>
        <w:t>Westlands</w:t>
      </w:r>
      <w:proofErr w:type="spellEnd"/>
      <w:r w:rsidRPr="40A5FC40">
        <w:rPr>
          <w:rFonts w:eastAsia="Garamond" w:cs="Garamond"/>
          <w:color w:val="000000" w:themeColor="text1"/>
        </w:rPr>
        <w:t xml:space="preserve"> Ex Solar: re</w:t>
      </w:r>
      <w:r w:rsidR="653719EA" w:rsidRPr="40A5FC40">
        <w:rPr>
          <w:rFonts w:eastAsia="Garamond" w:cs="Garamond"/>
          <w:color w:val="000000" w:themeColor="text1"/>
        </w:rPr>
        <w:t>al</w:t>
      </w:r>
      <w:r w:rsidRPr="40A5FC40">
        <w:rPr>
          <w:rFonts w:eastAsia="Garamond" w:cs="Garamond"/>
          <w:color w:val="000000" w:themeColor="text1"/>
        </w:rPr>
        <w:t xml:space="preserve">locate 827MW, 623 MW, and 201 MW FD to </w:t>
      </w:r>
      <w:proofErr w:type="spellStart"/>
      <w:r w:rsidRPr="40A5FC40">
        <w:rPr>
          <w:rFonts w:eastAsia="Garamond" w:cs="Garamond"/>
          <w:color w:val="000000" w:themeColor="text1"/>
        </w:rPr>
        <w:t>Westlands</w:t>
      </w:r>
      <w:proofErr w:type="spellEnd"/>
      <w:r w:rsidRPr="40A5FC40">
        <w:rPr>
          <w:rFonts w:eastAsia="Garamond" w:cs="Garamond"/>
          <w:color w:val="000000" w:themeColor="text1"/>
        </w:rPr>
        <w:t xml:space="preserve"> Solar, Tehachapi Solar, and </w:t>
      </w:r>
      <w:r w:rsidR="4D9A01C2" w:rsidRPr="40A5FC40">
        <w:rPr>
          <w:rFonts w:eastAsia="Garamond" w:cs="Garamond"/>
          <w:color w:val="000000" w:themeColor="text1"/>
        </w:rPr>
        <w:t xml:space="preserve">Pisgah Solar </w:t>
      </w:r>
      <w:r w:rsidRPr="40A5FC40">
        <w:rPr>
          <w:rFonts w:eastAsia="Garamond" w:cs="Garamond"/>
          <w:color w:val="000000" w:themeColor="text1"/>
        </w:rPr>
        <w:t xml:space="preserve">respectively. </w:t>
      </w:r>
      <w:r w:rsidR="67E8A14A" w:rsidRPr="40A5FC40">
        <w:rPr>
          <w:rFonts w:eastAsia="Garamond" w:cs="Garamond"/>
          <w:color w:val="000000" w:themeColor="text1"/>
        </w:rPr>
        <w:t xml:space="preserve">The </w:t>
      </w:r>
      <w:proofErr w:type="spellStart"/>
      <w:r w:rsidR="67E8A14A" w:rsidRPr="40A5FC40">
        <w:rPr>
          <w:rFonts w:eastAsia="Garamond" w:cs="Garamond"/>
          <w:color w:val="000000" w:themeColor="text1"/>
        </w:rPr>
        <w:t>Westlands</w:t>
      </w:r>
      <w:proofErr w:type="spellEnd"/>
      <w:r w:rsidR="67E8A14A" w:rsidRPr="40A5FC40">
        <w:rPr>
          <w:rFonts w:eastAsia="Garamond" w:cs="Garamond"/>
          <w:color w:val="000000" w:themeColor="text1"/>
        </w:rPr>
        <w:t xml:space="preserve"> inner </w:t>
      </w:r>
      <w:r w:rsidR="5B731173" w:rsidRPr="40A5FC40">
        <w:rPr>
          <w:rFonts w:eastAsia="Garamond" w:cs="Garamond"/>
          <w:color w:val="000000" w:themeColor="text1"/>
        </w:rPr>
        <w:t xml:space="preserve">renewable </w:t>
      </w:r>
      <w:r w:rsidR="67E8A14A" w:rsidRPr="40A5FC40">
        <w:rPr>
          <w:rFonts w:eastAsia="Garamond" w:cs="Garamond"/>
          <w:color w:val="000000" w:themeColor="text1"/>
        </w:rPr>
        <w:t xml:space="preserve">transmission zone and the Southern PG&amp;E outer </w:t>
      </w:r>
      <w:r w:rsidR="3F501A60" w:rsidRPr="40A5FC40">
        <w:rPr>
          <w:rFonts w:eastAsia="Garamond" w:cs="Garamond"/>
          <w:color w:val="000000" w:themeColor="text1"/>
        </w:rPr>
        <w:t xml:space="preserve">renewable </w:t>
      </w:r>
      <w:r w:rsidR="67E8A14A" w:rsidRPr="40A5FC40">
        <w:rPr>
          <w:rFonts w:eastAsia="Garamond" w:cs="Garamond"/>
          <w:color w:val="000000" w:themeColor="text1"/>
        </w:rPr>
        <w:t>transmission zone do not have enough transmission capability to accommodate all the resource, so it is also reallocated to the Tehachapi and Pisgah resources based on the availability of commercial interest and transmission capability available for each resource.</w:t>
      </w:r>
    </w:p>
    <w:p w14:paraId="67F09FBC" w14:textId="48BCA5AC" w:rsidR="410BD486" w:rsidRDefault="477A6584" w:rsidP="40A5FC40">
      <w:pPr>
        <w:pStyle w:val="ListParagraph"/>
        <w:numPr>
          <w:ilvl w:val="1"/>
          <w:numId w:val="62"/>
        </w:numPr>
        <w:spacing w:after="160" w:line="259" w:lineRule="auto"/>
        <w:rPr>
          <w:rFonts w:asciiTheme="minorHAnsi" w:eastAsiaTheme="minorEastAsia" w:hAnsiTheme="minorHAnsi" w:cstheme="minorBidi"/>
          <w:color w:val="000000" w:themeColor="text1"/>
        </w:rPr>
      </w:pPr>
      <w:r w:rsidRPr="40A5FC40">
        <w:rPr>
          <w:rFonts w:eastAsia="Garamond" w:cs="Garamond"/>
          <w:color w:val="000000" w:themeColor="text1"/>
        </w:rPr>
        <w:t>Southern California Desert Ex Solar: re</w:t>
      </w:r>
      <w:r w:rsidR="298135D8" w:rsidRPr="40A5FC40">
        <w:rPr>
          <w:rFonts w:eastAsia="Garamond" w:cs="Garamond"/>
          <w:color w:val="000000" w:themeColor="text1"/>
        </w:rPr>
        <w:t>al</w:t>
      </w:r>
      <w:r w:rsidRPr="40A5FC40">
        <w:rPr>
          <w:rFonts w:eastAsia="Garamond" w:cs="Garamond"/>
          <w:color w:val="000000" w:themeColor="text1"/>
        </w:rPr>
        <w:t>locate 182 MW FD to Southern Nevada Solar</w:t>
      </w:r>
      <w:r w:rsidR="433EBC9D" w:rsidRPr="7956503B">
        <w:rPr>
          <w:rFonts w:eastAsia="Garamond" w:cs="Garamond"/>
          <w:color w:val="000000" w:themeColor="text1"/>
        </w:rPr>
        <w:t xml:space="preserve">, </w:t>
      </w:r>
      <w:r w:rsidRPr="40A5FC40">
        <w:rPr>
          <w:rFonts w:eastAsia="Garamond" w:cs="Garamond"/>
          <w:color w:val="000000" w:themeColor="text1"/>
        </w:rPr>
        <w:t>6</w:t>
      </w:r>
      <w:r w:rsidR="6927F8C9" w:rsidRPr="40A5FC40">
        <w:rPr>
          <w:rFonts w:eastAsia="Garamond" w:cs="Garamond"/>
          <w:color w:val="000000" w:themeColor="text1"/>
        </w:rPr>
        <w:t>0</w:t>
      </w:r>
      <w:r w:rsidRPr="40A5FC40">
        <w:rPr>
          <w:rFonts w:eastAsia="Garamond" w:cs="Garamond"/>
          <w:color w:val="000000" w:themeColor="text1"/>
        </w:rPr>
        <w:t>0 MW FD to Greater Imperial Solar</w:t>
      </w:r>
      <w:r w:rsidR="68209A33" w:rsidRPr="7956503B">
        <w:rPr>
          <w:rFonts w:eastAsia="Garamond" w:cs="Garamond"/>
          <w:color w:val="000000" w:themeColor="text1"/>
        </w:rPr>
        <w:t>, and 80 MW FD to Southern California Desert and Southern Nevada Solar</w:t>
      </w:r>
      <w:r w:rsidRPr="7956503B">
        <w:rPr>
          <w:rFonts w:eastAsia="Garamond" w:cs="Garamond"/>
          <w:color w:val="000000" w:themeColor="text1"/>
        </w:rPr>
        <w:t>.</w:t>
      </w:r>
      <w:r w:rsidRPr="40A5FC40">
        <w:rPr>
          <w:rFonts w:eastAsia="Garamond" w:cs="Garamond"/>
          <w:color w:val="000000" w:themeColor="text1"/>
        </w:rPr>
        <w:t xml:space="preserve"> Priority is placed on allocating FD MW to Southern Nevada solar at substations in the GLW-VEA </w:t>
      </w:r>
      <w:r w:rsidR="4FB3B90A" w:rsidRPr="40A5FC40">
        <w:rPr>
          <w:rFonts w:eastAsia="Garamond" w:cs="Garamond"/>
          <w:color w:val="000000" w:themeColor="text1"/>
        </w:rPr>
        <w:t xml:space="preserve">renewable </w:t>
      </w:r>
      <w:r w:rsidR="42C63BB6" w:rsidRPr="40A5FC40">
        <w:rPr>
          <w:rFonts w:eastAsia="Garamond" w:cs="Garamond"/>
          <w:color w:val="000000" w:themeColor="text1"/>
        </w:rPr>
        <w:t xml:space="preserve">transmission zone </w:t>
      </w:r>
      <w:r w:rsidRPr="40A5FC40">
        <w:rPr>
          <w:rFonts w:eastAsia="Garamond" w:cs="Garamond"/>
          <w:color w:val="000000" w:themeColor="text1"/>
        </w:rPr>
        <w:t xml:space="preserve">due to their proximity to the selected resources. </w:t>
      </w:r>
      <w:r w:rsidRPr="4B1F0A78">
        <w:rPr>
          <w:rFonts w:eastAsia="Garamond" w:cs="Garamond"/>
          <w:color w:val="000000" w:themeColor="text1"/>
        </w:rPr>
        <w:t xml:space="preserve">To </w:t>
      </w:r>
      <w:r w:rsidR="307313E1" w:rsidRPr="4B1F0A78">
        <w:rPr>
          <w:rFonts w:eastAsia="Garamond" w:cs="Garamond"/>
          <w:color w:val="000000" w:themeColor="text1"/>
        </w:rPr>
        <w:t>prevent</w:t>
      </w:r>
      <w:r w:rsidRPr="40A5FC40">
        <w:rPr>
          <w:rFonts w:eastAsia="Garamond" w:cs="Garamond"/>
          <w:color w:val="000000" w:themeColor="text1"/>
        </w:rPr>
        <w:t xml:space="preserve"> exceeding the GLW-VEA transmission limit, resources are then re</w:t>
      </w:r>
      <w:r w:rsidR="69B7916E" w:rsidRPr="40A5FC40">
        <w:rPr>
          <w:rFonts w:eastAsia="Garamond" w:cs="Garamond"/>
          <w:color w:val="000000" w:themeColor="text1"/>
        </w:rPr>
        <w:t>al</w:t>
      </w:r>
      <w:r w:rsidRPr="40A5FC40">
        <w:rPr>
          <w:rFonts w:eastAsia="Garamond" w:cs="Garamond"/>
          <w:color w:val="000000" w:themeColor="text1"/>
        </w:rPr>
        <w:t>located to Greater Imperial Solar.</w:t>
      </w:r>
      <w:r w:rsidR="0AC5BD6F" w:rsidRPr="7956503B">
        <w:rPr>
          <w:rFonts w:eastAsia="Garamond" w:cs="Garamond"/>
          <w:color w:val="000000" w:themeColor="text1"/>
        </w:rPr>
        <w:t xml:space="preserve"> Then resources are reallocated to Southern California Desert and Southern Nevada Solar and specifically mapped to the Mohave 500 kV substation to </w:t>
      </w:r>
      <w:r w:rsidR="6C8554E6" w:rsidRPr="4B1F0A78">
        <w:rPr>
          <w:rFonts w:eastAsia="Garamond" w:cs="Garamond"/>
          <w:color w:val="000000" w:themeColor="text1"/>
        </w:rPr>
        <w:t>prevent</w:t>
      </w:r>
      <w:r w:rsidR="0AC5BD6F" w:rsidRPr="7956503B">
        <w:rPr>
          <w:rFonts w:eastAsia="Garamond" w:cs="Garamond"/>
          <w:color w:val="000000" w:themeColor="text1"/>
        </w:rPr>
        <w:t xml:space="preserve"> exceeding the Greater Imperial zone’s transmission limit.</w:t>
      </w:r>
    </w:p>
    <w:p w14:paraId="7AC499D1" w14:textId="16689A3B" w:rsidR="410BD486" w:rsidRDefault="4442B94C" w:rsidP="40A5FC40">
      <w:pPr>
        <w:pStyle w:val="ListParagraph"/>
        <w:numPr>
          <w:ilvl w:val="0"/>
          <w:numId w:val="62"/>
        </w:numPr>
        <w:spacing w:after="160" w:line="259" w:lineRule="auto"/>
        <w:rPr>
          <w:rFonts w:asciiTheme="minorHAnsi" w:eastAsiaTheme="minorEastAsia" w:hAnsiTheme="minorHAnsi" w:cstheme="minorBidi"/>
          <w:color w:val="000000" w:themeColor="text1"/>
        </w:rPr>
      </w:pPr>
      <w:r w:rsidRPr="61CF619C">
        <w:rPr>
          <w:rFonts w:eastAsia="Garamond" w:cs="Garamond"/>
          <w:color w:val="000000" w:themeColor="text1"/>
        </w:rPr>
        <w:t xml:space="preserve">Southern PG&amp;E </w:t>
      </w:r>
      <w:r w:rsidR="14667EEF" w:rsidRPr="61CF619C">
        <w:rPr>
          <w:rFonts w:eastAsia="Garamond" w:cs="Garamond"/>
          <w:color w:val="000000" w:themeColor="text1"/>
        </w:rPr>
        <w:t xml:space="preserve">renewable </w:t>
      </w:r>
      <w:r w:rsidRPr="61CF619C">
        <w:rPr>
          <w:rFonts w:eastAsia="Garamond" w:cs="Garamond"/>
          <w:color w:val="000000" w:themeColor="text1"/>
        </w:rPr>
        <w:t xml:space="preserve">transmission zone: initial allocations and </w:t>
      </w:r>
      <w:r w:rsidR="3A93461E" w:rsidRPr="61CF619C">
        <w:rPr>
          <w:rFonts w:eastAsia="Garamond" w:cs="Garamond"/>
          <w:color w:val="000000" w:themeColor="text1"/>
        </w:rPr>
        <w:t xml:space="preserve">subsequent </w:t>
      </w:r>
      <w:r w:rsidRPr="61CF619C">
        <w:rPr>
          <w:rFonts w:eastAsia="Garamond" w:cs="Garamond"/>
          <w:color w:val="000000" w:themeColor="text1"/>
        </w:rPr>
        <w:t xml:space="preserve">reallocations breach the transmission limit for the Southern PG&amp;E </w:t>
      </w:r>
      <w:r w:rsidR="178D8D86" w:rsidRPr="61CF619C">
        <w:rPr>
          <w:rFonts w:eastAsia="Garamond" w:cs="Garamond"/>
          <w:color w:val="000000" w:themeColor="text1"/>
        </w:rPr>
        <w:t xml:space="preserve">outer </w:t>
      </w:r>
      <w:r w:rsidR="374A6750" w:rsidRPr="61CF619C">
        <w:rPr>
          <w:rFonts w:eastAsia="Garamond" w:cs="Garamond"/>
          <w:color w:val="000000" w:themeColor="text1"/>
        </w:rPr>
        <w:t xml:space="preserve">renewable </w:t>
      </w:r>
      <w:r w:rsidRPr="61CF619C">
        <w:rPr>
          <w:rFonts w:eastAsia="Garamond" w:cs="Garamond"/>
          <w:color w:val="000000" w:themeColor="text1"/>
        </w:rPr>
        <w:t>transmission zone</w:t>
      </w:r>
      <w:r w:rsidR="1592DAAB" w:rsidRPr="61CF619C">
        <w:rPr>
          <w:rFonts w:eastAsia="Garamond" w:cs="Garamond"/>
          <w:color w:val="000000" w:themeColor="text1"/>
        </w:rPr>
        <w:t xml:space="preserve">. </w:t>
      </w:r>
      <w:r w:rsidR="7F68397C" w:rsidRPr="61CF619C">
        <w:rPr>
          <w:rFonts w:eastAsia="Garamond" w:cs="Garamond"/>
          <w:color w:val="000000" w:themeColor="text1"/>
        </w:rPr>
        <w:t>Accordingly</w:t>
      </w:r>
      <w:r w:rsidR="3AE729A1" w:rsidRPr="61CF619C">
        <w:rPr>
          <w:rFonts w:eastAsia="Garamond" w:cs="Garamond"/>
          <w:color w:val="000000" w:themeColor="text1"/>
        </w:rPr>
        <w:t>,</w:t>
      </w:r>
      <w:r w:rsidR="3D93EBC1" w:rsidRPr="61CF619C">
        <w:rPr>
          <w:rFonts w:eastAsia="Garamond" w:cs="Garamond"/>
          <w:color w:val="000000" w:themeColor="text1"/>
        </w:rPr>
        <w:t xml:space="preserve"> staff recommended the following change</w:t>
      </w:r>
      <w:r w:rsidRPr="61CF619C">
        <w:rPr>
          <w:rFonts w:eastAsia="Garamond" w:cs="Garamond"/>
          <w:color w:val="000000" w:themeColor="text1"/>
        </w:rPr>
        <w:t>:</w:t>
      </w:r>
    </w:p>
    <w:p w14:paraId="2F3AC950" w14:textId="6666BC34" w:rsidR="410BD486" w:rsidRDefault="477A6584" w:rsidP="40A5FC40">
      <w:pPr>
        <w:pStyle w:val="ListParagraph"/>
        <w:numPr>
          <w:ilvl w:val="1"/>
          <w:numId w:val="62"/>
        </w:numPr>
        <w:spacing w:after="160" w:line="259" w:lineRule="auto"/>
        <w:rPr>
          <w:rFonts w:asciiTheme="minorHAnsi" w:eastAsiaTheme="minorEastAsia" w:hAnsiTheme="minorHAnsi" w:cstheme="minorBidi"/>
          <w:color w:val="000000" w:themeColor="text1"/>
        </w:rPr>
      </w:pPr>
      <w:proofErr w:type="spellStart"/>
      <w:r w:rsidRPr="40A5FC40">
        <w:rPr>
          <w:rFonts w:eastAsia="Garamond" w:cs="Garamond"/>
          <w:color w:val="000000" w:themeColor="text1"/>
        </w:rPr>
        <w:t>Westlands</w:t>
      </w:r>
      <w:proofErr w:type="spellEnd"/>
      <w:r w:rsidRPr="40A5FC40">
        <w:rPr>
          <w:rFonts w:eastAsia="Garamond" w:cs="Garamond"/>
          <w:color w:val="000000" w:themeColor="text1"/>
        </w:rPr>
        <w:t xml:space="preserve"> Solar: map </w:t>
      </w:r>
      <w:r w:rsidR="0992EB5A" w:rsidRPr="40A5FC40">
        <w:rPr>
          <w:rFonts w:eastAsia="Garamond" w:cs="Garamond"/>
          <w:color w:val="000000" w:themeColor="text1"/>
        </w:rPr>
        <w:t xml:space="preserve">728 </w:t>
      </w:r>
      <w:r w:rsidRPr="40A5FC40">
        <w:rPr>
          <w:rFonts w:eastAsia="Garamond" w:cs="Garamond"/>
          <w:color w:val="000000" w:themeColor="text1"/>
        </w:rPr>
        <w:t xml:space="preserve">MW FD of this resource to the Gates-Diablo 500 kV system based on CAISO staff’s guidance that this system appears geographically in the Southern PG&amp;E outermost </w:t>
      </w:r>
      <w:r w:rsidR="1ACF2C7B" w:rsidRPr="40A5FC40">
        <w:rPr>
          <w:rFonts w:eastAsia="Garamond" w:cs="Garamond"/>
          <w:color w:val="000000" w:themeColor="text1"/>
        </w:rPr>
        <w:t xml:space="preserve">renewable </w:t>
      </w:r>
      <w:r w:rsidRPr="40A5FC40">
        <w:rPr>
          <w:rFonts w:eastAsia="Garamond" w:cs="Garamond"/>
          <w:color w:val="000000" w:themeColor="text1"/>
        </w:rPr>
        <w:t xml:space="preserve">transmission zone, but </w:t>
      </w:r>
      <w:r w:rsidR="1821452F" w:rsidRPr="40A5FC40">
        <w:rPr>
          <w:rFonts w:eastAsia="Garamond" w:cs="Garamond"/>
          <w:color w:val="000000" w:themeColor="text1"/>
        </w:rPr>
        <w:t xml:space="preserve">it </w:t>
      </w:r>
      <w:r w:rsidRPr="40A5FC40">
        <w:rPr>
          <w:rFonts w:eastAsia="Garamond" w:cs="Garamond"/>
          <w:color w:val="000000" w:themeColor="text1"/>
        </w:rPr>
        <w:t xml:space="preserve">is electrically </w:t>
      </w:r>
      <w:r w:rsidR="2221479A" w:rsidRPr="40A5FC40">
        <w:rPr>
          <w:rFonts w:eastAsia="Garamond" w:cs="Garamond"/>
          <w:color w:val="000000" w:themeColor="text1"/>
        </w:rPr>
        <w:t>not in any</w:t>
      </w:r>
      <w:r w:rsidRPr="40A5FC40">
        <w:rPr>
          <w:rFonts w:eastAsia="Garamond" w:cs="Garamond"/>
          <w:color w:val="000000" w:themeColor="text1"/>
        </w:rPr>
        <w:t xml:space="preserve"> zone.</w:t>
      </w:r>
    </w:p>
    <w:p w14:paraId="47E6681C" w14:textId="22B31EB3" w:rsidR="410BD486" w:rsidRDefault="4442B94C" w:rsidP="40A5FC40">
      <w:pPr>
        <w:pStyle w:val="ListParagraph"/>
        <w:numPr>
          <w:ilvl w:val="0"/>
          <w:numId w:val="62"/>
        </w:numPr>
        <w:spacing w:after="160" w:line="259" w:lineRule="auto"/>
        <w:rPr>
          <w:rFonts w:asciiTheme="minorHAnsi" w:eastAsiaTheme="minorEastAsia" w:hAnsiTheme="minorHAnsi" w:cstheme="minorBidi"/>
          <w:color w:val="000000" w:themeColor="text1"/>
          <w:szCs w:val="24"/>
        </w:rPr>
      </w:pPr>
      <w:r w:rsidRPr="61CF619C">
        <w:rPr>
          <w:rFonts w:eastAsia="Garamond" w:cs="Garamond"/>
          <w:color w:val="000000" w:themeColor="text1"/>
        </w:rPr>
        <w:t>Tehachapi</w:t>
      </w:r>
      <w:r w:rsidR="654B68FF" w:rsidRPr="61CF619C">
        <w:rPr>
          <w:rFonts w:eastAsia="Garamond" w:cs="Garamond"/>
          <w:color w:val="000000" w:themeColor="text1"/>
        </w:rPr>
        <w:t xml:space="preserve"> </w:t>
      </w:r>
      <w:r w:rsidRPr="61CF619C">
        <w:rPr>
          <w:rFonts w:eastAsia="Garamond" w:cs="Garamond"/>
          <w:color w:val="000000" w:themeColor="text1"/>
        </w:rPr>
        <w:t>Solar: remap</w:t>
      </w:r>
      <w:r w:rsidR="005D72D3">
        <w:rPr>
          <w:rFonts w:eastAsia="Garamond" w:cs="Garamond"/>
          <w:color w:val="000000" w:themeColor="text1"/>
        </w:rPr>
        <w:t xml:space="preserve"> </w:t>
      </w:r>
      <w:r w:rsidR="2A6BAC87" w:rsidRPr="13A18B61">
        <w:rPr>
          <w:rFonts w:eastAsia="Garamond" w:cs="Garamond"/>
          <w:color w:val="000000" w:themeColor="text1"/>
        </w:rPr>
        <w:t>resources</w:t>
      </w:r>
      <w:r w:rsidRPr="61CF619C">
        <w:rPr>
          <w:rFonts w:eastAsia="Garamond" w:cs="Garamond"/>
          <w:color w:val="000000" w:themeColor="text1"/>
        </w:rPr>
        <w:t xml:space="preserve"> from the Pear Blossom substation to the Vincent 230kV substation </w:t>
      </w:r>
      <w:r w:rsidR="47C2D84D" w:rsidRPr="13A18B61">
        <w:rPr>
          <w:rFonts w:eastAsia="Garamond" w:cs="Garamond"/>
          <w:color w:val="000000" w:themeColor="text1"/>
        </w:rPr>
        <w:t>and r</w:t>
      </w:r>
      <w:r w:rsidR="27FB63DC" w:rsidRPr="13A18B61">
        <w:rPr>
          <w:rFonts w:eastAsia="Garamond" w:cs="Garamond"/>
          <w:color w:val="000000" w:themeColor="text1"/>
        </w:rPr>
        <w:t>emap resources from the Whirlwind and Antelope 500 kV substations to the Whirlwind and Antelope 230 kV substation respectively</w:t>
      </w:r>
      <w:r w:rsidR="251328FE" w:rsidRPr="13A18B61">
        <w:rPr>
          <w:rFonts w:eastAsia="Garamond" w:cs="Garamond"/>
          <w:color w:val="000000" w:themeColor="text1"/>
        </w:rPr>
        <w:t xml:space="preserve"> for the same reasons noted in Section </w:t>
      </w:r>
      <w:r w:rsidR="00F040BF">
        <w:rPr>
          <w:rFonts w:eastAsia="Garamond" w:cs="Garamond"/>
          <w:color w:val="000000" w:themeColor="text1"/>
        </w:rPr>
        <w:fldChar w:fldCharType="begin"/>
      </w:r>
      <w:r w:rsidR="00F040BF">
        <w:rPr>
          <w:rFonts w:eastAsia="Garamond" w:cs="Garamond"/>
          <w:color w:val="000000" w:themeColor="text1"/>
        </w:rPr>
        <w:instrText xml:space="preserve"> REF _Ref59129863 \r \h </w:instrText>
      </w:r>
      <w:r w:rsidR="00F040BF">
        <w:rPr>
          <w:rFonts w:eastAsia="Garamond" w:cs="Garamond"/>
          <w:color w:val="000000" w:themeColor="text1"/>
        </w:rPr>
      </w:r>
      <w:r w:rsidR="00F040BF">
        <w:rPr>
          <w:rFonts w:eastAsia="Garamond" w:cs="Garamond"/>
          <w:color w:val="000000" w:themeColor="text1"/>
        </w:rPr>
        <w:fldChar w:fldCharType="separate"/>
      </w:r>
      <w:r w:rsidR="003B7A14">
        <w:rPr>
          <w:rFonts w:eastAsia="Garamond" w:cs="Garamond"/>
          <w:color w:val="000000" w:themeColor="text1"/>
        </w:rPr>
        <w:t>6.1</w:t>
      </w:r>
      <w:r w:rsidR="00F040BF">
        <w:rPr>
          <w:rFonts w:eastAsia="Garamond" w:cs="Garamond"/>
          <w:color w:val="000000" w:themeColor="text1"/>
        </w:rPr>
        <w:fldChar w:fldCharType="end"/>
      </w:r>
      <w:r w:rsidR="251328FE" w:rsidRPr="13A18B61">
        <w:rPr>
          <w:rFonts w:eastAsia="Garamond" w:cs="Garamond"/>
          <w:color w:val="000000" w:themeColor="text1"/>
        </w:rPr>
        <w:t xml:space="preserve"> for the 46 MMT portfolio.</w:t>
      </w:r>
      <w:r w:rsidR="27FB63DC" w:rsidRPr="13A18B61">
        <w:rPr>
          <w:rFonts w:eastAsia="Garamond" w:cs="Garamond"/>
          <w:color w:val="000000" w:themeColor="text1"/>
        </w:rPr>
        <w:t xml:space="preserve"> </w:t>
      </w:r>
    </w:p>
    <w:p w14:paraId="08D626F9" w14:textId="082C85A3" w:rsidR="410BD486" w:rsidRDefault="4442B94C" w:rsidP="40A5FC40">
      <w:pPr>
        <w:pStyle w:val="ListParagraph"/>
        <w:numPr>
          <w:ilvl w:val="0"/>
          <w:numId w:val="62"/>
        </w:numPr>
        <w:spacing w:after="160" w:line="259" w:lineRule="auto"/>
        <w:rPr>
          <w:rFonts w:asciiTheme="minorHAnsi" w:eastAsiaTheme="minorEastAsia" w:hAnsiTheme="minorHAnsi" w:cstheme="minorBidi"/>
          <w:color w:val="000000" w:themeColor="text1"/>
        </w:rPr>
      </w:pPr>
      <w:r w:rsidRPr="61CF619C">
        <w:rPr>
          <w:rFonts w:eastAsia="Garamond" w:cs="Garamond"/>
          <w:color w:val="000000" w:themeColor="text1"/>
        </w:rPr>
        <w:t xml:space="preserve">Arizona Solar: remap 1,049 MW from the Hoodoo Wash substation to the Delaney and Hassayampa substations based on CAISO’s staff guidance that this would </w:t>
      </w:r>
      <w:r w:rsidR="50F59A5D" w:rsidRPr="4B1F0A78">
        <w:rPr>
          <w:rFonts w:eastAsia="Garamond" w:cs="Garamond"/>
          <w:color w:val="000000" w:themeColor="text1"/>
        </w:rPr>
        <w:t>prevent</w:t>
      </w:r>
      <w:r w:rsidRPr="61CF619C">
        <w:rPr>
          <w:rFonts w:eastAsia="Garamond" w:cs="Garamond"/>
          <w:color w:val="000000" w:themeColor="text1"/>
        </w:rPr>
        <w:t xml:space="preserve"> </w:t>
      </w:r>
      <w:r w:rsidR="17A073F6" w:rsidRPr="61CF619C">
        <w:rPr>
          <w:rFonts w:eastAsia="Garamond" w:cs="Garamond"/>
          <w:color w:val="000000" w:themeColor="text1"/>
        </w:rPr>
        <w:t xml:space="preserve">increased </w:t>
      </w:r>
      <w:r w:rsidRPr="61CF619C">
        <w:rPr>
          <w:rFonts w:eastAsia="Garamond" w:cs="Garamond"/>
          <w:color w:val="000000" w:themeColor="text1"/>
        </w:rPr>
        <w:t xml:space="preserve">curtailments at the Hoodoo Wash substation. 704 MW and 345 MW are </w:t>
      </w:r>
      <w:r w:rsidRPr="61CF619C">
        <w:rPr>
          <w:rFonts w:eastAsia="Garamond" w:cs="Garamond"/>
          <w:color w:val="000000" w:themeColor="text1"/>
        </w:rPr>
        <w:lastRenderedPageBreak/>
        <w:t>mapped to the Delaney and Hassayampa substations based proportionally on the commercial interest at each substation.</w:t>
      </w:r>
    </w:p>
    <w:p w14:paraId="4F7726A9" w14:textId="0EE0D533" w:rsidR="6491380D" w:rsidRPr="0065247B" w:rsidRDefault="4887880F" w:rsidP="0065247B">
      <w:pPr>
        <w:pStyle w:val="ListParagraph"/>
        <w:numPr>
          <w:ilvl w:val="0"/>
          <w:numId w:val="62"/>
        </w:numPr>
        <w:spacing w:after="160" w:line="259" w:lineRule="auto"/>
        <w:rPr>
          <w:rFonts w:asciiTheme="minorHAnsi" w:eastAsiaTheme="minorEastAsia" w:hAnsiTheme="minorHAnsi" w:cstheme="minorBidi"/>
          <w:color w:val="000000" w:themeColor="text1"/>
        </w:rPr>
      </w:pPr>
      <w:r w:rsidRPr="61CF619C">
        <w:rPr>
          <w:rFonts w:eastAsia="Garamond" w:cs="Garamond"/>
          <w:color w:val="000000" w:themeColor="text1"/>
        </w:rPr>
        <w:t xml:space="preserve">Pumped </w:t>
      </w:r>
      <w:r w:rsidR="0CBCD699" w:rsidRPr="61CF619C">
        <w:rPr>
          <w:rFonts w:eastAsia="Garamond" w:cs="Garamond"/>
          <w:color w:val="000000" w:themeColor="text1"/>
        </w:rPr>
        <w:t xml:space="preserve">Storage </w:t>
      </w:r>
      <w:r w:rsidRPr="61CF619C">
        <w:rPr>
          <w:rFonts w:eastAsia="Garamond" w:cs="Garamond"/>
          <w:color w:val="000000" w:themeColor="text1"/>
        </w:rPr>
        <w:t>Hydro: map 590 MW FD pumped</w:t>
      </w:r>
      <w:r w:rsidR="63A5F28B" w:rsidRPr="61CF619C">
        <w:rPr>
          <w:rFonts w:eastAsia="Garamond" w:cs="Garamond"/>
          <w:color w:val="000000" w:themeColor="text1"/>
        </w:rPr>
        <w:t xml:space="preserve"> storage</w:t>
      </w:r>
      <w:r w:rsidRPr="61CF619C">
        <w:rPr>
          <w:rFonts w:eastAsia="Garamond" w:cs="Garamond"/>
          <w:color w:val="000000" w:themeColor="text1"/>
        </w:rPr>
        <w:t xml:space="preserve"> hydro to the Lee Lake substation and 905 MW FD to the Red Bluff substation. Pumped hydro was not initially mapped in Round 1. The Lee Lake substation is not in any of the CAISO’s outermost </w:t>
      </w:r>
      <w:r w:rsidR="35F52441" w:rsidRPr="61CF619C">
        <w:rPr>
          <w:rFonts w:eastAsia="Garamond" w:cs="Garamond"/>
          <w:color w:val="000000" w:themeColor="text1"/>
        </w:rPr>
        <w:t xml:space="preserve">renewable transmission </w:t>
      </w:r>
      <w:r w:rsidRPr="61CF619C">
        <w:rPr>
          <w:rFonts w:eastAsia="Garamond" w:cs="Garamond"/>
          <w:color w:val="000000" w:themeColor="text1"/>
        </w:rPr>
        <w:t>zones, while the Red Bluff substation is in the Riverside and Palm Springs inner</w:t>
      </w:r>
      <w:r w:rsidR="32BBC7E2" w:rsidRPr="61CF619C">
        <w:rPr>
          <w:rFonts w:eastAsia="Garamond" w:cs="Garamond"/>
          <w:color w:val="000000" w:themeColor="text1"/>
        </w:rPr>
        <w:t xml:space="preserve"> renewable</w:t>
      </w:r>
      <w:r w:rsidRPr="61CF619C">
        <w:rPr>
          <w:rFonts w:eastAsia="Garamond" w:cs="Garamond"/>
          <w:color w:val="000000" w:themeColor="text1"/>
        </w:rPr>
        <w:t xml:space="preserve"> transmission zone. Both substations have commercial interest</w:t>
      </w:r>
      <w:r w:rsidR="1167EEA7" w:rsidRPr="61CF619C">
        <w:rPr>
          <w:rFonts w:eastAsia="Garamond" w:cs="Garamond"/>
          <w:color w:val="000000" w:themeColor="text1"/>
        </w:rPr>
        <w:t>,</w:t>
      </w:r>
      <w:r w:rsidR="0B375F39" w:rsidRPr="61CF619C">
        <w:rPr>
          <w:rFonts w:eastAsia="Garamond" w:cs="Garamond"/>
          <w:color w:val="000000" w:themeColor="text1"/>
        </w:rPr>
        <w:t xml:space="preserve"> </w:t>
      </w:r>
      <w:r w:rsidR="1837F557" w:rsidRPr="61CF619C">
        <w:rPr>
          <w:rFonts w:eastAsia="Garamond" w:cs="Garamond"/>
          <w:color w:val="000000" w:themeColor="text1"/>
        </w:rPr>
        <w:t>while</w:t>
      </w:r>
      <w:r w:rsidRPr="61CF619C">
        <w:rPr>
          <w:rFonts w:eastAsia="Garamond" w:cs="Garamond"/>
          <w:color w:val="000000" w:themeColor="text1"/>
        </w:rPr>
        <w:t xml:space="preserve"> the amount mapped to the Red Bluff substation is selected to not exceed the estimated transmission limit in the Riverside Palm Spring inner zone.</w:t>
      </w:r>
      <w:r w:rsidR="00D95DCB" w:rsidRPr="0065247B">
        <w:rPr>
          <w:rFonts w:eastAsia="Garamond" w:cs="Garamond"/>
          <w:color w:val="000000" w:themeColor="text1"/>
        </w:rPr>
        <w:fldChar w:fldCharType="begin"/>
      </w:r>
      <w:r w:rsidR="00D95DCB" w:rsidRPr="0065247B">
        <w:rPr>
          <w:rFonts w:eastAsia="Garamond" w:cs="Garamond"/>
          <w:color w:val="000000" w:themeColor="text1"/>
        </w:rPr>
        <w:instrText xml:space="preserve"> REF _Ref59120533 \r \h </w:instrText>
      </w:r>
      <w:r w:rsidR="00D95DCB" w:rsidRPr="0065247B">
        <w:rPr>
          <w:rFonts w:eastAsia="Garamond" w:cs="Garamond"/>
          <w:color w:val="000000" w:themeColor="text1"/>
        </w:rPr>
      </w:r>
      <w:r w:rsidR="00D95DCB" w:rsidRPr="0065247B">
        <w:rPr>
          <w:rFonts w:eastAsia="Garamond" w:cs="Garamond"/>
          <w:color w:val="000000" w:themeColor="text1"/>
        </w:rPr>
        <w:fldChar w:fldCharType="end"/>
      </w:r>
    </w:p>
    <w:p w14:paraId="34319CB1" w14:textId="0BF475A4" w:rsidR="6491380D" w:rsidRDefault="38716FF1" w:rsidP="057D115D">
      <w:pPr>
        <w:spacing w:after="120"/>
        <w:rPr>
          <w:rFonts w:eastAsia="Garamond" w:cs="Garamond"/>
          <w:color w:val="000000" w:themeColor="text1"/>
        </w:rPr>
      </w:pPr>
      <w:r w:rsidRPr="057D115D">
        <w:rPr>
          <w:rFonts w:eastAsia="Garamond" w:cs="Garamond"/>
          <w:b/>
          <w:bCs/>
          <w:color w:val="000000" w:themeColor="text1"/>
        </w:rPr>
        <w:t>Round 2 Battery Mapping</w:t>
      </w:r>
    </w:p>
    <w:p w14:paraId="4DFC80EC" w14:textId="54F28D22" w:rsidR="6491380D" w:rsidRDefault="2163DEAF" w:rsidP="00A24A87">
      <w:pPr>
        <w:spacing w:after="120"/>
        <w:rPr>
          <w:rFonts w:eastAsia="Garamond" w:cs="Garamond"/>
          <w:color w:val="000000" w:themeColor="text1"/>
        </w:rPr>
      </w:pPr>
      <w:r w:rsidRPr="40A5FC40">
        <w:rPr>
          <w:rFonts w:eastAsia="Garamond" w:cs="Garamond"/>
          <w:color w:val="000000" w:themeColor="text1"/>
        </w:rPr>
        <w:t xml:space="preserve">With these adjustments </w:t>
      </w:r>
      <w:r w:rsidR="618922D0" w:rsidRPr="40A5FC40">
        <w:rPr>
          <w:rFonts w:eastAsia="Garamond" w:cs="Garamond"/>
          <w:color w:val="000000" w:themeColor="text1"/>
        </w:rPr>
        <w:t>listed above</w:t>
      </w:r>
      <w:r w:rsidRPr="40A5FC40">
        <w:rPr>
          <w:rFonts w:eastAsia="Garamond" w:cs="Garamond"/>
          <w:color w:val="000000" w:themeColor="text1"/>
        </w:rPr>
        <w:t xml:space="preserve"> in place, staff then mapped the batteries to busbars.</w:t>
      </w:r>
    </w:p>
    <w:p w14:paraId="0210ABE7" w14:textId="00A1B4CC" w:rsidR="43D5B6B0" w:rsidRDefault="11D8A779" w:rsidP="6EADE052">
      <w:pPr>
        <w:spacing w:after="120"/>
        <w:rPr>
          <w:rFonts w:asciiTheme="minorHAnsi" w:eastAsiaTheme="minorEastAsia" w:hAnsiTheme="minorHAnsi" w:cstheme="minorBidi"/>
        </w:rPr>
      </w:pPr>
      <w:r>
        <w:t>After accounting for baseline reconciliation</w:t>
      </w:r>
      <w:r w:rsidR="2C619A96">
        <w:t xml:space="preserve"> as noted in Section </w:t>
      </w:r>
      <w:r w:rsidR="00D95DCB">
        <w:fldChar w:fldCharType="begin"/>
      </w:r>
      <w:r w:rsidR="00D95DCB">
        <w:instrText xml:space="preserve"> REF _Ref36201141 \r \h </w:instrText>
      </w:r>
      <w:r w:rsidR="00D95DCB">
        <w:fldChar w:fldCharType="separate"/>
      </w:r>
      <w:r w:rsidR="003B7A14">
        <w:t>4</w:t>
      </w:r>
      <w:r w:rsidR="00D95DCB">
        <w:fldChar w:fldCharType="end"/>
      </w:r>
      <w:r>
        <w:t xml:space="preserve">, </w:t>
      </w:r>
      <w:r w:rsidR="363B499B">
        <w:t>7,604</w:t>
      </w:r>
      <w:r>
        <w:t xml:space="preserve"> MW of battery storage was mapped for this sensitivity. As described above, in Round 1 the following non-battery resources were mapped: </w:t>
      </w:r>
      <w:r w:rsidR="041800E7">
        <w:t>5,2</w:t>
      </w:r>
      <w:r w:rsidR="5A79D70A">
        <w:t>30</w:t>
      </w:r>
      <w:r>
        <w:t xml:space="preserve"> MW of FD solar resources, </w:t>
      </w:r>
      <w:r w:rsidR="7990F6B8">
        <w:t>9,538</w:t>
      </w:r>
      <w:r>
        <w:t xml:space="preserve"> MW of FD wind resources, and 1,</w:t>
      </w:r>
      <w:r w:rsidR="6AA9DEAD">
        <w:t>495</w:t>
      </w:r>
      <w:r>
        <w:t xml:space="preserve"> MW of FD pumped storage hydro resources.</w:t>
      </w:r>
    </w:p>
    <w:p w14:paraId="286C2E5C" w14:textId="4F7D28A8" w:rsidR="43D5B6B0" w:rsidRDefault="35271C7C" w:rsidP="00A24A87">
      <w:pPr>
        <w:rPr>
          <w:rFonts w:asciiTheme="minorHAnsi" w:eastAsiaTheme="minorEastAsia" w:hAnsiTheme="minorHAnsi" w:cstheme="minorBidi"/>
        </w:rPr>
      </w:pPr>
      <w:r>
        <w:t xml:space="preserve">After the implementation of battery mapping steps 1 through </w:t>
      </w:r>
      <w:r w:rsidR="77786B86">
        <w:t>8</w:t>
      </w:r>
      <w:r>
        <w:t>, CPUC staff identified the following initial results:</w:t>
      </w:r>
    </w:p>
    <w:p w14:paraId="7C411D8D" w14:textId="40222F6B" w:rsidR="43D5B6B0" w:rsidRDefault="5D66DFC1" w:rsidP="00C81FE0">
      <w:pPr>
        <w:pStyle w:val="ListParagraph"/>
        <w:numPr>
          <w:ilvl w:val="0"/>
          <w:numId w:val="15"/>
        </w:numPr>
        <w:rPr>
          <w:rFonts w:asciiTheme="minorHAnsi" w:eastAsiaTheme="minorEastAsia" w:hAnsiTheme="minorHAnsi" w:cstheme="minorBidi"/>
        </w:rPr>
      </w:pPr>
      <w:r>
        <w:t>No substation</w:t>
      </w:r>
      <w:r w:rsidR="04A79251">
        <w:t>s</w:t>
      </w:r>
      <w:r>
        <w:t xml:space="preserve"> with available transmission headroom in the outer renewable transmission zone</w:t>
      </w:r>
      <w:r w:rsidR="14E32DBF">
        <w:t>s</w:t>
      </w:r>
      <w:r>
        <w:t>.</w:t>
      </w:r>
    </w:p>
    <w:p w14:paraId="77E69902" w14:textId="1673A5E3" w:rsidR="43D5B6B0" w:rsidRDefault="43D5B6B0" w:rsidP="00C81FE0">
      <w:pPr>
        <w:pStyle w:val="ListParagraph"/>
        <w:numPr>
          <w:ilvl w:val="0"/>
          <w:numId w:val="15"/>
        </w:numPr>
        <w:rPr>
          <w:rFonts w:asciiTheme="minorHAnsi" w:eastAsiaTheme="minorEastAsia" w:hAnsiTheme="minorHAnsi" w:cstheme="minorBidi"/>
        </w:rPr>
      </w:pPr>
      <w:r>
        <w:t xml:space="preserve">20 substations within LCR </w:t>
      </w:r>
      <w:r w:rsidR="335F8EB5">
        <w:t>a</w:t>
      </w:r>
      <w:r>
        <w:t xml:space="preserve">reas within the renewable transmission zones, 17 substations within LCR </w:t>
      </w:r>
      <w:r w:rsidR="11766E73">
        <w:t>a</w:t>
      </w:r>
      <w:r>
        <w:t xml:space="preserve">reas within the </w:t>
      </w:r>
      <w:r w:rsidR="4B5FC05C">
        <w:t>“Ex” zones</w:t>
      </w:r>
      <w:r>
        <w:t>.</w:t>
      </w:r>
    </w:p>
    <w:p w14:paraId="1BE4998A" w14:textId="42CAC0E8" w:rsidR="43D5B6B0" w:rsidRDefault="43D5B6B0" w:rsidP="00C81FE0">
      <w:pPr>
        <w:pStyle w:val="ListParagraph"/>
        <w:numPr>
          <w:ilvl w:val="0"/>
          <w:numId w:val="15"/>
        </w:numPr>
        <w:rPr>
          <w:rFonts w:asciiTheme="minorHAnsi" w:eastAsiaTheme="minorEastAsia" w:hAnsiTheme="minorHAnsi" w:cstheme="minorBidi"/>
          <w:szCs w:val="24"/>
        </w:rPr>
      </w:pPr>
      <w:r>
        <w:t xml:space="preserve">17 substations within DACs within the renewable transmission zones, 28 substations within DACs within the </w:t>
      </w:r>
      <w:r w:rsidR="7CFAC9C6">
        <w:t>“Ex” zones</w:t>
      </w:r>
      <w:r>
        <w:t>.</w:t>
      </w:r>
    </w:p>
    <w:p w14:paraId="5453A6B4" w14:textId="2CC25D28" w:rsidR="43D5B6B0" w:rsidRDefault="43D5B6B0" w:rsidP="00C81FE0">
      <w:pPr>
        <w:pStyle w:val="ListParagraph"/>
        <w:numPr>
          <w:ilvl w:val="0"/>
          <w:numId w:val="15"/>
        </w:numPr>
        <w:rPr>
          <w:rFonts w:asciiTheme="minorHAnsi" w:eastAsiaTheme="minorEastAsia" w:hAnsiTheme="minorHAnsi" w:cstheme="minorBidi"/>
        </w:rPr>
      </w:pPr>
      <w:r>
        <w:t xml:space="preserve">52 substations within non-attainment areas within the renewable transmission zones, 74 substations within non-attainment areas within the </w:t>
      </w:r>
      <w:r w:rsidR="615057C7">
        <w:t>“Ex” zones</w:t>
      </w:r>
      <w:r>
        <w:t>.</w:t>
      </w:r>
    </w:p>
    <w:p w14:paraId="75D4ECC8" w14:textId="4B3AD86C" w:rsidR="43D5B6B0" w:rsidRDefault="43D5B6B0" w:rsidP="00C81FE0">
      <w:pPr>
        <w:pStyle w:val="ListParagraph"/>
        <w:numPr>
          <w:ilvl w:val="0"/>
          <w:numId w:val="15"/>
        </w:numPr>
        <w:spacing w:after="120"/>
        <w:rPr>
          <w:rFonts w:asciiTheme="minorHAnsi" w:eastAsiaTheme="minorEastAsia" w:hAnsiTheme="minorHAnsi" w:cstheme="minorBidi"/>
        </w:rPr>
      </w:pPr>
      <w:r>
        <w:t xml:space="preserve">38,377 MW of battery commercial interest within the renewable transmission zones, 3,178 MW of battery commercial interest within the </w:t>
      </w:r>
      <w:r w:rsidR="2CDA9C5F">
        <w:t>“Ex” zones</w:t>
      </w:r>
      <w:r>
        <w:t>.</w:t>
      </w:r>
    </w:p>
    <w:p w14:paraId="61C76B1C" w14:textId="33955169" w:rsidR="43D5B6B0" w:rsidRDefault="6893ED32" w:rsidP="00A24A87">
      <w:pPr>
        <w:rPr>
          <w:rFonts w:asciiTheme="minorHAnsi" w:eastAsiaTheme="minorEastAsia" w:hAnsiTheme="minorHAnsi" w:cstheme="minorBidi"/>
        </w:rPr>
      </w:pPr>
      <w:r>
        <w:t>CPUC staff mapped the battery resources in the following manner while implementing steps 9a through e:</w:t>
      </w:r>
    </w:p>
    <w:p w14:paraId="3AC00398" w14:textId="7070F1A2" w:rsidR="43D5B6B0" w:rsidRDefault="43D5B6B0" w:rsidP="00C81FE0">
      <w:pPr>
        <w:pStyle w:val="ListParagraph"/>
        <w:numPr>
          <w:ilvl w:val="0"/>
          <w:numId w:val="15"/>
        </w:numPr>
        <w:rPr>
          <w:rFonts w:asciiTheme="minorHAnsi" w:eastAsiaTheme="minorEastAsia" w:hAnsiTheme="minorHAnsi" w:cstheme="minorBidi"/>
        </w:rPr>
      </w:pPr>
      <w:r>
        <w:t xml:space="preserve">2,008 MW of stand-alone battery resources providing LCR and system RA located entirely in </w:t>
      </w:r>
      <w:r w:rsidR="3F869DCD">
        <w:t>“Ex” zones</w:t>
      </w:r>
      <w:r>
        <w:t>.</w:t>
      </w:r>
    </w:p>
    <w:p w14:paraId="70E93B48" w14:textId="6F073DA4" w:rsidR="43D5B6B0" w:rsidRDefault="43D5B6B0" w:rsidP="00C81FE0">
      <w:pPr>
        <w:pStyle w:val="ListParagraph"/>
        <w:numPr>
          <w:ilvl w:val="0"/>
          <w:numId w:val="15"/>
        </w:numPr>
        <w:rPr>
          <w:rFonts w:asciiTheme="minorHAnsi" w:eastAsiaTheme="minorEastAsia" w:hAnsiTheme="minorHAnsi" w:cstheme="minorBidi"/>
        </w:rPr>
      </w:pPr>
      <w:r>
        <w:t xml:space="preserve">1,170 MW of stand-alone battery resources providing system-only RA located entirely in </w:t>
      </w:r>
      <w:r w:rsidR="1B40694F">
        <w:t>“Ex” zones</w:t>
      </w:r>
      <w:r>
        <w:t>.</w:t>
      </w:r>
    </w:p>
    <w:p w14:paraId="4CB14108" w14:textId="2D8AE3D8" w:rsidR="43D5B6B0" w:rsidRDefault="64DBAB7B" w:rsidP="00C81FE0">
      <w:pPr>
        <w:pStyle w:val="ListParagraph"/>
        <w:numPr>
          <w:ilvl w:val="0"/>
          <w:numId w:val="15"/>
        </w:numPr>
        <w:spacing w:after="120"/>
        <w:rPr>
          <w:rFonts w:asciiTheme="minorHAnsi" w:eastAsiaTheme="minorEastAsia" w:hAnsiTheme="minorHAnsi" w:cstheme="minorBidi"/>
        </w:rPr>
      </w:pPr>
      <w:r>
        <w:t>4</w:t>
      </w:r>
      <w:r w:rsidR="3A3B124D">
        <w:t>,</w:t>
      </w:r>
      <w:r w:rsidR="3D76162B">
        <w:t>337</w:t>
      </w:r>
      <w:r w:rsidR="43D5B6B0">
        <w:t xml:space="preserve"> MW of co-located solar + battery resources located in the renewable transmission zones</w:t>
      </w:r>
      <w:r w:rsidR="430C1E0D">
        <w:t>.</w:t>
      </w:r>
    </w:p>
    <w:p w14:paraId="38C1855E" w14:textId="1FC1DE5C" w:rsidR="43D5B6B0" w:rsidRDefault="5F3F215B" w:rsidP="00C81FE0">
      <w:pPr>
        <w:spacing w:after="120"/>
      </w:pPr>
      <w:r>
        <w:t xml:space="preserve">With the total of </w:t>
      </w:r>
      <w:r w:rsidR="6FB6C86B">
        <w:t>7</w:t>
      </w:r>
      <w:r w:rsidR="4F37926B">
        <w:t>,5</w:t>
      </w:r>
      <w:r w:rsidR="3D4642B5">
        <w:t>1</w:t>
      </w:r>
      <w:r w:rsidR="0682FC7C">
        <w:t>4</w:t>
      </w:r>
      <w:r>
        <w:t xml:space="preserve"> MW of battery resources initially mapped, </w:t>
      </w:r>
      <w:r w:rsidR="50E6F0D1">
        <w:t>CPUC</w:t>
      </w:r>
      <w:r>
        <w:t xml:space="preserve"> staff implemented step 9f. This involved further interaction with the non-battery mapping Dashboard and checking consistency with the previous year’s mapping to identify suitable substations for siting the remaining </w:t>
      </w:r>
      <w:r w:rsidR="2605FE9A">
        <w:t>9</w:t>
      </w:r>
      <w:r w:rsidR="099B7825">
        <w:t>0</w:t>
      </w:r>
      <w:r>
        <w:t xml:space="preserve"> MW of battery resources. </w:t>
      </w:r>
      <w:r w:rsidR="50C45FF1">
        <w:t xml:space="preserve">CPUC staff </w:t>
      </w:r>
      <w:r w:rsidR="46CAD5A5">
        <w:t xml:space="preserve">manually allocated the </w:t>
      </w:r>
      <w:r w:rsidR="53D2E185">
        <w:t xml:space="preserve">remaining battery resources </w:t>
      </w:r>
      <w:r w:rsidR="76E7F950">
        <w:t xml:space="preserve">in the following manner </w:t>
      </w:r>
      <w:r w:rsidR="048C967C">
        <w:t xml:space="preserve">to be consistent with the non-battery </w:t>
      </w:r>
      <w:r w:rsidR="61539DB8">
        <w:t>reallocations:</w:t>
      </w:r>
    </w:p>
    <w:p w14:paraId="43B946D7" w14:textId="1573164C" w:rsidR="43D5B6B0" w:rsidRDefault="7DB59315" w:rsidP="005169DA">
      <w:pPr>
        <w:pStyle w:val="ListParagraph"/>
        <w:numPr>
          <w:ilvl w:val="0"/>
          <w:numId w:val="117"/>
        </w:numPr>
        <w:rPr>
          <w:rFonts w:asciiTheme="minorHAnsi" w:eastAsiaTheme="minorEastAsia" w:hAnsiTheme="minorHAnsi" w:cstheme="minorBidi"/>
        </w:rPr>
      </w:pPr>
      <w:r>
        <w:t>9</w:t>
      </w:r>
      <w:r w:rsidR="3F08BDDB">
        <w:t>0</w:t>
      </w:r>
      <w:r w:rsidR="7C832E98">
        <w:t xml:space="preserve"> MW to </w:t>
      </w:r>
      <w:r w:rsidR="560A338D">
        <w:t>Mohave 500 kV</w:t>
      </w:r>
      <w:r w:rsidR="7C832E98">
        <w:t xml:space="preserve"> substation</w:t>
      </w:r>
    </w:p>
    <w:p w14:paraId="4D338E1C" w14:textId="3F2E13C2" w:rsidR="43D5B6B0" w:rsidRDefault="43D5B6B0" w:rsidP="77E596D0">
      <w:pPr>
        <w:ind w:left="0"/>
      </w:pPr>
    </w:p>
    <w:p w14:paraId="17B0865F" w14:textId="57ECA284" w:rsidR="76530DB8" w:rsidRDefault="76904F5C" w:rsidP="057D115D">
      <w:pPr>
        <w:rPr>
          <w:rFonts w:eastAsia="Garamond" w:cs="Garamond"/>
          <w:color w:val="000000" w:themeColor="text1"/>
        </w:rPr>
      </w:pPr>
      <w:r w:rsidRPr="057D115D">
        <w:rPr>
          <w:rFonts w:eastAsia="Garamond" w:cs="Garamond"/>
          <w:b/>
          <w:bCs/>
          <w:color w:val="000000" w:themeColor="text1"/>
        </w:rPr>
        <w:lastRenderedPageBreak/>
        <w:t>Proposed Adjustments for Round 3 of Mapping</w:t>
      </w:r>
    </w:p>
    <w:p w14:paraId="5C3C6388" w14:textId="244096E4" w:rsidR="76530DB8" w:rsidRDefault="58B0C298">
      <w:pPr>
        <w:rPr>
          <w:rFonts w:eastAsia="Garamond" w:cs="Garamond"/>
          <w:color w:val="000000" w:themeColor="text1"/>
        </w:rPr>
      </w:pPr>
      <w:r w:rsidRPr="4E1893D1">
        <w:rPr>
          <w:rFonts w:eastAsia="Garamond" w:cs="Garamond"/>
          <w:color w:val="000000" w:themeColor="text1"/>
        </w:rPr>
        <w:t xml:space="preserve">The </w:t>
      </w:r>
      <w:r w:rsidR="76530DB8" w:rsidRPr="4E1893D1">
        <w:rPr>
          <w:rFonts w:eastAsia="Garamond" w:cs="Garamond"/>
          <w:color w:val="000000" w:themeColor="text1"/>
        </w:rPr>
        <w:t xml:space="preserve">January 2021 PD included the results of Round 2 of mapping </w:t>
      </w:r>
      <w:r w:rsidR="32BEBF11" w:rsidRPr="4E1893D1">
        <w:rPr>
          <w:rFonts w:eastAsia="Garamond" w:cs="Garamond"/>
          <w:color w:val="000000" w:themeColor="text1"/>
        </w:rPr>
        <w:t>with the adjustments noted above.</w:t>
      </w:r>
      <w:r w:rsidR="76530DB8" w:rsidRPr="4E1893D1">
        <w:rPr>
          <w:rFonts w:eastAsia="Garamond" w:cs="Garamond"/>
          <w:color w:val="000000" w:themeColor="text1"/>
        </w:rPr>
        <w:t xml:space="preserve"> </w:t>
      </w:r>
      <w:r w:rsidR="00AC2A7F">
        <w:rPr>
          <w:rFonts w:eastAsia="Garamond" w:cs="Garamond"/>
          <w:color w:val="000000" w:themeColor="text1"/>
        </w:rPr>
        <w:t>P</w:t>
      </w:r>
      <w:r w:rsidR="00AC2A7F" w:rsidRPr="4E1893D1">
        <w:rPr>
          <w:rFonts w:eastAsia="Garamond" w:cs="Garamond"/>
          <w:color w:val="000000" w:themeColor="text1"/>
        </w:rPr>
        <w:t xml:space="preserve">arties </w:t>
      </w:r>
      <w:r w:rsidR="76530DB8" w:rsidRPr="4E1893D1">
        <w:rPr>
          <w:rFonts w:eastAsia="Garamond" w:cs="Garamond"/>
          <w:color w:val="000000" w:themeColor="text1"/>
        </w:rPr>
        <w:t xml:space="preserve">were able to review and provide comments on the mapping. Following </w:t>
      </w:r>
      <w:r w:rsidR="7E29CA7E" w:rsidRPr="4E1893D1">
        <w:rPr>
          <w:rFonts w:eastAsia="Garamond" w:cs="Garamond"/>
          <w:color w:val="000000" w:themeColor="text1"/>
        </w:rPr>
        <w:t>party</w:t>
      </w:r>
      <w:r w:rsidR="76530DB8" w:rsidRPr="4E1893D1">
        <w:rPr>
          <w:rFonts w:eastAsia="Garamond" w:cs="Garamond"/>
          <w:color w:val="000000" w:themeColor="text1"/>
        </w:rPr>
        <w:t xml:space="preserve"> comment and replies to the PD, staff </w:t>
      </w:r>
      <w:r w:rsidR="6B5CCA26" w:rsidRPr="4E1893D1">
        <w:rPr>
          <w:rFonts w:eastAsia="Garamond" w:cs="Garamond"/>
          <w:color w:val="000000" w:themeColor="text1"/>
        </w:rPr>
        <w:t xml:space="preserve">implemented </w:t>
      </w:r>
      <w:r w:rsidR="76530DB8" w:rsidRPr="4E1893D1">
        <w:rPr>
          <w:rFonts w:eastAsia="Garamond" w:cs="Garamond"/>
          <w:color w:val="000000" w:themeColor="text1"/>
        </w:rPr>
        <w:t xml:space="preserve">the following </w:t>
      </w:r>
      <w:r w:rsidR="2A7E0A72" w:rsidRPr="4E1893D1">
        <w:rPr>
          <w:rFonts w:eastAsia="Garamond" w:cs="Garamond"/>
          <w:color w:val="000000" w:themeColor="text1"/>
        </w:rPr>
        <w:t xml:space="preserve">mapping </w:t>
      </w:r>
      <w:r w:rsidR="76530DB8" w:rsidRPr="4E1893D1">
        <w:rPr>
          <w:rFonts w:eastAsia="Garamond" w:cs="Garamond"/>
          <w:color w:val="000000" w:themeColor="text1"/>
        </w:rPr>
        <w:t>adjustments</w:t>
      </w:r>
      <w:r w:rsidR="0AB19893" w:rsidRPr="4E1893D1">
        <w:rPr>
          <w:rFonts w:eastAsia="Garamond" w:cs="Garamond"/>
          <w:color w:val="000000" w:themeColor="text1"/>
        </w:rPr>
        <w:t xml:space="preserve"> to non-battery and batter</w:t>
      </w:r>
      <w:r w:rsidR="1D03F166" w:rsidRPr="4E1893D1">
        <w:rPr>
          <w:rFonts w:eastAsia="Garamond" w:cs="Garamond"/>
          <w:color w:val="000000" w:themeColor="text1"/>
        </w:rPr>
        <w:t>y resources</w:t>
      </w:r>
      <w:r w:rsidR="4456AF20" w:rsidRPr="00B63666">
        <w:rPr>
          <w:rFonts w:eastAsia="Garamond" w:cs="Garamond"/>
          <w:color w:val="000000" w:themeColor="text1"/>
        </w:rPr>
        <w:t>:</w:t>
      </w:r>
    </w:p>
    <w:p w14:paraId="2B482416" w14:textId="5D8BBDF7" w:rsidR="3C1CF77B" w:rsidRDefault="3C1CF77B" w:rsidP="4E1893D1">
      <w:pPr>
        <w:pStyle w:val="ListParagraph"/>
        <w:numPr>
          <w:ilvl w:val="0"/>
          <w:numId w:val="117"/>
        </w:numPr>
        <w:rPr>
          <w:color w:val="000000" w:themeColor="text1"/>
          <w:szCs w:val="24"/>
        </w:rPr>
      </w:pPr>
      <w:r w:rsidRPr="4E1893D1">
        <w:rPr>
          <w:rFonts w:eastAsia="Garamond" w:cs="Garamond"/>
          <w:color w:val="000000" w:themeColor="text1"/>
        </w:rPr>
        <w:t xml:space="preserve">Pumped Storage Hydro: </w:t>
      </w:r>
      <w:r w:rsidR="1733C855" w:rsidRPr="4E1893D1">
        <w:rPr>
          <w:rFonts w:eastAsia="Garamond" w:cs="Garamond"/>
          <w:color w:val="000000" w:themeColor="text1"/>
        </w:rPr>
        <w:t>remap 500 MW of pumped storage hydro</w:t>
      </w:r>
      <w:r w:rsidR="7CE94CF3" w:rsidRPr="4E1893D1">
        <w:rPr>
          <w:rFonts w:eastAsia="Garamond" w:cs="Garamond"/>
          <w:color w:val="000000" w:themeColor="text1"/>
        </w:rPr>
        <w:t xml:space="preserve"> mapped </w:t>
      </w:r>
      <w:r w:rsidR="7FAE3963" w:rsidRPr="4E1893D1">
        <w:rPr>
          <w:rFonts w:eastAsia="Garamond" w:cs="Garamond"/>
          <w:color w:val="000000" w:themeColor="text1"/>
        </w:rPr>
        <w:t xml:space="preserve">to the Red Bluff substation to the Sycamore Canyon substation. This remapping results in the following </w:t>
      </w:r>
      <w:r w:rsidR="7141745C" w:rsidRPr="4E1893D1">
        <w:rPr>
          <w:rFonts w:eastAsia="Garamond" w:cs="Garamond"/>
          <w:color w:val="000000" w:themeColor="text1"/>
        </w:rPr>
        <w:t xml:space="preserve">distribution </w:t>
      </w:r>
      <w:r w:rsidR="7FAE3963" w:rsidRPr="4E1893D1">
        <w:rPr>
          <w:rFonts w:eastAsia="Garamond" w:cs="Garamond"/>
          <w:color w:val="000000" w:themeColor="text1"/>
        </w:rPr>
        <w:t xml:space="preserve">of pumped </w:t>
      </w:r>
      <w:r w:rsidR="17C0F728" w:rsidRPr="4E1893D1">
        <w:rPr>
          <w:rFonts w:eastAsia="Garamond" w:cs="Garamond"/>
          <w:color w:val="000000" w:themeColor="text1"/>
        </w:rPr>
        <w:t>storage h</w:t>
      </w:r>
      <w:r w:rsidR="023B10E0" w:rsidRPr="4E1893D1">
        <w:rPr>
          <w:rFonts w:eastAsia="Garamond" w:cs="Garamond"/>
          <w:color w:val="000000" w:themeColor="text1"/>
        </w:rPr>
        <w:t xml:space="preserve">ydro: 500 MW at Lee Lake substation, 500 MW at Sycamore Canyon substation, and 495 MW at Red Bluff substation. The reasons noted </w:t>
      </w:r>
      <w:r w:rsidR="639CD731" w:rsidRPr="4E1893D1">
        <w:rPr>
          <w:rFonts w:eastAsia="Garamond" w:cs="Garamond"/>
          <w:color w:val="000000" w:themeColor="text1"/>
        </w:rPr>
        <w:t xml:space="preserve">in Analysis Sections 6.1 and 6.2 </w:t>
      </w:r>
      <w:r w:rsidR="023B10E0" w:rsidRPr="4E1893D1">
        <w:rPr>
          <w:rFonts w:eastAsia="Garamond" w:cs="Garamond"/>
          <w:color w:val="000000" w:themeColor="text1"/>
        </w:rPr>
        <w:t xml:space="preserve">for similar </w:t>
      </w:r>
      <w:proofErr w:type="spellStart"/>
      <w:r w:rsidR="023B10E0" w:rsidRPr="4E1893D1">
        <w:rPr>
          <w:rFonts w:eastAsia="Garamond" w:cs="Garamond"/>
          <w:color w:val="000000" w:themeColor="text1"/>
        </w:rPr>
        <w:t>remappings</w:t>
      </w:r>
      <w:proofErr w:type="spellEnd"/>
      <w:r w:rsidR="65EB7482" w:rsidRPr="4E1893D1">
        <w:rPr>
          <w:rFonts w:eastAsia="Garamond" w:cs="Garamond"/>
          <w:color w:val="000000" w:themeColor="text1"/>
        </w:rPr>
        <w:t xml:space="preserve"> of pumped storage hydro resources</w:t>
      </w:r>
      <w:r w:rsidR="023B10E0" w:rsidRPr="4E1893D1">
        <w:rPr>
          <w:rFonts w:eastAsia="Garamond" w:cs="Garamond"/>
          <w:color w:val="000000" w:themeColor="text1"/>
        </w:rPr>
        <w:t xml:space="preserve"> in the 46 MMT </w:t>
      </w:r>
      <w:r w:rsidR="7388F975" w:rsidRPr="4E1893D1">
        <w:rPr>
          <w:rFonts w:eastAsia="Garamond" w:cs="Garamond"/>
          <w:color w:val="000000" w:themeColor="text1"/>
        </w:rPr>
        <w:t>and 38 MMT portfolios</w:t>
      </w:r>
      <w:r w:rsidR="0F186923" w:rsidRPr="4E1893D1">
        <w:rPr>
          <w:rFonts w:eastAsia="Garamond" w:cs="Garamond"/>
          <w:color w:val="000000" w:themeColor="text1"/>
        </w:rPr>
        <w:t xml:space="preserve"> apply to this adjustment.</w:t>
      </w:r>
    </w:p>
    <w:p w14:paraId="5DB197A6" w14:textId="3D4D5073" w:rsidR="3C1CF77B" w:rsidRDefault="3C1CF77B" w:rsidP="4E1893D1">
      <w:pPr>
        <w:pStyle w:val="ListParagraph"/>
        <w:numPr>
          <w:ilvl w:val="0"/>
          <w:numId w:val="117"/>
        </w:numPr>
        <w:rPr>
          <w:rFonts w:asciiTheme="minorHAnsi" w:eastAsiaTheme="minorEastAsia" w:hAnsiTheme="minorHAnsi" w:cstheme="minorBidi"/>
          <w:color w:val="000000" w:themeColor="text1"/>
        </w:rPr>
      </w:pPr>
      <w:r w:rsidRPr="4E1893D1">
        <w:rPr>
          <w:rFonts w:eastAsia="Garamond" w:cs="Garamond"/>
          <w:color w:val="000000" w:themeColor="text1"/>
        </w:rPr>
        <w:t xml:space="preserve">Battery </w:t>
      </w:r>
      <w:r w:rsidR="6193CDAD" w:rsidRPr="096127CA">
        <w:rPr>
          <w:rFonts w:eastAsia="Garamond" w:cs="Garamond"/>
          <w:color w:val="000000" w:themeColor="text1"/>
        </w:rPr>
        <w:t xml:space="preserve">Storage </w:t>
      </w:r>
      <w:r w:rsidRPr="4E1893D1">
        <w:rPr>
          <w:rFonts w:eastAsia="Garamond" w:cs="Garamond"/>
          <w:color w:val="000000" w:themeColor="text1"/>
        </w:rPr>
        <w:t xml:space="preserve">Adjustment: </w:t>
      </w:r>
      <w:r w:rsidR="21802F16" w:rsidRPr="096127CA">
        <w:rPr>
          <w:rFonts w:eastAsia="Garamond" w:cs="Garamond"/>
          <w:color w:val="000000" w:themeColor="text1"/>
        </w:rPr>
        <w:t>Moved</w:t>
      </w:r>
      <w:r w:rsidR="3BC84074" w:rsidRPr="4E1893D1">
        <w:rPr>
          <w:rFonts w:eastAsia="Garamond" w:cs="Garamond"/>
          <w:color w:val="000000" w:themeColor="text1"/>
        </w:rPr>
        <w:t xml:space="preserve"> 608 MW of stand-alone battery storage from the Rio Hondo substation in the LA Basin LCR Area</w:t>
      </w:r>
      <w:r w:rsidR="7B325028" w:rsidRPr="096127CA">
        <w:rPr>
          <w:rFonts w:eastAsia="Garamond" w:cs="Garamond"/>
          <w:color w:val="000000" w:themeColor="text1"/>
        </w:rPr>
        <w:t xml:space="preserve"> to other substations</w:t>
      </w:r>
      <w:r w:rsidR="3BC84074" w:rsidRPr="4E1893D1">
        <w:rPr>
          <w:rFonts w:eastAsia="Garamond" w:cs="Garamond"/>
          <w:color w:val="000000" w:themeColor="text1"/>
        </w:rPr>
        <w:t xml:space="preserve">, based on CAISO </w:t>
      </w:r>
      <w:r w:rsidR="3D4729AB" w:rsidRPr="096127CA">
        <w:rPr>
          <w:rFonts w:eastAsia="Garamond" w:cs="Garamond"/>
          <w:color w:val="000000" w:themeColor="text1"/>
        </w:rPr>
        <w:t>s</w:t>
      </w:r>
      <w:r w:rsidR="3BC84074" w:rsidRPr="096127CA">
        <w:rPr>
          <w:rFonts w:eastAsia="Garamond" w:cs="Garamond"/>
          <w:color w:val="000000" w:themeColor="text1"/>
        </w:rPr>
        <w:t>taff</w:t>
      </w:r>
      <w:r w:rsidR="3BC84074" w:rsidRPr="4E1893D1">
        <w:rPr>
          <w:rFonts w:eastAsia="Garamond" w:cs="Garamond"/>
          <w:color w:val="000000" w:themeColor="text1"/>
        </w:rPr>
        <w:t xml:space="preserve"> guidance to </w:t>
      </w:r>
      <w:r w:rsidR="0FC5867A" w:rsidRPr="096127CA">
        <w:rPr>
          <w:rFonts w:eastAsia="Garamond" w:cs="Garamond"/>
          <w:color w:val="000000" w:themeColor="text1"/>
        </w:rPr>
        <w:t>prevent</w:t>
      </w:r>
      <w:r w:rsidR="3BC84074" w:rsidRPr="4E1893D1">
        <w:rPr>
          <w:rFonts w:eastAsia="Garamond" w:cs="Garamond"/>
          <w:color w:val="000000" w:themeColor="text1"/>
        </w:rPr>
        <w:t xml:space="preserve"> worsening the Mesa – Laguna-Bell transmission constraint</w:t>
      </w:r>
      <w:r w:rsidR="38A227D2" w:rsidRPr="096127CA">
        <w:rPr>
          <w:rFonts w:eastAsia="Garamond" w:cs="Garamond"/>
          <w:color w:val="000000" w:themeColor="text1"/>
        </w:rPr>
        <w:t>. The 608 MW of battery storage was distributed</w:t>
      </w:r>
      <w:r w:rsidR="3BC84074" w:rsidRPr="4E1893D1">
        <w:rPr>
          <w:rFonts w:eastAsia="Garamond" w:cs="Garamond"/>
          <w:color w:val="000000" w:themeColor="text1"/>
        </w:rPr>
        <w:t xml:space="preserve"> to the following substations in the San Diego-Imperial Valley LCR Area: Talega 138 kV (200 MW), Trabuco 138 kV (250 MW), and Encina 138 KV (160 MW).</w:t>
      </w:r>
    </w:p>
    <w:p w14:paraId="5FC43B01" w14:textId="77777777" w:rsidR="006E3DEF" w:rsidRDefault="006E3DEF" w:rsidP="00C55A31"/>
    <w:p w14:paraId="6C772A18" w14:textId="64D879C4" w:rsidR="0367DBBD" w:rsidRPr="00C55A31" w:rsidRDefault="0367DBBD" w:rsidP="00C55A31">
      <w:r w:rsidRPr="00C55A31">
        <w:t>All the</w:t>
      </w:r>
      <w:r w:rsidR="4B342EA3" w:rsidRPr="00C55A31">
        <w:t xml:space="preserve"> implemented</w:t>
      </w:r>
      <w:r w:rsidRPr="00C55A31">
        <w:t xml:space="preserve"> adjustments </w:t>
      </w:r>
      <w:r w:rsidR="215B3B07" w:rsidRPr="00C55A31">
        <w:t>to the battery</w:t>
      </w:r>
      <w:r w:rsidR="5B368E42" w:rsidRPr="00C55A31">
        <w:t xml:space="preserve"> storage</w:t>
      </w:r>
      <w:r w:rsidR="215B3B07" w:rsidRPr="00C55A31">
        <w:t xml:space="preserve"> mapping</w:t>
      </w:r>
      <w:r w:rsidRPr="00C55A31">
        <w:t xml:space="preserve"> </w:t>
      </w:r>
      <w:r w:rsidR="161B7B8E" w:rsidRPr="00C55A31">
        <w:t>led to</w:t>
      </w:r>
      <w:r w:rsidRPr="00C55A31">
        <w:t xml:space="preserve"> the following changes to the manual allocations:</w:t>
      </w:r>
    </w:p>
    <w:p w14:paraId="7AF3F6D6" w14:textId="197F3275" w:rsidR="297ACBA2" w:rsidRPr="006E3DEF" w:rsidRDefault="297ACBA2" w:rsidP="006E3DEF">
      <w:pPr>
        <w:pStyle w:val="ListParagraph"/>
        <w:numPr>
          <w:ilvl w:val="0"/>
          <w:numId w:val="117"/>
        </w:numPr>
        <w:rPr>
          <w:rFonts w:eastAsia="Garamond" w:cs="Garamond"/>
          <w:color w:val="000000" w:themeColor="text1"/>
        </w:rPr>
      </w:pPr>
      <w:r w:rsidRPr="4E1893D1">
        <w:rPr>
          <w:rFonts w:eastAsia="Garamond" w:cs="Garamond"/>
          <w:color w:val="000000" w:themeColor="text1"/>
        </w:rPr>
        <w:t>26 MW to Mohave 500 kV substation</w:t>
      </w:r>
    </w:p>
    <w:p w14:paraId="53AB2087" w14:textId="57D223E2" w:rsidR="4E1893D1" w:rsidRDefault="4E1893D1" w:rsidP="4E1893D1">
      <w:pPr>
        <w:ind w:left="0"/>
        <w:rPr>
          <w:rFonts w:eastAsia="Garamond" w:cs="Garamond"/>
          <w:color w:val="000000" w:themeColor="text1"/>
        </w:rPr>
      </w:pPr>
    </w:p>
    <w:p w14:paraId="18D641C9" w14:textId="23AA38AC" w:rsidR="43D5B6B0" w:rsidRDefault="62F60351" w:rsidP="05586258">
      <w:pPr>
        <w:rPr>
          <w:rFonts w:asciiTheme="minorHAnsi" w:eastAsiaTheme="minorEastAsia" w:hAnsiTheme="minorHAnsi" w:cstheme="minorBidi"/>
        </w:rPr>
      </w:pPr>
      <w:r>
        <w:t xml:space="preserve">With only two minor changes noted for Round 3 of mapping, the dashboard for the </w:t>
      </w:r>
      <w:r w:rsidR="00FF53D5">
        <w:t xml:space="preserve">offshore wind </w:t>
      </w:r>
      <w:r>
        <w:t xml:space="preserve">portfolio for Round 2 is not </w:t>
      </w:r>
      <w:r w:rsidR="18FB1E46">
        <w:t>displayed</w:t>
      </w:r>
      <w:r w:rsidR="00FF53D5">
        <w:t xml:space="preserve"> here</w:t>
      </w:r>
      <w:r w:rsidR="18FB1E46">
        <w:t xml:space="preserve">. The </w:t>
      </w:r>
      <w:r w:rsidR="6FC33019">
        <w:t xml:space="preserve">dashboard and the </w:t>
      </w:r>
      <w:r w:rsidR="18FB1E46">
        <w:t xml:space="preserve">final </w:t>
      </w:r>
      <w:r w:rsidR="17E33915">
        <w:t xml:space="preserve">results following </w:t>
      </w:r>
      <w:r w:rsidR="46CE7DD3">
        <w:t xml:space="preserve">Round 2 and </w:t>
      </w:r>
      <w:r w:rsidR="17E33915">
        <w:t>Round</w:t>
      </w:r>
      <w:r w:rsidR="58B0C298">
        <w:t xml:space="preserve"> </w:t>
      </w:r>
      <w:r w:rsidR="287C6ACA">
        <w:t xml:space="preserve">3 </w:t>
      </w:r>
      <w:r w:rsidR="58B0C298">
        <w:t>are</w:t>
      </w:r>
      <w:r w:rsidR="0157D567">
        <w:t xml:space="preserve"> instead</w:t>
      </w:r>
      <w:r w:rsidR="58B0C298">
        <w:t xml:space="preserve"> discussed in the Results Section </w:t>
      </w:r>
      <w:r w:rsidR="58B0C298">
        <w:fldChar w:fldCharType="begin"/>
      </w:r>
      <w:r w:rsidR="58B0C298">
        <w:instrText xml:space="preserve"> REF _Ref59120533 \r \h </w:instrText>
      </w:r>
      <w:r w:rsidR="58B0C298">
        <w:fldChar w:fldCharType="separate"/>
      </w:r>
      <w:r w:rsidR="003B7A14">
        <w:t>7.3</w:t>
      </w:r>
      <w:r w:rsidR="58B0C298">
        <w:fldChar w:fldCharType="end"/>
      </w:r>
      <w:r w:rsidR="0098150F">
        <w:t xml:space="preserve"> </w:t>
      </w:r>
      <w:r w:rsidR="58B0C298">
        <w:t>below.</w:t>
      </w:r>
    </w:p>
    <w:p w14:paraId="3EBA39E0" w14:textId="77777777" w:rsidR="00B056C8" w:rsidRPr="00B056C8" w:rsidRDefault="00B056C8" w:rsidP="00A24A87">
      <w:pPr>
        <w:ind w:left="0"/>
      </w:pPr>
    </w:p>
    <w:p w14:paraId="3705BE66" w14:textId="25AD1564" w:rsidR="0031759F" w:rsidRDefault="00E15D78" w:rsidP="00DD54CE">
      <w:pPr>
        <w:pStyle w:val="Heading2"/>
      </w:pPr>
      <w:bookmarkStart w:id="58" w:name="_Ref36100630"/>
      <w:bookmarkStart w:id="59" w:name="_Toc63669602"/>
      <w:r>
        <w:t>Results</w:t>
      </w:r>
      <w:bookmarkEnd w:id="46"/>
      <w:bookmarkEnd w:id="58"/>
      <w:bookmarkEnd w:id="59"/>
    </w:p>
    <w:p w14:paraId="459D6FBB" w14:textId="24158EBF" w:rsidR="003A6FEE" w:rsidRDefault="005568F5" w:rsidP="003F1CCD">
      <w:pPr>
        <w:ind w:left="0"/>
      </w:pPr>
      <w:r>
        <w:t xml:space="preserve">This </w:t>
      </w:r>
      <w:r w:rsidR="00C21A71">
        <w:t xml:space="preserve">section </w:t>
      </w:r>
      <w:r>
        <w:t xml:space="preserve">summarizes the </w:t>
      </w:r>
      <w:r w:rsidR="00FD4F5B">
        <w:t xml:space="preserve">results of mapping </w:t>
      </w:r>
      <w:r w:rsidR="006843F5">
        <w:t>each portfolio</w:t>
      </w:r>
      <w:r w:rsidR="008751CF">
        <w:t>.</w:t>
      </w:r>
      <w:r w:rsidR="37103778">
        <w:t xml:space="preserve"> The</w:t>
      </w:r>
      <w:r w:rsidR="24E4D890">
        <w:t xml:space="preserve">re is one section for each </w:t>
      </w:r>
      <w:r w:rsidR="37103778">
        <w:t>portfolio</w:t>
      </w:r>
      <w:r w:rsidR="5C8EB929">
        <w:t>,</w:t>
      </w:r>
      <w:r w:rsidR="37103778">
        <w:t xml:space="preserve"> begin</w:t>
      </w:r>
      <w:r w:rsidR="4EA0F8DE">
        <w:t>ning</w:t>
      </w:r>
      <w:r w:rsidR="37103778">
        <w:t xml:space="preserve"> with </w:t>
      </w:r>
      <w:r w:rsidR="794AD184">
        <w:t xml:space="preserve">a dashboard </w:t>
      </w:r>
      <w:r w:rsidR="37103778">
        <w:t>showing criteria</w:t>
      </w:r>
      <w:r w:rsidR="798312B8">
        <w:t xml:space="preserve"> compliance after Round 2</w:t>
      </w:r>
      <w:r w:rsidR="0BEA3B8B">
        <w:t xml:space="preserve"> </w:t>
      </w:r>
      <w:r w:rsidR="651E7FF7">
        <w:t xml:space="preserve">mapping </w:t>
      </w:r>
      <w:r w:rsidR="0BEA3B8B">
        <w:t>(see Methodology for criteria definitions)</w:t>
      </w:r>
      <w:r w:rsidR="1DE3E7F7">
        <w:t>, followed by a discussion of criteria exceedance flags,</w:t>
      </w:r>
      <w:r w:rsidR="63F8866B">
        <w:t xml:space="preserve"> </w:t>
      </w:r>
      <w:r w:rsidR="2FAE2D7E">
        <w:t>discussion</w:t>
      </w:r>
      <w:r w:rsidR="63F8866B">
        <w:t xml:space="preserve"> of the battery mapping, </w:t>
      </w:r>
      <w:r w:rsidR="158B39AE">
        <w:t xml:space="preserve">and a figure presenting the </w:t>
      </w:r>
      <w:r w:rsidR="6D87646B">
        <w:t xml:space="preserve">Round 2 </w:t>
      </w:r>
      <w:r w:rsidR="158B39AE">
        <w:t>results</w:t>
      </w:r>
      <w:r w:rsidR="7DBF0F5E">
        <w:t xml:space="preserve"> on a</w:t>
      </w:r>
      <w:r w:rsidR="158B39AE">
        <w:t xml:space="preserve"> geographic map. </w:t>
      </w:r>
      <w:r w:rsidR="6178116D">
        <w:t>Batteries and pumped storage hydro have been added to the dashboards to present a more complete summary of each portfoli</w:t>
      </w:r>
      <w:r w:rsidR="0EF1BC30">
        <w:t>o, though</w:t>
      </w:r>
      <w:r w:rsidR="6EB406DF">
        <w:t>, it is important to note that</w:t>
      </w:r>
      <w:r w:rsidR="0EF1BC30">
        <w:t xml:space="preserve"> </w:t>
      </w:r>
      <w:r w:rsidR="17229961">
        <w:t>the</w:t>
      </w:r>
      <w:r w:rsidR="2F2247D3">
        <w:t xml:space="preserve"> five compliance</w:t>
      </w:r>
      <w:r w:rsidR="0EF1BC30">
        <w:t xml:space="preserve"> criteria from the Methodology are</w:t>
      </w:r>
      <w:r w:rsidR="23C01364">
        <w:t xml:space="preserve"> not applied</w:t>
      </w:r>
      <w:r w:rsidR="23D19DC1">
        <w:t xml:space="preserve"> in the same manner to storage resources.</w:t>
      </w:r>
    </w:p>
    <w:p w14:paraId="3F61BF74" w14:textId="33388055" w:rsidR="003A6FEE" w:rsidRPr="000115B3" w:rsidRDefault="48DB8F90" w:rsidP="000115B3">
      <w:pPr>
        <w:pStyle w:val="Heading3"/>
      </w:pPr>
      <w:bookmarkStart w:id="60" w:name="_Ref59120600"/>
      <w:bookmarkStart w:id="61" w:name="_Ref59120617"/>
      <w:bookmarkStart w:id="62" w:name="_Toc63669603"/>
      <w:r w:rsidRPr="000115B3">
        <w:t>46 MMT with 2019 IEPR Portfolio</w:t>
      </w:r>
      <w:bookmarkEnd w:id="60"/>
      <w:bookmarkEnd w:id="61"/>
      <w:bookmarkEnd w:id="62"/>
    </w:p>
    <w:p w14:paraId="7C551D10" w14:textId="3ECF1C59" w:rsidR="008C01AD" w:rsidRDefault="1D535F62" w:rsidP="65BE3847">
      <w:r>
        <w:t xml:space="preserve">Two rounds of mapping were required to arrive at the allocations for the 46 MMT </w:t>
      </w:r>
      <w:r w:rsidR="145C1C57">
        <w:t>portfolio</w:t>
      </w:r>
      <w:r>
        <w:t xml:space="preserve"> (see Appendix </w:t>
      </w:r>
      <w:r w:rsidR="004F1509">
        <w:fldChar w:fldCharType="begin"/>
      </w:r>
      <w:r w:rsidR="004F1509">
        <w:instrText xml:space="preserve"> REF _Ref32839915 \r \h </w:instrText>
      </w:r>
      <w:r w:rsidR="004F1509">
        <w:fldChar w:fldCharType="separate"/>
      </w:r>
      <w:r w:rsidR="003B7A14">
        <w:t>B</w:t>
      </w:r>
      <w:r w:rsidR="004F1509">
        <w:fldChar w:fldCharType="end"/>
      </w:r>
      <w:r w:rsidR="00A1297A">
        <w:t xml:space="preserve"> </w:t>
      </w:r>
      <w:r>
        <w:t xml:space="preserve">for final CEC Busbar Mapping Results). A summary of the </w:t>
      </w:r>
      <w:proofErr w:type="gramStart"/>
      <w:r>
        <w:t>final results</w:t>
      </w:r>
      <w:proofErr w:type="gramEnd"/>
      <w:r>
        <w:t xml:space="preserve"> is provided in the dashboard </w:t>
      </w:r>
      <w:r w:rsidR="091BC01C">
        <w:t xml:space="preserve">in </w:t>
      </w:r>
      <w:r w:rsidR="002829AA">
        <w:fldChar w:fldCharType="begin"/>
      </w:r>
      <w:r w:rsidR="002829AA">
        <w:instrText xml:space="preserve"> REF _Ref63665406 \h </w:instrText>
      </w:r>
      <w:r w:rsidR="002829AA">
        <w:fldChar w:fldCharType="separate"/>
      </w:r>
      <w:r w:rsidR="002829AA">
        <w:t xml:space="preserve">Table </w:t>
      </w:r>
      <w:r w:rsidR="002829AA">
        <w:rPr>
          <w:noProof/>
        </w:rPr>
        <w:t>15</w:t>
      </w:r>
      <w:r w:rsidR="002829AA">
        <w:fldChar w:fldCharType="end"/>
      </w:r>
      <w:r w:rsidR="004A1A78">
        <w:t xml:space="preserve"> b</w:t>
      </w:r>
      <w:r>
        <w:t>elow.</w:t>
      </w:r>
    </w:p>
    <w:p w14:paraId="24E46013" w14:textId="77777777" w:rsidR="008C01AD" w:rsidRDefault="008C01AD" w:rsidP="65BE3847">
      <w:pPr>
        <w:sectPr w:rsidR="008C01AD">
          <w:pgSz w:w="12240" w:h="15840"/>
          <w:pgMar w:top="1440" w:right="1440" w:bottom="1440" w:left="1440" w:header="720" w:footer="720" w:gutter="0"/>
          <w:cols w:space="720"/>
          <w:docGrid w:linePitch="360"/>
        </w:sectPr>
      </w:pPr>
    </w:p>
    <w:p w14:paraId="3C94149A" w14:textId="15BF1491" w:rsidR="001D72D3" w:rsidRDefault="001D72D3" w:rsidP="005169DA">
      <w:pPr>
        <w:pStyle w:val="Caption"/>
        <w:keepNext/>
      </w:pPr>
      <w:bookmarkStart w:id="63" w:name="_Ref63665406"/>
      <w:r>
        <w:lastRenderedPageBreak/>
        <w:t xml:space="preserve">Table </w:t>
      </w:r>
      <w:r w:rsidR="00F02B49">
        <w:fldChar w:fldCharType="begin"/>
      </w:r>
      <w:r w:rsidR="00F02B49">
        <w:instrText xml:space="preserve"> SEQ Table \* ARABIC </w:instrText>
      </w:r>
      <w:r w:rsidR="00F02B49">
        <w:fldChar w:fldCharType="separate"/>
      </w:r>
      <w:r>
        <w:rPr>
          <w:noProof/>
        </w:rPr>
        <w:t>15</w:t>
      </w:r>
      <w:r w:rsidR="00F02B49">
        <w:rPr>
          <w:noProof/>
        </w:rPr>
        <w:fldChar w:fldCharType="end"/>
      </w:r>
      <w:bookmarkEnd w:id="63"/>
      <w:r>
        <w:t xml:space="preserve">. </w:t>
      </w:r>
      <w:r w:rsidRPr="001D72D3">
        <w:t>Dashboard showing compliance of busbar allocations for the 46 MMT Portfolio, following Round 3 of mapping, with the criteria</w:t>
      </w:r>
    </w:p>
    <w:p w14:paraId="437EECF3" w14:textId="70F0320B" w:rsidR="00322D13" w:rsidRDefault="2B2916ED" w:rsidP="65BE3847">
      <w:r>
        <w:rPr>
          <w:noProof/>
        </w:rPr>
        <w:drawing>
          <wp:inline distT="0" distB="0" distL="0" distR="0" wp14:anchorId="239E3864" wp14:editId="4A3FE358">
            <wp:extent cx="7970469" cy="5618074"/>
            <wp:effectExtent l="0" t="0" r="0" b="1905"/>
            <wp:docPr id="714181348" name="Picture 71418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181348"/>
                    <pic:cNvPicPr/>
                  </pic:nvPicPr>
                  <pic:blipFill>
                    <a:blip r:embed="rId29">
                      <a:extLst>
                        <a:ext uri="{28A0092B-C50C-407E-A947-70E740481C1C}">
                          <a14:useLocalDpi xmlns:a14="http://schemas.microsoft.com/office/drawing/2010/main" val="0"/>
                        </a:ext>
                      </a:extLst>
                    </a:blip>
                    <a:stretch>
                      <a:fillRect/>
                    </a:stretch>
                  </pic:blipFill>
                  <pic:spPr>
                    <a:xfrm>
                      <a:off x="0" y="0"/>
                      <a:ext cx="7989759" cy="5631671"/>
                    </a:xfrm>
                    <a:prstGeom prst="rect">
                      <a:avLst/>
                    </a:prstGeom>
                  </pic:spPr>
                </pic:pic>
              </a:graphicData>
            </a:graphic>
          </wp:inline>
        </w:drawing>
      </w:r>
    </w:p>
    <w:p w14:paraId="753C22EB" w14:textId="77777777" w:rsidR="008C01AD" w:rsidRDefault="008C01AD" w:rsidP="00A24A87">
      <w:pPr>
        <w:ind w:left="0"/>
        <w:sectPr w:rsidR="008C01AD" w:rsidSect="00BC7639">
          <w:pgSz w:w="15840" w:h="12240" w:orient="landscape"/>
          <w:pgMar w:top="1440" w:right="1440" w:bottom="1440" w:left="1440" w:header="720" w:footer="720" w:gutter="0"/>
          <w:cols w:space="720"/>
          <w:docGrid w:linePitch="360"/>
        </w:sectPr>
      </w:pPr>
    </w:p>
    <w:p w14:paraId="0805BE89" w14:textId="4BA7C991" w:rsidR="65BE3847" w:rsidRDefault="03783015" w:rsidP="00A24A87">
      <w:pPr>
        <w:pStyle w:val="Heading4"/>
      </w:pPr>
      <w:r>
        <w:lastRenderedPageBreak/>
        <w:t>Non-battery Resources</w:t>
      </w:r>
    </w:p>
    <w:p w14:paraId="0F8E687A" w14:textId="67306C9C" w:rsidR="6995CC11" w:rsidRDefault="00C07A4A" w:rsidP="65BE3847">
      <w:r>
        <w:t>As</w:t>
      </w:r>
      <w:r w:rsidR="6995CC11">
        <w:t xml:space="preserve"> required by the Methodology, staff explain the material non-compliances </w:t>
      </w:r>
      <w:r w:rsidR="48529356">
        <w:t>(</w:t>
      </w:r>
      <w:proofErr w:type="gramStart"/>
      <w:r w:rsidR="48529356">
        <w:t>level</w:t>
      </w:r>
      <w:r w:rsidR="2746B2D9">
        <w:t>-</w:t>
      </w:r>
      <w:r w:rsidR="48529356">
        <w:t>3</w:t>
      </w:r>
      <w:proofErr w:type="gramEnd"/>
      <w:r w:rsidR="48529356">
        <w:t xml:space="preserve">) </w:t>
      </w:r>
      <w:r w:rsidR="521B6248">
        <w:t xml:space="preserve">that remain </w:t>
      </w:r>
      <w:r w:rsidR="6995CC11">
        <w:t xml:space="preserve">for the non-battery resources with these </w:t>
      </w:r>
      <w:r w:rsidR="2199071C">
        <w:t>final</w:t>
      </w:r>
      <w:r w:rsidR="6995CC11">
        <w:t xml:space="preserve"> allocations as follows:</w:t>
      </w:r>
    </w:p>
    <w:p w14:paraId="6B867119" w14:textId="05954B31" w:rsidR="2BD7AAAB" w:rsidRDefault="2BD7AAAB" w:rsidP="00A24A87">
      <w:pPr>
        <w:pStyle w:val="ListParagraph"/>
        <w:numPr>
          <w:ilvl w:val="0"/>
          <w:numId w:val="131"/>
        </w:numPr>
        <w:spacing w:after="120"/>
        <w:rPr>
          <w:rFonts w:asciiTheme="minorHAnsi" w:eastAsiaTheme="minorEastAsia" w:hAnsiTheme="minorHAnsi" w:cstheme="minorBidi"/>
        </w:rPr>
      </w:pPr>
      <w:r>
        <w:t xml:space="preserve">Central Valley North Los </w:t>
      </w:r>
      <w:proofErr w:type="spellStart"/>
      <w:r>
        <w:t>Banos</w:t>
      </w:r>
      <w:proofErr w:type="spellEnd"/>
      <w:r>
        <w:t xml:space="preserve"> Wind:</w:t>
      </w:r>
      <w:r w:rsidR="0BCE683C">
        <w:t xml:space="preserve"> The dashboard shows exceedance in criterion 3a </w:t>
      </w:r>
      <w:r w:rsidR="358A888A">
        <w:t>(available land area)</w:t>
      </w:r>
      <w:r w:rsidR="615C1FA5">
        <w:t>, with the mapped resources requiring 102% of available land. However, this value is calculated from a RESOLVE</w:t>
      </w:r>
      <w:r w:rsidR="38E8DE79">
        <w:t>-</w:t>
      </w:r>
      <w:r w:rsidR="615C1FA5">
        <w:t xml:space="preserve">derived wind </w:t>
      </w:r>
      <w:r w:rsidR="24736C89">
        <w:t>power density of 232 acres/MW</w:t>
      </w:r>
      <w:r w:rsidR="22BE6AD2">
        <w:t>. Implementing the calculation</w:t>
      </w:r>
      <w:r w:rsidR="697EE81E">
        <w:t xml:space="preserve"> with the wind power density of </w:t>
      </w:r>
      <w:r w:rsidR="469826DE">
        <w:t>91.5 acres/MW cited in the Methodology averts this non-compliance.</w:t>
      </w:r>
    </w:p>
    <w:p w14:paraId="7EC5117C" w14:textId="4B72422F" w:rsidR="2BD7AAAB" w:rsidRDefault="2BD7AAAB" w:rsidP="00A24A87">
      <w:pPr>
        <w:pStyle w:val="ListParagraph"/>
        <w:numPr>
          <w:ilvl w:val="0"/>
          <w:numId w:val="131"/>
        </w:numPr>
        <w:spacing w:after="120"/>
        <w:rPr>
          <w:rFonts w:asciiTheme="minorHAnsi" w:eastAsiaTheme="minorEastAsia" w:hAnsiTheme="minorHAnsi" w:cstheme="minorBidi"/>
        </w:rPr>
      </w:pPr>
      <w:r>
        <w:t xml:space="preserve">Solano </w:t>
      </w:r>
      <w:r w:rsidR="34D521B7">
        <w:t xml:space="preserve">Wind: the </w:t>
      </w:r>
      <w:r w:rsidR="4435F0F7">
        <w:t xml:space="preserve">material non-compliance for </w:t>
      </w:r>
      <w:r w:rsidR="34D521B7">
        <w:t>criteri</w:t>
      </w:r>
      <w:r w:rsidR="0E30D603">
        <w:t>on</w:t>
      </w:r>
      <w:r w:rsidR="34D521B7">
        <w:t xml:space="preserve"> 3b</w:t>
      </w:r>
      <w:r w:rsidR="05EC705E">
        <w:t xml:space="preserve"> (high environmental implications)</w:t>
      </w:r>
      <w:r w:rsidR="34D521B7">
        <w:t xml:space="preserve"> </w:t>
      </w:r>
      <w:r w:rsidR="783E206F">
        <w:t xml:space="preserve">is triggered at </w:t>
      </w:r>
      <w:r w:rsidR="115D04A8">
        <w:t xml:space="preserve">only </w:t>
      </w:r>
      <w:r w:rsidR="783E206F">
        <w:t>one potential wind resource tract at the Lakeville substation.</w:t>
      </w:r>
      <w:r w:rsidR="17C39B0C">
        <w:t xml:space="preserve"> The remaining</w:t>
      </w:r>
      <w:r w:rsidR="4EDE84C1">
        <w:t xml:space="preserve"> potential</w:t>
      </w:r>
      <w:r w:rsidR="17C39B0C">
        <w:t xml:space="preserve"> trac</w:t>
      </w:r>
      <w:r w:rsidR="1623F7FC">
        <w:t>t</w:t>
      </w:r>
      <w:r w:rsidR="17C39B0C">
        <w:t>s</w:t>
      </w:r>
      <w:r w:rsidR="10816186">
        <w:t xml:space="preserve"> </w:t>
      </w:r>
      <w:r w:rsidR="17C39B0C">
        <w:t>at the Lakeville substation</w:t>
      </w:r>
      <w:r w:rsidR="4731B550">
        <w:t>, which do not trigger non-compliance with the high environmental impact criterion,</w:t>
      </w:r>
      <w:r w:rsidR="17C39B0C">
        <w:t xml:space="preserve"> are able to accommodate the </w:t>
      </w:r>
      <w:r w:rsidR="7868E8D7">
        <w:t xml:space="preserve">wind resources mapped to the </w:t>
      </w:r>
      <w:r w:rsidR="595516E8">
        <w:t>substation.</w:t>
      </w:r>
    </w:p>
    <w:p w14:paraId="38F4D5A4" w14:textId="3BAB9D6E" w:rsidR="2BD7AAAB" w:rsidRDefault="65E097F7" w:rsidP="099CA948">
      <w:pPr>
        <w:pStyle w:val="ListParagraph"/>
        <w:numPr>
          <w:ilvl w:val="0"/>
          <w:numId w:val="131"/>
        </w:numPr>
        <w:rPr>
          <w:rFonts w:asciiTheme="minorHAnsi" w:eastAsiaTheme="minorEastAsia" w:hAnsiTheme="minorHAnsi" w:cstheme="minorBidi"/>
        </w:rPr>
      </w:pPr>
      <w:r>
        <w:t xml:space="preserve">Southern PG&amp;E </w:t>
      </w:r>
      <w:r w:rsidR="451E6A2F">
        <w:t xml:space="preserve">renewable </w:t>
      </w:r>
      <w:r w:rsidR="06E19268">
        <w:t>transmission</w:t>
      </w:r>
      <w:r>
        <w:t xml:space="preserve"> zone:</w:t>
      </w:r>
      <w:r w:rsidR="4BDE0676">
        <w:t xml:space="preserve"> </w:t>
      </w:r>
      <w:r w:rsidR="4A408221">
        <w:t xml:space="preserve">Resources </w:t>
      </w:r>
      <w:r w:rsidR="5A8DB04D">
        <w:t xml:space="preserve">mapped to zones in </w:t>
      </w:r>
      <w:r w:rsidR="4A408221">
        <w:t xml:space="preserve">the Southern PG&amp;E </w:t>
      </w:r>
      <w:r w:rsidR="2055100F">
        <w:t xml:space="preserve">outer </w:t>
      </w:r>
      <w:r w:rsidR="3C9AB0C4">
        <w:t xml:space="preserve">renewable </w:t>
      </w:r>
      <w:r w:rsidR="4A408221">
        <w:t>transmission</w:t>
      </w:r>
      <w:r w:rsidR="3D32F198">
        <w:t xml:space="preserve"> </w:t>
      </w:r>
      <w:r w:rsidR="7E6857C5">
        <w:t>remain flagged for criterion 2 (transmission capability) non-compliance for exceeding the outer zone limit. Resources</w:t>
      </w:r>
      <w:r w:rsidR="2CB21561">
        <w:t xml:space="preserve"> </w:t>
      </w:r>
      <w:r w:rsidR="3D32F198">
        <w:t xml:space="preserve">mapped to the inner </w:t>
      </w:r>
      <w:proofErr w:type="spellStart"/>
      <w:r w:rsidR="3D32F198">
        <w:t>Westlands</w:t>
      </w:r>
      <w:proofErr w:type="spellEnd"/>
      <w:r w:rsidR="0B37A2FB">
        <w:t xml:space="preserve"> renewable</w:t>
      </w:r>
      <w:r w:rsidR="3D32F198">
        <w:t xml:space="preserve"> transmission zone </w:t>
      </w:r>
      <w:r w:rsidR="573FA3B3">
        <w:t>also exceed the inner zone limit</w:t>
      </w:r>
      <w:r w:rsidR="3D32F198">
        <w:t>.</w:t>
      </w:r>
      <w:r w:rsidR="281B9B1D">
        <w:t xml:space="preserve"> The exceedance of transmission </w:t>
      </w:r>
      <w:r w:rsidR="1A03A0B1">
        <w:t xml:space="preserve">limits </w:t>
      </w:r>
      <w:r w:rsidR="281B9B1D">
        <w:t xml:space="preserve">is </w:t>
      </w:r>
      <w:r w:rsidR="3887BDC6">
        <w:t xml:space="preserve">partially </w:t>
      </w:r>
      <w:r w:rsidR="281B9B1D">
        <w:t xml:space="preserve">alleviated by taking into account the </w:t>
      </w:r>
      <w:r w:rsidR="4032B115">
        <w:t xml:space="preserve">645 MW </w:t>
      </w:r>
      <w:r w:rsidR="281B9B1D">
        <w:t>transmission upgrade called for by RESOLVE in the Southern PG&amp;</w:t>
      </w:r>
      <w:r w:rsidR="7D99E56C">
        <w:t>E.</w:t>
      </w:r>
      <w:r w:rsidR="0A0FB16A">
        <w:t xml:space="preserve"> </w:t>
      </w:r>
      <w:r w:rsidR="2ECDF3DD" w:rsidRPr="099CA948">
        <w:rPr>
          <w:rFonts w:eastAsia="Garamond" w:cs="Garamond"/>
          <w:color w:val="000000" w:themeColor="text1"/>
        </w:rPr>
        <w:t xml:space="preserve">CAISO staff’s guidance is that this corresponds to a transmission project that provides a 1,000 MW expansion for both the </w:t>
      </w:r>
      <w:proofErr w:type="spellStart"/>
      <w:r w:rsidR="2ECDF3DD" w:rsidRPr="099CA948">
        <w:rPr>
          <w:rFonts w:eastAsia="Garamond" w:cs="Garamond"/>
          <w:color w:val="000000" w:themeColor="text1"/>
        </w:rPr>
        <w:t>Westlands</w:t>
      </w:r>
      <w:proofErr w:type="spellEnd"/>
      <w:r w:rsidR="2ECDF3DD" w:rsidRPr="099CA948">
        <w:rPr>
          <w:rFonts w:eastAsia="Garamond" w:cs="Garamond"/>
          <w:color w:val="000000" w:themeColor="text1"/>
        </w:rPr>
        <w:t xml:space="preserve"> inner renewable transmission zone and Southern PG&amp;E outer renewable transmission zone.</w:t>
      </w:r>
      <w:r w:rsidR="484E93E6">
        <w:t xml:space="preserve"> </w:t>
      </w:r>
      <w:r w:rsidR="7C0D920D">
        <w:t xml:space="preserve">CPUC </w:t>
      </w:r>
      <w:r w:rsidR="484E93E6">
        <w:t>s</w:t>
      </w:r>
      <w:r w:rsidR="0A0FB16A">
        <w:t xml:space="preserve">taff </w:t>
      </w:r>
      <w:r w:rsidR="592F1B60">
        <w:t xml:space="preserve">then </w:t>
      </w:r>
      <w:r w:rsidR="0A0FB16A">
        <w:t>assume</w:t>
      </w:r>
      <w:r w:rsidR="5EFB8767">
        <w:t>d</w:t>
      </w:r>
      <w:r w:rsidR="0A0FB16A">
        <w:t xml:space="preserve"> the entire 1,000 MW </w:t>
      </w:r>
      <w:r w:rsidR="2B47F1E2">
        <w:t>is</w:t>
      </w:r>
      <w:r w:rsidR="1E5B7351">
        <w:t xml:space="preserve"> </w:t>
      </w:r>
      <w:r w:rsidR="77797D83">
        <w:t>available</w:t>
      </w:r>
      <w:r w:rsidR="5093C0C2">
        <w:t xml:space="preserve"> </w:t>
      </w:r>
      <w:r w:rsidR="1740654D">
        <w:t>for mapping</w:t>
      </w:r>
      <w:r w:rsidR="5468DD08">
        <w:t xml:space="preserve"> resources</w:t>
      </w:r>
      <w:r w:rsidR="1740654D">
        <w:t>.</w:t>
      </w:r>
      <w:r w:rsidR="755FC979">
        <w:t xml:space="preserve"> This transmission limit increase does not fully </w:t>
      </w:r>
      <w:r w:rsidR="0B46DF3C">
        <w:t>address</w:t>
      </w:r>
      <w:r w:rsidR="755FC979">
        <w:t xml:space="preserve"> all the transmission exceedance. </w:t>
      </w:r>
      <w:r w:rsidR="1740654D">
        <w:t xml:space="preserve">The remaining capacity </w:t>
      </w:r>
      <w:r w:rsidR="3FCD72B7">
        <w:t xml:space="preserve">exceedance </w:t>
      </w:r>
      <w:r w:rsidR="1740654D">
        <w:t xml:space="preserve">is </w:t>
      </w:r>
      <w:r w:rsidR="641F7600">
        <w:t xml:space="preserve">eliminated </w:t>
      </w:r>
      <w:r w:rsidR="782E1F22">
        <w:t xml:space="preserve">by </w:t>
      </w:r>
      <w:r w:rsidR="1740654D">
        <w:t>allocat</w:t>
      </w:r>
      <w:r w:rsidR="30994242">
        <w:t xml:space="preserve">ing solar resources in </w:t>
      </w:r>
      <w:proofErr w:type="spellStart"/>
      <w:r w:rsidR="30994242">
        <w:t>Westland</w:t>
      </w:r>
      <w:r w:rsidR="76CC4AC5">
        <w:t>s</w:t>
      </w:r>
      <w:proofErr w:type="spellEnd"/>
      <w:r w:rsidR="76CC4AC5">
        <w:t xml:space="preserve"> Solar</w:t>
      </w:r>
      <w:r w:rsidR="1740654D">
        <w:t xml:space="preserve"> to the Gates-Diablo 500 kV system. CAISO staff’s guidance is that this system appears geographically in the Southern PG&amp;E outermost </w:t>
      </w:r>
      <w:r w:rsidR="117B7F0E">
        <w:t xml:space="preserve">renewable </w:t>
      </w:r>
      <w:r w:rsidR="1740654D">
        <w:t xml:space="preserve">transmission </w:t>
      </w:r>
      <w:proofErr w:type="gramStart"/>
      <w:r w:rsidR="1740654D">
        <w:t>zone, but</w:t>
      </w:r>
      <w:proofErr w:type="gramEnd"/>
      <w:r w:rsidR="1740654D">
        <w:t xml:space="preserve"> is electrically outside the boundary of the constraint that limits the transmission capability estimate for this zone.</w:t>
      </w:r>
      <w:r w:rsidR="553414FE">
        <w:t xml:space="preserve"> This </w:t>
      </w:r>
      <w:r w:rsidR="10E83452">
        <w:t>addresses</w:t>
      </w:r>
      <w:r w:rsidR="553414FE">
        <w:t xml:space="preserve"> the criterion 2 (transmission capability) non-compliances for the following resources:</w:t>
      </w:r>
    </w:p>
    <w:p w14:paraId="25AC667F" w14:textId="1987933E" w:rsidR="52CC1730" w:rsidRDefault="52CC1730" w:rsidP="40A5FC40">
      <w:pPr>
        <w:pStyle w:val="ListParagraph"/>
        <w:numPr>
          <w:ilvl w:val="1"/>
          <w:numId w:val="131"/>
        </w:numPr>
      </w:pPr>
      <w:r>
        <w:t>Carrizo Wind</w:t>
      </w:r>
    </w:p>
    <w:p w14:paraId="1A1B9B84" w14:textId="1987933E" w:rsidR="052A9E4F" w:rsidRDefault="052A9E4F" w:rsidP="40A5FC40">
      <w:pPr>
        <w:pStyle w:val="ListParagraph"/>
        <w:numPr>
          <w:ilvl w:val="1"/>
          <w:numId w:val="131"/>
        </w:numPr>
      </w:pPr>
      <w:r>
        <w:t xml:space="preserve">Central Valley North Los </w:t>
      </w:r>
      <w:proofErr w:type="spellStart"/>
      <w:r>
        <w:t>Banos</w:t>
      </w:r>
      <w:proofErr w:type="spellEnd"/>
      <w:r>
        <w:t xml:space="preserve"> Wind</w:t>
      </w:r>
    </w:p>
    <w:p w14:paraId="4BB9AF78" w14:textId="0DE29366" w:rsidR="052A9E4F" w:rsidRDefault="052A9E4F" w:rsidP="40A5FC40">
      <w:pPr>
        <w:pStyle w:val="ListParagraph"/>
        <w:numPr>
          <w:ilvl w:val="1"/>
          <w:numId w:val="131"/>
        </w:numPr>
      </w:pPr>
      <w:r>
        <w:t>Kern</w:t>
      </w:r>
      <w:r w:rsidR="43CE7413">
        <w:t xml:space="preserve"> Greater Carrizo Solar and Wind</w:t>
      </w:r>
    </w:p>
    <w:p w14:paraId="739D7A1D" w14:textId="0DE29366" w:rsidR="43CE7413" w:rsidRDefault="43CE7413" w:rsidP="00A24A87">
      <w:pPr>
        <w:pStyle w:val="ListParagraph"/>
        <w:numPr>
          <w:ilvl w:val="1"/>
          <w:numId w:val="131"/>
        </w:numPr>
        <w:spacing w:after="120"/>
      </w:pPr>
      <w:proofErr w:type="spellStart"/>
      <w:r>
        <w:t>Westlands</w:t>
      </w:r>
      <w:proofErr w:type="spellEnd"/>
      <w:r>
        <w:t xml:space="preserve"> Solar</w:t>
      </w:r>
    </w:p>
    <w:p w14:paraId="502B3D3E" w14:textId="0B5CA614" w:rsidR="74B24056" w:rsidRDefault="74B24056" w:rsidP="7CF97DD6">
      <w:pPr>
        <w:pStyle w:val="ListParagraph"/>
        <w:numPr>
          <w:ilvl w:val="0"/>
          <w:numId w:val="131"/>
        </w:numPr>
        <w:rPr>
          <w:rFonts w:asciiTheme="minorHAnsi" w:eastAsiaTheme="minorEastAsia" w:hAnsiTheme="minorHAnsi" w:cstheme="minorBidi"/>
          <w:szCs w:val="24"/>
        </w:rPr>
      </w:pPr>
      <w:r>
        <w:t>Southern California Desert and Southern Nevada</w:t>
      </w:r>
      <w:r w:rsidR="5E9284D7">
        <w:t xml:space="preserve"> outer renewable</w:t>
      </w:r>
      <w:r>
        <w:t xml:space="preserve"> transmission zone:</w:t>
      </w:r>
      <w:r w:rsidR="3E3CD55D">
        <w:t xml:space="preserve"> </w:t>
      </w:r>
      <w:r w:rsidR="03DC493F">
        <w:t>Resource allocations comply with subzone transmission limits</w:t>
      </w:r>
      <w:r w:rsidR="16152D36">
        <w:t>;</w:t>
      </w:r>
      <w:r w:rsidR="03DC493F">
        <w:t xml:space="preserve"> however</w:t>
      </w:r>
      <w:r w:rsidR="76E27B5E">
        <w:t>,</w:t>
      </w:r>
      <w:r w:rsidR="03DC493F">
        <w:t xml:space="preserve"> the dashboard shows resources within the Southern California Desert and Southern Nevad</w:t>
      </w:r>
      <w:r w:rsidR="3BE247B9">
        <w:t xml:space="preserve">a </w:t>
      </w:r>
      <w:r w:rsidR="1994BBB2">
        <w:t xml:space="preserve">outer renewable </w:t>
      </w:r>
      <w:r w:rsidR="03DC493F">
        <w:t>transmission zone</w:t>
      </w:r>
      <w:r w:rsidR="70AFC108">
        <w:t xml:space="preserve"> exceeding the outer zone limit.</w:t>
      </w:r>
      <w:r w:rsidR="66CED658">
        <w:t xml:space="preserve"> Based on CAISO staff guidance and preliminary results from</w:t>
      </w:r>
      <w:r w:rsidR="171910D6">
        <w:t xml:space="preserve"> the</w:t>
      </w:r>
      <w:r w:rsidR="66CED658">
        <w:t xml:space="preserve"> </w:t>
      </w:r>
      <w:r w:rsidR="03B7E021">
        <w:t>CAISO’s</w:t>
      </w:r>
      <w:r w:rsidR="66CED658">
        <w:t xml:space="preserve"> </w:t>
      </w:r>
      <w:r w:rsidR="00B111AE">
        <w:t>2020-2021</w:t>
      </w:r>
      <w:r w:rsidR="32558267">
        <w:t xml:space="preserve"> TPP</w:t>
      </w:r>
      <w:r w:rsidR="126024C6">
        <w:t xml:space="preserve">, </w:t>
      </w:r>
      <w:r w:rsidR="0A13E834">
        <w:t>the actual transmission limit of the outermost zone is</w:t>
      </w:r>
      <w:r w:rsidR="433DAF94">
        <w:t xml:space="preserve"> </w:t>
      </w:r>
      <w:r w:rsidR="38A964E9">
        <w:t xml:space="preserve">likely </w:t>
      </w:r>
      <w:r w:rsidR="433DAF94">
        <w:t>higher</w:t>
      </w:r>
      <w:r w:rsidR="18384196">
        <w:t xml:space="preserve"> than the limit </w:t>
      </w:r>
      <w:r w:rsidR="7CDBA1B9">
        <w:t>used in the mapping process</w:t>
      </w:r>
      <w:r w:rsidR="392148BF">
        <w:t xml:space="preserve">. </w:t>
      </w:r>
      <w:r w:rsidR="0D815A8D">
        <w:t>CAISO staff noted that 6,280 MW of FD resources were mapped</w:t>
      </w:r>
      <w:r w:rsidR="080DBEF5">
        <w:t xml:space="preserve"> within the Southern California Desert and Southern Nevada outer renewable transmission zone</w:t>
      </w:r>
      <w:r w:rsidR="3C26AEAE">
        <w:t xml:space="preserve"> </w:t>
      </w:r>
      <w:r w:rsidR="64A2CB92">
        <w:t xml:space="preserve">in the 2020-2021 TPP’s </w:t>
      </w:r>
      <w:r w:rsidR="3C26AEAE">
        <w:t>30 MMT EO sensitivity portfolio</w:t>
      </w:r>
      <w:r w:rsidR="5A948D2C">
        <w:t xml:space="preserve"> and the preliminary results </w:t>
      </w:r>
      <w:r w:rsidR="4C950868">
        <w:t xml:space="preserve">did not find any transmission constraints related to those FD </w:t>
      </w:r>
      <w:r w:rsidR="00A13011">
        <w:t>resources</w:t>
      </w:r>
      <w:r w:rsidR="4C950868">
        <w:t xml:space="preserve">. </w:t>
      </w:r>
      <w:r w:rsidR="228C876E">
        <w:t xml:space="preserve">Guidance from CAISO staff </w:t>
      </w:r>
      <w:r w:rsidR="5534D2A5">
        <w:t xml:space="preserve">further </w:t>
      </w:r>
      <w:r w:rsidR="3774023B">
        <w:t>noted</w:t>
      </w:r>
      <w:r w:rsidR="518BA23C">
        <w:t xml:space="preserve">, however, </w:t>
      </w:r>
      <w:r w:rsidR="2E2EE7F4">
        <w:t>the TPP’s preliminary</w:t>
      </w:r>
      <w:r w:rsidR="4BDDD786">
        <w:t xml:space="preserve"> finding of no </w:t>
      </w:r>
      <w:r w:rsidR="7333332B">
        <w:t>transmission</w:t>
      </w:r>
      <w:r w:rsidR="4BDDD786">
        <w:t xml:space="preserve"> </w:t>
      </w:r>
      <w:r w:rsidR="33FC4364">
        <w:t>constraints</w:t>
      </w:r>
      <w:r w:rsidR="7231FF45">
        <w:t xml:space="preserve"> for that amount of FD resources</w:t>
      </w:r>
      <w:r w:rsidR="4BDDD786">
        <w:t xml:space="preserve"> </w:t>
      </w:r>
      <w:r w:rsidR="4BDDD786">
        <w:lastRenderedPageBreak/>
        <w:t xml:space="preserve">could only readily be applied to a portfolio with </w:t>
      </w:r>
      <w:r w:rsidR="70EAAAEF">
        <w:t xml:space="preserve">resources </w:t>
      </w:r>
      <w:r w:rsidR="4BDDD786">
        <w:t>mapped in a similar manner to the 2020-2021 TPP 30 MMT EO por</w:t>
      </w:r>
      <w:r w:rsidR="14928385">
        <w:t>tfolio</w:t>
      </w:r>
      <w:r w:rsidR="00955908">
        <w:t>.</w:t>
      </w:r>
      <w:r w:rsidR="7A02693F">
        <w:t xml:space="preserve"> Mapping a similar number of resource</w:t>
      </w:r>
      <w:r w:rsidR="76207F79">
        <w:t>s</w:t>
      </w:r>
      <w:r w:rsidR="7A02693F">
        <w:t xml:space="preserve"> but to different regions risks triggering</w:t>
      </w:r>
      <w:r w:rsidR="2DAAB5D2">
        <w:t xml:space="preserve"> transmission</w:t>
      </w:r>
      <w:r w:rsidR="7A02693F">
        <w:t xml:space="preserve"> constraints within the outer renewable transmission zone.</w:t>
      </w:r>
      <w:r w:rsidR="00955908">
        <w:t xml:space="preserve"> </w:t>
      </w:r>
      <w:r w:rsidR="1CD494A5">
        <w:t>Following Round 1 of mapping, the</w:t>
      </w:r>
      <w:r w:rsidR="61714790">
        <w:t xml:space="preserve"> number of resources mapped to the Riverside East and Palm Springs inner renewable transmission zone exceed</w:t>
      </w:r>
      <w:r w:rsidR="3916EAB8">
        <w:t>ed</w:t>
      </w:r>
      <w:r w:rsidR="61714790">
        <w:t xml:space="preserve"> the</w:t>
      </w:r>
      <w:r w:rsidR="7100ED1C">
        <w:t xml:space="preserve"> transmission headroom amount utilized in the 2020-2021 TPP 30 MMT EO portfolio by </w:t>
      </w:r>
      <w:r w:rsidR="003313F2">
        <w:t xml:space="preserve">approximately </w:t>
      </w:r>
      <w:r w:rsidR="7100ED1C">
        <w:t>400 MW.</w:t>
      </w:r>
      <w:r w:rsidR="3774023B">
        <w:t xml:space="preserve"> </w:t>
      </w:r>
      <w:r w:rsidR="7E08DC7E">
        <w:t xml:space="preserve">CPUC staff made </w:t>
      </w:r>
      <w:r w:rsidR="219DBA5E">
        <w:t xml:space="preserve">reallocations noted in Section </w:t>
      </w:r>
      <w:r w:rsidR="00C829E5">
        <w:fldChar w:fldCharType="begin"/>
      </w:r>
      <w:r w:rsidR="00C829E5">
        <w:instrText xml:space="preserve"> REF _Ref59129863 \r \h </w:instrText>
      </w:r>
      <w:r w:rsidR="00C829E5">
        <w:fldChar w:fldCharType="separate"/>
      </w:r>
      <w:r w:rsidR="003B7A14">
        <w:t>6.1</w:t>
      </w:r>
      <w:r w:rsidR="00C829E5">
        <w:fldChar w:fldCharType="end"/>
      </w:r>
      <w:r w:rsidR="00C829E5">
        <w:t xml:space="preserve"> </w:t>
      </w:r>
      <w:r w:rsidR="219DBA5E">
        <w:t xml:space="preserve">that </w:t>
      </w:r>
      <w:r w:rsidR="591A7C4C">
        <w:t>more closely align the mapp</w:t>
      </w:r>
      <w:r w:rsidR="0B7666D8">
        <w:t>ing results</w:t>
      </w:r>
      <w:r w:rsidR="591A7C4C">
        <w:t xml:space="preserve"> to the </w:t>
      </w:r>
      <w:r w:rsidR="00B111AE">
        <w:t>2020-2021</w:t>
      </w:r>
      <w:r w:rsidR="591A7C4C">
        <w:t xml:space="preserve"> TPP results</w:t>
      </w:r>
      <w:r w:rsidR="7D932958">
        <w:t>.</w:t>
      </w:r>
      <w:r w:rsidR="2771E952">
        <w:t xml:space="preserve"> </w:t>
      </w:r>
      <w:r w:rsidR="54DFF956">
        <w:t xml:space="preserve">Staff avoided </w:t>
      </w:r>
      <w:r w:rsidR="46390DF4">
        <w:t>reallocat</w:t>
      </w:r>
      <w:r w:rsidR="6C116B25">
        <w:t>ing</w:t>
      </w:r>
      <w:r w:rsidR="46390DF4">
        <w:t xml:space="preserve"> solar resources </w:t>
      </w:r>
      <w:r w:rsidR="738E6D5E">
        <w:t xml:space="preserve">from the Mohave </w:t>
      </w:r>
      <w:r w:rsidR="46390DF4">
        <w:t xml:space="preserve">and </w:t>
      </w:r>
      <w:r w:rsidR="738E6D5E">
        <w:t xml:space="preserve">El Dorado </w:t>
      </w:r>
      <w:r w:rsidR="5DEFB239">
        <w:t xml:space="preserve">500 kV </w:t>
      </w:r>
      <w:r w:rsidR="738E6D5E">
        <w:t xml:space="preserve">substations to </w:t>
      </w:r>
      <w:r w:rsidR="6BE19DED">
        <w:t>lower voltage substations in the Riverside East and Palm Springs area</w:t>
      </w:r>
      <w:r w:rsidR="53651219">
        <w:t>, which have cheaper interconnection costs,</w:t>
      </w:r>
      <w:r w:rsidR="6BE19DED">
        <w:t xml:space="preserve"> and </w:t>
      </w:r>
      <w:r w:rsidR="3650387E">
        <w:t>reallocat</w:t>
      </w:r>
      <w:r w:rsidR="5B73332F">
        <w:t>ed</w:t>
      </w:r>
      <w:r w:rsidR="3650387E">
        <w:t xml:space="preserve"> wind resources </w:t>
      </w:r>
      <w:r w:rsidR="00DE35FB">
        <w:t>from</w:t>
      </w:r>
      <w:r w:rsidR="75A80A29">
        <w:t xml:space="preserve"> the Palo Verde substation</w:t>
      </w:r>
      <w:r w:rsidR="46390DF4">
        <w:t xml:space="preserve"> to the El Dorado 500 kV </w:t>
      </w:r>
      <w:r w:rsidR="3650387E">
        <w:t>substation.</w:t>
      </w:r>
      <w:r w:rsidR="46390DF4">
        <w:t xml:space="preserve"> These </w:t>
      </w:r>
      <w:r w:rsidR="49F2FB32">
        <w:t xml:space="preserve">adjustments </w:t>
      </w:r>
      <w:r w:rsidR="31D781A3">
        <w:t>reduce the risk of transmission constraints within the Southern California Desert and Southern Nevada outer renewable transmission zone</w:t>
      </w:r>
      <w:r w:rsidR="6EB881AC">
        <w:t xml:space="preserve"> and</w:t>
      </w:r>
      <w:r w:rsidR="7C660D56">
        <w:t xml:space="preserve"> </w:t>
      </w:r>
      <w:r w:rsidR="794A589B">
        <w:t xml:space="preserve">minimize cost to ratepayers by not </w:t>
      </w:r>
      <w:r w:rsidR="75BE5D37">
        <w:t>needing</w:t>
      </w:r>
      <w:r w:rsidR="14261EF7">
        <w:t xml:space="preserve"> the </w:t>
      </w:r>
      <w:r w:rsidR="7C660D56" w:rsidRPr="7956503B">
        <w:rPr>
          <w:rFonts w:eastAsia="Garamond" w:cs="Garamond"/>
          <w:color w:val="000000" w:themeColor="text1"/>
        </w:rPr>
        <w:t>$2.</w:t>
      </w:r>
      <w:r w:rsidR="7C660D56" w:rsidRPr="1F99C1E4">
        <w:rPr>
          <w:rFonts w:eastAsia="Garamond" w:cs="Garamond"/>
          <w:color w:val="000000" w:themeColor="text1"/>
        </w:rPr>
        <w:t>1</w:t>
      </w:r>
      <w:r w:rsidR="5A6369E6" w:rsidRPr="1F99C1E4">
        <w:rPr>
          <w:rFonts w:eastAsia="Garamond" w:cs="Garamond"/>
          <w:color w:val="000000" w:themeColor="text1"/>
        </w:rPr>
        <w:t xml:space="preserve"> </w:t>
      </w:r>
      <w:r w:rsidR="7C660D56" w:rsidRPr="1F99C1E4">
        <w:rPr>
          <w:rFonts w:eastAsia="Garamond" w:cs="Garamond"/>
          <w:color w:val="000000" w:themeColor="text1"/>
        </w:rPr>
        <w:t>billion</w:t>
      </w:r>
      <w:r w:rsidR="7C660D56" w:rsidRPr="7956503B">
        <w:rPr>
          <w:rFonts w:eastAsia="Garamond" w:cs="Garamond"/>
          <w:color w:val="000000" w:themeColor="text1"/>
        </w:rPr>
        <w:t xml:space="preserve"> </w:t>
      </w:r>
      <w:r w:rsidR="0CC94716" w:rsidRPr="7CF97DD6">
        <w:rPr>
          <w:rFonts w:eastAsia="Garamond" w:cs="Garamond"/>
          <w:color w:val="000000" w:themeColor="text1"/>
        </w:rPr>
        <w:t xml:space="preserve">transmission </w:t>
      </w:r>
      <w:r w:rsidR="7C660D56" w:rsidRPr="7956503B">
        <w:rPr>
          <w:rFonts w:eastAsia="Garamond" w:cs="Garamond"/>
          <w:color w:val="000000" w:themeColor="text1"/>
        </w:rPr>
        <w:t>upgrade</w:t>
      </w:r>
      <w:r w:rsidR="5F13FECE" w:rsidRPr="7956503B">
        <w:rPr>
          <w:rFonts w:eastAsia="Garamond" w:cs="Garamond"/>
          <w:color w:val="000000" w:themeColor="text1"/>
        </w:rPr>
        <w:t xml:space="preserve"> of the outer transmission zone</w:t>
      </w:r>
      <w:r w:rsidR="3F86B89F" w:rsidRPr="7956503B">
        <w:rPr>
          <w:rFonts w:eastAsia="Garamond" w:cs="Garamond"/>
          <w:color w:val="000000" w:themeColor="text1"/>
        </w:rPr>
        <w:t xml:space="preserve">. </w:t>
      </w:r>
      <w:r w:rsidR="38747E36">
        <w:t>This addresses the criterion 2 (transmission capability) non-compliances for the following resources:</w:t>
      </w:r>
    </w:p>
    <w:p w14:paraId="13911A0F" w14:textId="2E912B53" w:rsidR="7F6F950F" w:rsidRDefault="38747E36" w:rsidP="40A5FC40">
      <w:pPr>
        <w:pStyle w:val="ListParagraph"/>
        <w:numPr>
          <w:ilvl w:val="1"/>
          <w:numId w:val="131"/>
        </w:numPr>
      </w:pPr>
      <w:r>
        <w:t>Greater Imperial Solar</w:t>
      </w:r>
    </w:p>
    <w:p w14:paraId="130E2912" w14:textId="23BDC730" w:rsidR="05E80FC3" w:rsidRDefault="05E80FC3" w:rsidP="4E1893D1">
      <w:pPr>
        <w:pStyle w:val="ListParagraph"/>
        <w:numPr>
          <w:ilvl w:val="1"/>
          <w:numId w:val="131"/>
        </w:numPr>
      </w:pPr>
      <w:r>
        <w:t>Greater Imperial Geothermal</w:t>
      </w:r>
    </w:p>
    <w:p w14:paraId="2C1F1E1A" w14:textId="09FAF7B0" w:rsidR="38747E36" w:rsidRDefault="38747E36" w:rsidP="45BA9063">
      <w:pPr>
        <w:pStyle w:val="ListParagraph"/>
        <w:numPr>
          <w:ilvl w:val="1"/>
          <w:numId w:val="131"/>
        </w:numPr>
      </w:pPr>
      <w:r>
        <w:t>Mountain Pass El Dorado Solar</w:t>
      </w:r>
    </w:p>
    <w:p w14:paraId="6E6CFDC8" w14:textId="09FAF7B0" w:rsidR="38747E36" w:rsidRDefault="38747E36" w:rsidP="45BA9063">
      <w:pPr>
        <w:pStyle w:val="ListParagraph"/>
        <w:numPr>
          <w:ilvl w:val="1"/>
          <w:numId w:val="131"/>
        </w:numPr>
      </w:pPr>
      <w:r>
        <w:t>SCADSNV Solar</w:t>
      </w:r>
    </w:p>
    <w:p w14:paraId="16D5031F" w14:textId="35D7E160" w:rsidR="45BA9063" w:rsidRDefault="38747E36" w:rsidP="45BA9063">
      <w:pPr>
        <w:pStyle w:val="ListParagraph"/>
        <w:numPr>
          <w:ilvl w:val="1"/>
          <w:numId w:val="131"/>
        </w:numPr>
      </w:pPr>
      <w:r>
        <w:t>Southern Nevada Solar</w:t>
      </w:r>
    </w:p>
    <w:p w14:paraId="79DD7664" w14:textId="10702E6F" w:rsidR="76CE0510" w:rsidRDefault="76CE0510" w:rsidP="63879AFF">
      <w:pPr>
        <w:pStyle w:val="ListParagraph"/>
        <w:numPr>
          <w:ilvl w:val="1"/>
          <w:numId w:val="131"/>
        </w:numPr>
        <w:rPr>
          <w:rFonts w:asciiTheme="minorHAnsi" w:eastAsiaTheme="minorEastAsia" w:hAnsiTheme="minorHAnsi" w:cstheme="minorBidi"/>
          <w:szCs w:val="24"/>
        </w:rPr>
      </w:pPr>
      <w:r>
        <w:t>Arizona Solar</w:t>
      </w:r>
    </w:p>
    <w:p w14:paraId="689E0381" w14:textId="4B62102A" w:rsidR="76CE0510" w:rsidRDefault="76CE0510" w:rsidP="63879AFF">
      <w:pPr>
        <w:pStyle w:val="ListParagraph"/>
        <w:numPr>
          <w:ilvl w:val="1"/>
          <w:numId w:val="131"/>
        </w:numPr>
      </w:pPr>
      <w:r>
        <w:t>Baja California Wind</w:t>
      </w:r>
    </w:p>
    <w:p w14:paraId="42C51DA3" w14:textId="4B62102A" w:rsidR="76CE0510" w:rsidRDefault="1A221245" w:rsidP="00A24A87">
      <w:pPr>
        <w:pStyle w:val="ListParagraph"/>
        <w:numPr>
          <w:ilvl w:val="1"/>
          <w:numId w:val="131"/>
        </w:numPr>
        <w:spacing w:after="120"/>
      </w:pPr>
      <w:r>
        <w:t>Wyoming</w:t>
      </w:r>
      <w:r w:rsidR="76CE0510">
        <w:t xml:space="preserve"> Wind</w:t>
      </w:r>
    </w:p>
    <w:p w14:paraId="4593AA6D" w14:textId="6A7FF0F7" w:rsidR="65BE3847" w:rsidRPr="00C81FE0" w:rsidDel="00536CB3" w:rsidRDefault="44E8D763" w:rsidP="7CF97DD6">
      <w:pPr>
        <w:pStyle w:val="ListParagraph"/>
        <w:numPr>
          <w:ilvl w:val="0"/>
          <w:numId w:val="131"/>
        </w:numPr>
        <w:spacing w:after="120"/>
        <w:rPr>
          <w:rFonts w:asciiTheme="minorHAnsi" w:eastAsiaTheme="minorEastAsia" w:hAnsiTheme="minorHAnsi" w:cstheme="minorBidi"/>
          <w:color w:val="000000" w:themeColor="text1"/>
        </w:rPr>
      </w:pPr>
      <w:r w:rsidRPr="7CF97DD6">
        <w:rPr>
          <w:color w:val="000000" w:themeColor="text1"/>
        </w:rPr>
        <w:t>GLW-VEA inner renewable transmission zone: The addition of 1</w:t>
      </w:r>
      <w:r w:rsidR="30BDCE6A" w:rsidRPr="7CF97DD6">
        <w:rPr>
          <w:color w:val="000000" w:themeColor="text1"/>
        </w:rPr>
        <w:t>,</w:t>
      </w:r>
      <w:r w:rsidRPr="7CF97DD6">
        <w:rPr>
          <w:color w:val="000000" w:themeColor="text1"/>
        </w:rPr>
        <w:t>400 MW of EO Southern Nevada solar, which was mapped to substations within the GLW-</w:t>
      </w:r>
      <w:r w:rsidR="0B5B00AF" w:rsidRPr="7CF97DD6">
        <w:rPr>
          <w:color w:val="000000" w:themeColor="text1"/>
        </w:rPr>
        <w:t xml:space="preserve">VEA inner renewable transmission zone results in </w:t>
      </w:r>
      <w:r w:rsidR="0A8815A0" w:rsidRPr="7CF97DD6">
        <w:rPr>
          <w:color w:val="000000" w:themeColor="text1"/>
        </w:rPr>
        <w:t>exceedance of the GLW-VEA zones transmission limit. This exceedance is an additional issue triggering the cr</w:t>
      </w:r>
      <w:r w:rsidR="0B5B00AF" w:rsidRPr="7CF97DD6">
        <w:rPr>
          <w:color w:val="000000" w:themeColor="text1"/>
        </w:rPr>
        <w:t>iterion 2 (transmission capability) non-compliance for Sout</w:t>
      </w:r>
      <w:r w:rsidR="1FD9278A" w:rsidRPr="7CF97DD6">
        <w:rPr>
          <w:color w:val="000000" w:themeColor="text1"/>
        </w:rPr>
        <w:t xml:space="preserve">hern Nevada </w:t>
      </w:r>
      <w:r w:rsidR="65B251C1" w:rsidRPr="7CF97DD6">
        <w:rPr>
          <w:color w:val="000000" w:themeColor="text1"/>
        </w:rPr>
        <w:t>S</w:t>
      </w:r>
      <w:r w:rsidR="1FD9278A" w:rsidRPr="7CF97DD6">
        <w:rPr>
          <w:color w:val="000000" w:themeColor="text1"/>
        </w:rPr>
        <w:t>olar</w:t>
      </w:r>
      <w:r w:rsidR="0A9EF589" w:rsidRPr="7CF97DD6">
        <w:rPr>
          <w:color w:val="000000" w:themeColor="text1"/>
        </w:rPr>
        <w:t>.</w:t>
      </w:r>
      <w:r w:rsidRPr="7CF97DD6">
        <w:rPr>
          <w:color w:val="000000" w:themeColor="text1"/>
        </w:rPr>
        <w:t xml:space="preserve"> </w:t>
      </w:r>
      <w:r w:rsidR="663F0378" w:rsidRPr="7CF97DD6">
        <w:rPr>
          <w:color w:val="000000" w:themeColor="text1"/>
        </w:rPr>
        <w:t>This exceedance can be</w:t>
      </w:r>
      <w:r w:rsidR="0AA76499" w:rsidRPr="7CF97DD6">
        <w:rPr>
          <w:color w:val="000000" w:themeColor="text1"/>
        </w:rPr>
        <w:t xml:space="preserve"> alleviated with a transmission upgrade</w:t>
      </w:r>
      <w:r w:rsidR="1F0A0A40" w:rsidRPr="7CF97DD6">
        <w:rPr>
          <w:color w:val="000000" w:themeColor="text1"/>
        </w:rPr>
        <w:t xml:space="preserve">s costing between $138-145 million as </w:t>
      </w:r>
      <w:r w:rsidR="08DB0C50" w:rsidRPr="7CF97DD6">
        <w:rPr>
          <w:color w:val="000000" w:themeColor="text1"/>
        </w:rPr>
        <w:t xml:space="preserve">noted </w:t>
      </w:r>
      <w:r w:rsidR="1F0A0A40" w:rsidRPr="7CF97DD6">
        <w:rPr>
          <w:color w:val="000000" w:themeColor="text1"/>
        </w:rPr>
        <w:t>in the Southern Nevada solar</w:t>
      </w:r>
      <w:r w:rsidR="0AA76499" w:rsidRPr="7CF97DD6">
        <w:rPr>
          <w:color w:val="000000" w:themeColor="text1"/>
        </w:rPr>
        <w:t xml:space="preserve"> </w:t>
      </w:r>
      <w:r w:rsidR="5B183481" w:rsidRPr="7CF97DD6">
        <w:rPr>
          <w:color w:val="000000" w:themeColor="text1"/>
        </w:rPr>
        <w:t xml:space="preserve">discussion </w:t>
      </w:r>
      <w:r w:rsidR="1BBE2032" w:rsidRPr="7CF97DD6">
        <w:rPr>
          <w:color w:val="000000" w:themeColor="text1"/>
        </w:rPr>
        <w:t xml:space="preserve">in the proposed adjustments following Round 2 mapping </w:t>
      </w:r>
      <w:r w:rsidR="69466B69" w:rsidRPr="7CF97DD6">
        <w:rPr>
          <w:color w:val="000000" w:themeColor="text1"/>
        </w:rPr>
        <w:t xml:space="preserve">subsection </w:t>
      </w:r>
      <w:r w:rsidR="1BBE2032" w:rsidRPr="7CF97DD6">
        <w:rPr>
          <w:color w:val="000000" w:themeColor="text1"/>
        </w:rPr>
        <w:t>in Analysis Section 6.1</w:t>
      </w:r>
      <w:r w:rsidR="00CF0884" w:rsidRPr="7CF97DD6">
        <w:rPr>
          <w:color w:val="000000" w:themeColor="text1"/>
        </w:rPr>
        <w:t xml:space="preserve"> (sum of $90 million and $</w:t>
      </w:r>
      <w:r w:rsidR="00035A10" w:rsidRPr="7CF97DD6">
        <w:rPr>
          <w:color w:val="000000" w:themeColor="text1"/>
        </w:rPr>
        <w:t>48 to $55 million)</w:t>
      </w:r>
      <w:r w:rsidR="1BBE2032" w:rsidRPr="7CF97DD6">
        <w:rPr>
          <w:color w:val="000000" w:themeColor="text1"/>
        </w:rPr>
        <w:t>.</w:t>
      </w:r>
      <w:r w:rsidR="0A47AC24" w:rsidRPr="7CF97DD6">
        <w:rPr>
          <w:color w:val="000000" w:themeColor="text1"/>
        </w:rPr>
        <w:t xml:space="preserve"> This addition of solar resources further aligns the</w:t>
      </w:r>
      <w:r w:rsidR="1BBE2032" w:rsidRPr="7CF97DD6">
        <w:rPr>
          <w:color w:val="000000" w:themeColor="text1"/>
        </w:rPr>
        <w:t xml:space="preserve"> </w:t>
      </w:r>
      <w:r w:rsidR="5D512416" w:rsidRPr="7CF97DD6">
        <w:rPr>
          <w:color w:val="000000" w:themeColor="text1"/>
        </w:rPr>
        <w:t>resource selection to that needed in a 38 MMT emission</w:t>
      </w:r>
      <w:r w:rsidR="005F216C" w:rsidRPr="7CF97DD6">
        <w:rPr>
          <w:color w:val="000000" w:themeColor="text1"/>
        </w:rPr>
        <w:t>s</w:t>
      </w:r>
      <w:r w:rsidR="5D512416" w:rsidRPr="7CF97DD6">
        <w:rPr>
          <w:color w:val="000000" w:themeColor="text1"/>
        </w:rPr>
        <w:t xml:space="preserve"> </w:t>
      </w:r>
      <w:r w:rsidR="1E2F3D21" w:rsidRPr="7CF97DD6">
        <w:rPr>
          <w:color w:val="000000" w:themeColor="text1"/>
        </w:rPr>
        <w:t>scenario</w:t>
      </w:r>
      <w:r w:rsidR="5D512416" w:rsidRPr="7CF97DD6">
        <w:rPr>
          <w:color w:val="000000" w:themeColor="text1"/>
        </w:rPr>
        <w:t>.</w:t>
      </w:r>
      <w:r w:rsidR="1BBE2032" w:rsidRPr="7CF97DD6">
        <w:rPr>
          <w:color w:val="000000" w:themeColor="text1"/>
        </w:rPr>
        <w:t xml:space="preserve"> </w:t>
      </w:r>
      <w:r w:rsidR="59A7F3AD" w:rsidRPr="7CF97DD6">
        <w:rPr>
          <w:color w:val="000000" w:themeColor="text1"/>
        </w:rPr>
        <w:t xml:space="preserve">The </w:t>
      </w:r>
      <w:r w:rsidR="11737EDE" w:rsidRPr="7CF97DD6">
        <w:rPr>
          <w:color w:val="000000" w:themeColor="text1"/>
        </w:rPr>
        <w:t>interconnection</w:t>
      </w:r>
      <w:r w:rsidR="59A7F3AD" w:rsidRPr="7CF97DD6">
        <w:rPr>
          <w:color w:val="000000" w:themeColor="text1"/>
        </w:rPr>
        <w:t xml:space="preserve"> cost analysis conducted in Section 6.1 for this </w:t>
      </w:r>
      <w:r w:rsidR="340ED926" w:rsidRPr="7CF97DD6">
        <w:rPr>
          <w:color w:val="000000" w:themeColor="text1"/>
        </w:rPr>
        <w:t>resource</w:t>
      </w:r>
      <w:r w:rsidR="59A7F3AD" w:rsidRPr="7CF97DD6">
        <w:rPr>
          <w:color w:val="000000" w:themeColor="text1"/>
        </w:rPr>
        <w:t xml:space="preserve"> </w:t>
      </w:r>
      <w:r w:rsidR="43D7A110" w:rsidRPr="7CF97DD6">
        <w:rPr>
          <w:color w:val="000000" w:themeColor="text1"/>
        </w:rPr>
        <w:t>addition concludes that its costs are comparable to adding the resources to an A</w:t>
      </w:r>
      <w:r w:rsidR="43E7BE67" w:rsidRPr="7CF97DD6">
        <w:rPr>
          <w:color w:val="000000" w:themeColor="text1"/>
        </w:rPr>
        <w:t>rizona solar</w:t>
      </w:r>
      <w:r w:rsidR="43D7A110" w:rsidRPr="7CF97DD6">
        <w:rPr>
          <w:color w:val="000000" w:themeColor="text1"/>
        </w:rPr>
        <w:t xml:space="preserve"> area that does not require transmission upgrades</w:t>
      </w:r>
      <w:r w:rsidR="2B4A14ED" w:rsidRPr="7CF97DD6">
        <w:rPr>
          <w:color w:val="000000" w:themeColor="text1"/>
        </w:rPr>
        <w:t>.</w:t>
      </w:r>
      <w:r w:rsidR="43D7A110" w:rsidRPr="7CF97DD6">
        <w:rPr>
          <w:color w:val="000000" w:themeColor="text1"/>
        </w:rPr>
        <w:t xml:space="preserve"> Thus,</w:t>
      </w:r>
      <w:r w:rsidR="59A7F3AD" w:rsidRPr="7CF97DD6">
        <w:rPr>
          <w:color w:val="000000" w:themeColor="text1"/>
        </w:rPr>
        <w:t xml:space="preserve"> it does not unnecessarily increase costs to ratepayers</w:t>
      </w:r>
      <w:r w:rsidR="16F4D034" w:rsidRPr="7CF97DD6">
        <w:rPr>
          <w:color w:val="000000" w:themeColor="text1"/>
        </w:rPr>
        <w:t xml:space="preserve"> in moving towards the 38 MMT </w:t>
      </w:r>
      <w:r w:rsidR="02F4F53B" w:rsidRPr="7CF97DD6">
        <w:rPr>
          <w:color w:val="000000" w:themeColor="text1"/>
        </w:rPr>
        <w:t>scenario</w:t>
      </w:r>
      <w:r w:rsidR="59A7F3AD" w:rsidRPr="7CF97DD6">
        <w:rPr>
          <w:color w:val="000000" w:themeColor="text1"/>
        </w:rPr>
        <w:t>.</w:t>
      </w:r>
      <w:r w:rsidR="0AA76499" w:rsidRPr="7CF97DD6">
        <w:rPr>
          <w:color w:val="000000" w:themeColor="text1"/>
        </w:rPr>
        <w:t xml:space="preserve"> </w:t>
      </w:r>
    </w:p>
    <w:p w14:paraId="6E2B14D4" w14:textId="3667BBEF" w:rsidR="65BE3847" w:rsidRPr="006E3DEF" w:rsidRDefault="0F4B08B9" w:rsidP="006E3DEF">
      <w:pPr>
        <w:pStyle w:val="ListParagraph"/>
        <w:numPr>
          <w:ilvl w:val="0"/>
          <w:numId w:val="131"/>
        </w:numPr>
        <w:spacing w:after="120"/>
        <w:rPr>
          <w:rFonts w:asciiTheme="minorHAnsi" w:eastAsiaTheme="minorEastAsia" w:hAnsiTheme="minorHAnsi" w:cstheme="minorBidi"/>
          <w:color w:val="000000" w:themeColor="text1"/>
          <w:szCs w:val="24"/>
        </w:rPr>
      </w:pPr>
      <w:r w:rsidRPr="77E596D0">
        <w:rPr>
          <w:rFonts w:eastAsia="Garamond" w:cs="Garamond"/>
          <w:color w:val="000000" w:themeColor="text1"/>
        </w:rPr>
        <w:t xml:space="preserve">Tehachapi renewable transmission zone: </w:t>
      </w:r>
      <w:r w:rsidR="0E5F3E4B" w:rsidRPr="77E596D0">
        <w:rPr>
          <w:rFonts w:eastAsia="Garamond" w:cs="Garamond"/>
          <w:color w:val="000000" w:themeColor="text1"/>
        </w:rPr>
        <w:t>Both Tehachapi Solar and Tehachapi</w:t>
      </w:r>
      <w:r w:rsidR="48EC2A69" w:rsidRPr="77E596D0">
        <w:rPr>
          <w:rFonts w:eastAsia="Garamond" w:cs="Garamond"/>
          <w:color w:val="000000" w:themeColor="text1"/>
        </w:rPr>
        <w:t xml:space="preserve"> Wind are in material non-compliance for </w:t>
      </w:r>
      <w:r w:rsidR="48EC2A69">
        <w:t>criterion 2 (transmission capability).</w:t>
      </w:r>
      <w:r w:rsidR="5C0A841D">
        <w:t xml:space="preserve"> </w:t>
      </w:r>
      <w:r w:rsidR="2C5DC673">
        <w:t>The m</w:t>
      </w:r>
      <w:r w:rsidR="5C0A841D">
        <w:t xml:space="preserve">apping of batteries to the Tehachapi renewable </w:t>
      </w:r>
      <w:r w:rsidR="2D4990E1">
        <w:t>transmission</w:t>
      </w:r>
      <w:r w:rsidR="5C0A841D">
        <w:t xml:space="preserve"> </w:t>
      </w:r>
      <w:r w:rsidR="60A81B33">
        <w:t xml:space="preserve">zone </w:t>
      </w:r>
      <w:r w:rsidR="3B6F49EA">
        <w:t>resulted in exceedance of the transmission limit. This exceedance can be alleviated with the</w:t>
      </w:r>
      <w:r w:rsidR="60987638">
        <w:t xml:space="preserve"> 1,000 MW proposed transmission upgrade based on CAISO staff guidance. </w:t>
      </w:r>
      <w:r w:rsidR="7829379E">
        <w:t>This upgrade is a least regrets approach. Mapping</w:t>
      </w:r>
      <w:r w:rsidR="307AD10A">
        <w:t xml:space="preserve"> these</w:t>
      </w:r>
      <w:r w:rsidR="7829379E">
        <w:t xml:space="preserve"> batter</w:t>
      </w:r>
      <w:r w:rsidR="1399C3F1">
        <w:t>y resources t</w:t>
      </w:r>
      <w:r w:rsidR="7829379E">
        <w:t xml:space="preserve">o other renewable transmission zones would likely trigger </w:t>
      </w:r>
      <w:r w:rsidR="13F63628">
        <w:t xml:space="preserve">upgrades for those transmission zones that are significantly more expensive than the estimated $100 million cost for the Tehachapi zone upgrade. </w:t>
      </w:r>
      <w:r w:rsidR="586EA503">
        <w:t xml:space="preserve">Further, this upgrade would ameliorate the curtailment problem at </w:t>
      </w:r>
      <w:r w:rsidR="0EE3980F">
        <w:t xml:space="preserve">the </w:t>
      </w:r>
      <w:r w:rsidR="586EA503">
        <w:t>Whirlwind substation. According to the CAISO 2020-</w:t>
      </w:r>
      <w:r w:rsidR="00B111AE">
        <w:t>20</w:t>
      </w:r>
      <w:r w:rsidR="586EA503">
        <w:t xml:space="preserve">21 TPP </w:t>
      </w:r>
      <w:r w:rsidR="586EA503">
        <w:lastRenderedPageBreak/>
        <w:t xml:space="preserve">preliminary policy and economic assessment results, the Whirlwind substation has one of the highest curtailment costs. </w:t>
      </w:r>
    </w:p>
    <w:p w14:paraId="3E1121B4" w14:textId="7B5C20CA" w:rsidR="0485D7FF" w:rsidRDefault="0485D7FF" w:rsidP="5CA33C60">
      <w:pPr>
        <w:rPr>
          <w:rFonts w:eastAsia="Garamond" w:cs="Garamond"/>
        </w:rPr>
      </w:pPr>
      <w:r w:rsidRPr="1F99C1E4">
        <w:rPr>
          <w:rFonts w:eastAsia="Garamond" w:cs="Garamond"/>
        </w:rPr>
        <w:t>Level</w:t>
      </w:r>
      <w:r w:rsidR="6374D3B3" w:rsidRPr="1F99C1E4">
        <w:rPr>
          <w:rFonts w:eastAsia="Garamond" w:cs="Garamond"/>
        </w:rPr>
        <w:t>-</w:t>
      </w:r>
      <w:r w:rsidRPr="1F99C1E4">
        <w:rPr>
          <w:rFonts w:eastAsia="Garamond" w:cs="Garamond"/>
        </w:rPr>
        <w:t xml:space="preserve">2 </w:t>
      </w:r>
      <w:r w:rsidR="5CF63CEA" w:rsidRPr="1F99C1E4">
        <w:rPr>
          <w:rFonts w:eastAsia="Garamond" w:cs="Garamond"/>
        </w:rPr>
        <w:t xml:space="preserve">non compliances for criteria 3a (available land area) and 3b (high environmental impact) </w:t>
      </w:r>
      <w:r w:rsidR="00356418" w:rsidRPr="1F99C1E4">
        <w:rPr>
          <w:rFonts w:eastAsia="Garamond" w:cs="Garamond"/>
        </w:rPr>
        <w:t>f</w:t>
      </w:r>
      <w:r w:rsidRPr="1F99C1E4">
        <w:rPr>
          <w:rFonts w:eastAsia="Garamond" w:cs="Garamond"/>
        </w:rPr>
        <w:t xml:space="preserve">or </w:t>
      </w:r>
      <w:r w:rsidR="4FABD5A1" w:rsidRPr="1F99C1E4">
        <w:rPr>
          <w:rFonts w:eastAsia="Garamond" w:cs="Garamond"/>
        </w:rPr>
        <w:t xml:space="preserve">mapped </w:t>
      </w:r>
      <w:r w:rsidRPr="1F99C1E4">
        <w:rPr>
          <w:rFonts w:eastAsia="Garamond" w:cs="Garamond"/>
        </w:rPr>
        <w:t>wind resources</w:t>
      </w:r>
      <w:r w:rsidR="151F56C6" w:rsidRPr="1F99C1E4">
        <w:rPr>
          <w:rFonts w:eastAsia="Garamond" w:cs="Garamond"/>
        </w:rPr>
        <w:t xml:space="preserve">: </w:t>
      </w:r>
      <w:r w:rsidR="00C966F1" w:rsidRPr="1F99C1E4">
        <w:rPr>
          <w:rFonts w:eastAsia="Garamond" w:cs="Garamond"/>
          <w:color w:val="000000" w:themeColor="text1"/>
        </w:rPr>
        <w:t>Following Round 1 of mapping, the dashboard showed level-2 non</w:t>
      </w:r>
      <w:r w:rsidR="3AC2824F" w:rsidRPr="1F99C1E4">
        <w:rPr>
          <w:rFonts w:eastAsia="Garamond" w:cs="Garamond"/>
          <w:color w:val="000000" w:themeColor="text1"/>
        </w:rPr>
        <w:t>-</w:t>
      </w:r>
      <w:r w:rsidR="00C966F1" w:rsidRPr="1F99C1E4">
        <w:rPr>
          <w:rFonts w:eastAsia="Garamond" w:cs="Garamond"/>
          <w:color w:val="000000" w:themeColor="text1"/>
        </w:rPr>
        <w:t xml:space="preserve">compliance with criteria 3a </w:t>
      </w:r>
      <w:r w:rsidR="00C966F1" w:rsidRPr="1F99C1E4">
        <w:rPr>
          <w:rFonts w:eastAsia="Garamond" w:cs="Garamond"/>
        </w:rPr>
        <w:t>(available land area) and 3b (high environmental impact)</w:t>
      </w:r>
      <w:r w:rsidR="00C966F1" w:rsidRPr="1F99C1E4">
        <w:rPr>
          <w:rFonts w:eastAsia="Garamond" w:cs="Garamond"/>
          <w:color w:val="000000" w:themeColor="text1"/>
        </w:rPr>
        <w:t xml:space="preserve"> for multiple wind resources for exceeding 75% of available land and exceed</w:t>
      </w:r>
      <w:r w:rsidR="56206CC7" w:rsidRPr="1F99C1E4">
        <w:rPr>
          <w:rFonts w:eastAsia="Garamond" w:cs="Garamond"/>
          <w:color w:val="000000" w:themeColor="text1"/>
        </w:rPr>
        <w:t>ing 20% available environmenta</w:t>
      </w:r>
      <w:r w:rsidR="4C1DA132" w:rsidRPr="1F99C1E4">
        <w:rPr>
          <w:rFonts w:eastAsia="Garamond" w:cs="Garamond"/>
          <w:color w:val="000000" w:themeColor="text1"/>
        </w:rPr>
        <w:t>l</w:t>
      </w:r>
      <w:r w:rsidR="56206CC7" w:rsidRPr="1F99C1E4">
        <w:rPr>
          <w:rFonts w:eastAsia="Garamond" w:cs="Garamond"/>
          <w:color w:val="000000" w:themeColor="text1"/>
        </w:rPr>
        <w:t>l</w:t>
      </w:r>
      <w:r w:rsidR="4C1DA132" w:rsidRPr="1F99C1E4">
        <w:rPr>
          <w:rFonts w:eastAsia="Garamond" w:cs="Garamond"/>
          <w:color w:val="000000" w:themeColor="text1"/>
        </w:rPr>
        <w:t>y</w:t>
      </w:r>
      <w:r w:rsidR="56206CC7" w:rsidRPr="1F99C1E4">
        <w:rPr>
          <w:rFonts w:eastAsia="Garamond" w:cs="Garamond"/>
          <w:color w:val="000000" w:themeColor="text1"/>
        </w:rPr>
        <w:t xml:space="preserve"> low-value </w:t>
      </w:r>
      <w:r w:rsidR="2B78820B" w:rsidRPr="1F99C1E4">
        <w:rPr>
          <w:rFonts w:eastAsia="Garamond" w:cs="Garamond"/>
          <w:color w:val="000000" w:themeColor="text1"/>
        </w:rPr>
        <w:t>acreage</w:t>
      </w:r>
      <w:r w:rsidR="56206CC7" w:rsidRPr="1F99C1E4">
        <w:rPr>
          <w:rFonts w:eastAsia="Garamond" w:cs="Garamond"/>
          <w:color w:val="000000" w:themeColor="text1"/>
        </w:rPr>
        <w:t xml:space="preserve">. </w:t>
      </w:r>
      <w:r w:rsidR="019138B6" w:rsidRPr="1F99C1E4">
        <w:rPr>
          <w:rFonts w:eastAsia="Garamond" w:cs="Garamond"/>
          <w:color w:val="000000" w:themeColor="text1"/>
        </w:rPr>
        <w:t xml:space="preserve">As noted in the </w:t>
      </w:r>
      <w:r w:rsidR="0E5E657E" w:rsidRPr="1F99C1E4">
        <w:rPr>
          <w:rFonts w:eastAsia="Garamond" w:cs="Garamond"/>
          <w:color w:val="000000" w:themeColor="text1"/>
        </w:rPr>
        <w:t>description</w:t>
      </w:r>
      <w:r w:rsidR="019138B6" w:rsidRPr="1F99C1E4">
        <w:rPr>
          <w:rFonts w:eastAsia="Garamond" w:cs="Garamond"/>
          <w:color w:val="000000" w:themeColor="text1"/>
        </w:rPr>
        <w:t xml:space="preserve"> of the leve</w:t>
      </w:r>
      <w:r w:rsidR="5AFAAA72" w:rsidRPr="1F99C1E4">
        <w:rPr>
          <w:rFonts w:eastAsia="Garamond" w:cs="Garamond"/>
          <w:color w:val="000000" w:themeColor="text1"/>
        </w:rPr>
        <w:t xml:space="preserve">l-3 non-compliance with criterion 3a for </w:t>
      </w:r>
      <w:r w:rsidR="5AFAAA72" w:rsidRPr="1F99C1E4">
        <w:rPr>
          <w:rFonts w:eastAsia="Garamond" w:cs="Garamond"/>
        </w:rPr>
        <w:t xml:space="preserve">Central Valley North Los </w:t>
      </w:r>
      <w:proofErr w:type="spellStart"/>
      <w:r w:rsidR="5AFAAA72" w:rsidRPr="1F99C1E4">
        <w:rPr>
          <w:rFonts w:eastAsia="Garamond" w:cs="Garamond"/>
        </w:rPr>
        <w:t>Banos</w:t>
      </w:r>
      <w:proofErr w:type="spellEnd"/>
      <w:r w:rsidR="5AFAAA72" w:rsidRPr="1F99C1E4">
        <w:rPr>
          <w:rFonts w:eastAsia="Garamond" w:cs="Garamond"/>
        </w:rPr>
        <w:t xml:space="preserve"> Wind above, this </w:t>
      </w:r>
      <w:r w:rsidR="34E01E0D" w:rsidRPr="1F99C1E4">
        <w:rPr>
          <w:rFonts w:eastAsia="Garamond" w:cs="Garamond"/>
        </w:rPr>
        <w:t>value is calculated from a RESOLVE</w:t>
      </w:r>
      <w:r w:rsidR="53043CD8" w:rsidRPr="1F99C1E4">
        <w:rPr>
          <w:rFonts w:eastAsia="Garamond" w:cs="Garamond"/>
        </w:rPr>
        <w:t>-</w:t>
      </w:r>
      <w:r w:rsidR="34E01E0D" w:rsidRPr="1F99C1E4">
        <w:rPr>
          <w:rFonts w:eastAsia="Garamond" w:cs="Garamond"/>
        </w:rPr>
        <w:t xml:space="preserve">derived wind power density for each specific wind </w:t>
      </w:r>
      <w:r w:rsidR="22B4BF25" w:rsidRPr="1F99C1E4">
        <w:rPr>
          <w:rFonts w:eastAsia="Garamond" w:cs="Garamond"/>
        </w:rPr>
        <w:t>resource</w:t>
      </w:r>
      <w:r w:rsidR="34E01E0D" w:rsidRPr="1F99C1E4">
        <w:rPr>
          <w:rFonts w:eastAsia="Garamond" w:cs="Garamond"/>
        </w:rPr>
        <w:t>. As noted above, this density is higher than</w:t>
      </w:r>
      <w:r w:rsidR="0E502C64" w:rsidRPr="1F99C1E4">
        <w:rPr>
          <w:rFonts w:eastAsia="Garamond" w:cs="Garamond"/>
        </w:rPr>
        <w:t xml:space="preserve"> the density cited in the Methodology. The consistency </w:t>
      </w:r>
      <w:r w:rsidR="0712259D" w:rsidRPr="1F99C1E4">
        <w:rPr>
          <w:rFonts w:eastAsia="Garamond" w:cs="Garamond"/>
        </w:rPr>
        <w:t>of the level-2 non-compliance for the 3b criterion across all the wind resources mapped for which data was available</w:t>
      </w:r>
      <w:r w:rsidR="3F65DDE2" w:rsidRPr="1F99C1E4">
        <w:rPr>
          <w:rFonts w:eastAsia="Garamond" w:cs="Garamond"/>
        </w:rPr>
        <w:t xml:space="preserve"> suggests either </w:t>
      </w:r>
      <w:r w:rsidR="364911E1" w:rsidRPr="1F99C1E4">
        <w:rPr>
          <w:rFonts w:eastAsia="Garamond" w:cs="Garamond"/>
        </w:rPr>
        <w:t>a constraint on the availability of</w:t>
      </w:r>
      <w:r w:rsidR="3F65DDE2" w:rsidRPr="1F99C1E4">
        <w:rPr>
          <w:rFonts w:eastAsia="Garamond" w:cs="Garamond"/>
        </w:rPr>
        <w:t xml:space="preserve"> </w:t>
      </w:r>
      <w:r w:rsidR="500EC8E2" w:rsidRPr="1F99C1E4">
        <w:rPr>
          <w:rFonts w:eastAsia="Garamond" w:cs="Garamond"/>
        </w:rPr>
        <w:t xml:space="preserve">environmentally low-value land </w:t>
      </w:r>
      <w:r w:rsidR="0CFDF098" w:rsidRPr="1F99C1E4">
        <w:rPr>
          <w:rFonts w:eastAsia="Garamond" w:cs="Garamond"/>
        </w:rPr>
        <w:t xml:space="preserve">to </w:t>
      </w:r>
      <w:r w:rsidR="1F5545AA" w:rsidRPr="1F99C1E4">
        <w:rPr>
          <w:rFonts w:eastAsia="Garamond" w:cs="Garamond"/>
        </w:rPr>
        <w:t xml:space="preserve">site </w:t>
      </w:r>
      <w:r w:rsidR="0CFDF098" w:rsidRPr="1F99C1E4">
        <w:rPr>
          <w:rFonts w:eastAsia="Garamond" w:cs="Garamond"/>
        </w:rPr>
        <w:t>wind resources or a need for CPUC staff to better tailor the environmental inputs of this criterion</w:t>
      </w:r>
      <w:r w:rsidR="68A4FC6C" w:rsidRPr="1F99C1E4">
        <w:rPr>
          <w:rFonts w:eastAsia="Garamond" w:cs="Garamond"/>
        </w:rPr>
        <w:t xml:space="preserve"> to provide a more nuanced assessment of environmental implications.</w:t>
      </w:r>
    </w:p>
    <w:p w14:paraId="3EA8A5C2" w14:textId="6884FE84" w:rsidR="7956503B" w:rsidRDefault="7956503B" w:rsidP="00BC7639">
      <w:pPr>
        <w:rPr>
          <w:rFonts w:eastAsia="Garamond" w:cs="Garamond"/>
          <w:szCs w:val="24"/>
        </w:rPr>
      </w:pPr>
    </w:p>
    <w:p w14:paraId="60177701" w14:textId="0C4088B6" w:rsidR="0E502C64" w:rsidRDefault="0E502C64" w:rsidP="1F99C1E4">
      <w:pPr>
        <w:rPr>
          <w:rFonts w:eastAsia="Garamond" w:cs="Garamond"/>
          <w:color w:val="000000" w:themeColor="text1"/>
        </w:rPr>
      </w:pPr>
      <w:r w:rsidRPr="05214C3E">
        <w:rPr>
          <w:rFonts w:eastAsia="Garamond" w:cs="Garamond"/>
          <w:color w:val="000000" w:themeColor="text1"/>
        </w:rPr>
        <w:t>Level-2 non-compliance with criterion 1 (Distance to transmission of appropriate voltage) for multiple solar resources: Following Round 1 of mapping, the dashboard showed level-2 non</w:t>
      </w:r>
      <w:r w:rsidR="18AAD406" w:rsidRPr="05214C3E">
        <w:rPr>
          <w:rFonts w:eastAsia="Garamond" w:cs="Garamond"/>
          <w:color w:val="000000" w:themeColor="text1"/>
        </w:rPr>
        <w:t>-</w:t>
      </w:r>
      <w:r w:rsidRPr="05214C3E">
        <w:rPr>
          <w:rFonts w:eastAsia="Garamond" w:cs="Garamond"/>
          <w:color w:val="000000" w:themeColor="text1"/>
        </w:rPr>
        <w:t xml:space="preserve">compliance with criterion 1 for multiple solar resources for having resources mapped to 500 kV substations. As </w:t>
      </w:r>
      <w:r w:rsidR="75C30358" w:rsidRPr="05214C3E">
        <w:rPr>
          <w:rFonts w:eastAsia="Garamond" w:cs="Garamond"/>
          <w:color w:val="000000" w:themeColor="text1"/>
        </w:rPr>
        <w:t xml:space="preserve">required by </w:t>
      </w:r>
      <w:r w:rsidRPr="05214C3E">
        <w:rPr>
          <w:rFonts w:eastAsia="Garamond" w:cs="Garamond"/>
          <w:color w:val="000000" w:themeColor="text1"/>
        </w:rPr>
        <w:t xml:space="preserve">the Methodology, CPUC staff performed </w:t>
      </w:r>
      <w:r w:rsidR="3F6ABA64" w:rsidRPr="05214C3E">
        <w:rPr>
          <w:rFonts w:eastAsia="Garamond" w:cs="Garamond"/>
          <w:color w:val="000000" w:themeColor="text1"/>
        </w:rPr>
        <w:t>i</w:t>
      </w:r>
      <w:r w:rsidRPr="05214C3E">
        <w:rPr>
          <w:rFonts w:eastAsia="Garamond" w:cs="Garamond"/>
          <w:color w:val="000000" w:themeColor="text1"/>
        </w:rPr>
        <w:t xml:space="preserve">nterconnection cost calculations showing generally higher interconnection costs for 500 kV substations compared to lower voltage substations. As a result, CPUC staff sought to reallocate and remap these resources to avoid high interconnection costs at 500 kV substations if such adjustments would not violate other criteria. </w:t>
      </w:r>
      <w:r w:rsidR="255EC843" w:rsidRPr="05214C3E">
        <w:rPr>
          <w:rFonts w:eastAsia="Garamond" w:cs="Garamond"/>
          <w:color w:val="000000" w:themeColor="text1"/>
        </w:rPr>
        <w:t xml:space="preserve">For 500 kV substations that also had 230 kV </w:t>
      </w:r>
      <w:r w:rsidR="445A1399" w:rsidRPr="05214C3E">
        <w:rPr>
          <w:rFonts w:eastAsia="Garamond" w:cs="Garamond"/>
          <w:color w:val="000000" w:themeColor="text1"/>
        </w:rPr>
        <w:t xml:space="preserve">buses </w:t>
      </w:r>
      <w:r w:rsidR="255EC843" w:rsidRPr="05214C3E">
        <w:rPr>
          <w:rFonts w:eastAsia="Garamond" w:cs="Garamond"/>
          <w:color w:val="000000" w:themeColor="text1"/>
        </w:rPr>
        <w:t>located in the same location, CPUC remapped the r</w:t>
      </w:r>
      <w:r w:rsidR="10FA3582" w:rsidRPr="05214C3E">
        <w:rPr>
          <w:rFonts w:eastAsia="Garamond" w:cs="Garamond"/>
          <w:color w:val="000000" w:themeColor="text1"/>
        </w:rPr>
        <w:t>esources assigned to the 500 kV to its 230 kV counter parts.</w:t>
      </w:r>
      <w:r w:rsidR="5C56DE03" w:rsidRPr="05214C3E">
        <w:rPr>
          <w:rFonts w:eastAsia="Garamond" w:cs="Garamond"/>
          <w:color w:val="000000" w:themeColor="text1"/>
        </w:rPr>
        <w:t xml:space="preserve"> Wind and solar resources at the following substations were remapped to the lower voltage alternative: </w:t>
      </w:r>
      <w:r w:rsidR="69567EAA" w:rsidRPr="05214C3E">
        <w:rPr>
          <w:rFonts w:eastAsia="Garamond" w:cs="Garamond"/>
          <w:color w:val="000000" w:themeColor="text1"/>
        </w:rPr>
        <w:t xml:space="preserve">the </w:t>
      </w:r>
      <w:proofErr w:type="spellStart"/>
      <w:r w:rsidR="5C56DE03" w:rsidRPr="05214C3E">
        <w:rPr>
          <w:rFonts w:eastAsia="Garamond" w:cs="Garamond"/>
          <w:color w:val="000000" w:themeColor="text1"/>
        </w:rPr>
        <w:t>Vaca</w:t>
      </w:r>
      <w:proofErr w:type="spellEnd"/>
      <w:r w:rsidR="5C56DE03" w:rsidRPr="05214C3E">
        <w:rPr>
          <w:rFonts w:eastAsia="Garamond" w:cs="Garamond"/>
          <w:color w:val="000000" w:themeColor="text1"/>
        </w:rPr>
        <w:t>-Dixon &amp; GC Yard</w:t>
      </w:r>
      <w:r w:rsidR="164D06B8" w:rsidRPr="05214C3E">
        <w:rPr>
          <w:rFonts w:eastAsia="Garamond" w:cs="Garamond"/>
          <w:color w:val="000000" w:themeColor="text1"/>
        </w:rPr>
        <w:t xml:space="preserve"> substation in the Solano renewable transmission zone</w:t>
      </w:r>
      <w:r w:rsidR="6FBD150E" w:rsidRPr="05214C3E">
        <w:rPr>
          <w:rFonts w:eastAsia="Garamond" w:cs="Garamond"/>
          <w:color w:val="000000" w:themeColor="text1"/>
        </w:rPr>
        <w:t xml:space="preserve"> and </w:t>
      </w:r>
      <w:r w:rsidR="5DAB5575" w:rsidRPr="05214C3E">
        <w:rPr>
          <w:rFonts w:eastAsia="Garamond" w:cs="Garamond"/>
          <w:color w:val="000000" w:themeColor="text1"/>
        </w:rPr>
        <w:t xml:space="preserve">the </w:t>
      </w:r>
      <w:r w:rsidR="7D889D8C" w:rsidRPr="05214C3E">
        <w:rPr>
          <w:rFonts w:eastAsia="Garamond" w:cs="Garamond"/>
          <w:color w:val="000000" w:themeColor="text1"/>
        </w:rPr>
        <w:t>Whirlwind</w:t>
      </w:r>
      <w:r w:rsidR="70BE0C34" w:rsidRPr="05214C3E">
        <w:rPr>
          <w:rFonts w:eastAsia="Garamond" w:cs="Garamond"/>
          <w:color w:val="000000" w:themeColor="text1"/>
        </w:rPr>
        <w:t xml:space="preserve"> </w:t>
      </w:r>
      <w:r w:rsidR="08A73272" w:rsidRPr="05214C3E">
        <w:rPr>
          <w:rFonts w:eastAsia="Garamond" w:cs="Garamond"/>
          <w:color w:val="000000" w:themeColor="text1"/>
        </w:rPr>
        <w:t xml:space="preserve">and Antelope </w:t>
      </w:r>
      <w:r w:rsidR="70BE0C34" w:rsidRPr="05214C3E">
        <w:rPr>
          <w:rFonts w:eastAsia="Garamond" w:cs="Garamond"/>
          <w:color w:val="000000" w:themeColor="text1"/>
        </w:rPr>
        <w:t>substation</w:t>
      </w:r>
      <w:r w:rsidR="16573D66" w:rsidRPr="05214C3E">
        <w:rPr>
          <w:rFonts w:eastAsia="Garamond" w:cs="Garamond"/>
          <w:color w:val="000000" w:themeColor="text1"/>
        </w:rPr>
        <w:t>s</w:t>
      </w:r>
      <w:r w:rsidR="70BE0C34" w:rsidRPr="05214C3E">
        <w:rPr>
          <w:rFonts w:eastAsia="Garamond" w:cs="Garamond"/>
          <w:color w:val="000000" w:themeColor="text1"/>
        </w:rPr>
        <w:t xml:space="preserve"> in the Tehachapi renewable transmission zone</w:t>
      </w:r>
      <w:r w:rsidR="517A5DBF" w:rsidRPr="05214C3E">
        <w:rPr>
          <w:rFonts w:eastAsia="Garamond" w:cs="Garamond"/>
          <w:color w:val="000000" w:themeColor="text1"/>
        </w:rPr>
        <w:t>.</w:t>
      </w:r>
      <w:r w:rsidR="10FA3582" w:rsidRPr="05214C3E">
        <w:rPr>
          <w:rFonts w:eastAsia="Garamond" w:cs="Garamond"/>
          <w:color w:val="000000" w:themeColor="text1"/>
        </w:rPr>
        <w:t xml:space="preserve"> For 500 kV substations without a co-located lower voltage substation</w:t>
      </w:r>
      <w:r w:rsidR="62CDE3B9" w:rsidRPr="05214C3E">
        <w:rPr>
          <w:rFonts w:eastAsia="Garamond" w:cs="Garamond"/>
          <w:color w:val="000000" w:themeColor="text1"/>
        </w:rPr>
        <w:t xml:space="preserve"> in the same transmission zone</w:t>
      </w:r>
      <w:r w:rsidR="10FA3582" w:rsidRPr="05214C3E">
        <w:rPr>
          <w:rFonts w:eastAsia="Garamond" w:cs="Garamond"/>
          <w:color w:val="000000" w:themeColor="text1"/>
        </w:rPr>
        <w:t>,</w:t>
      </w:r>
      <w:r w:rsidRPr="05214C3E">
        <w:rPr>
          <w:rFonts w:eastAsia="Garamond" w:cs="Garamond"/>
          <w:color w:val="000000" w:themeColor="text1"/>
        </w:rPr>
        <w:t xml:space="preserve"> CPUC staff were unable to make significant adjustments to solar resources mapped </w:t>
      </w:r>
      <w:r w:rsidR="68310FFF" w:rsidRPr="05214C3E">
        <w:rPr>
          <w:rFonts w:eastAsia="Garamond" w:cs="Garamond"/>
          <w:color w:val="000000" w:themeColor="text1"/>
        </w:rPr>
        <w:t xml:space="preserve">these </w:t>
      </w:r>
      <w:r w:rsidRPr="05214C3E">
        <w:rPr>
          <w:rFonts w:eastAsia="Garamond" w:cs="Garamond"/>
          <w:color w:val="000000" w:themeColor="text1"/>
        </w:rPr>
        <w:t>500 kV substation</w:t>
      </w:r>
      <w:r w:rsidR="744CA891" w:rsidRPr="05214C3E">
        <w:rPr>
          <w:rFonts w:eastAsia="Garamond" w:cs="Garamond"/>
          <w:color w:val="000000" w:themeColor="text1"/>
        </w:rPr>
        <w:t>s</w:t>
      </w:r>
      <w:r w:rsidRPr="05214C3E">
        <w:rPr>
          <w:rFonts w:eastAsia="Garamond" w:cs="Garamond"/>
          <w:color w:val="000000" w:themeColor="text1"/>
        </w:rPr>
        <w:t xml:space="preserve"> due to predominately triggering non-compliance with criterion 2 (transmission capability constraints).</w:t>
      </w:r>
      <w:r w:rsidR="6F68F39B" w:rsidRPr="05214C3E">
        <w:rPr>
          <w:rFonts w:eastAsia="Garamond" w:cs="Garamond"/>
          <w:color w:val="000000" w:themeColor="text1"/>
        </w:rPr>
        <w:t xml:space="preserve"> </w:t>
      </w:r>
      <w:r w:rsidRPr="05214C3E">
        <w:rPr>
          <w:rFonts w:eastAsia="Garamond" w:cs="Garamond"/>
          <w:color w:val="000000" w:themeColor="text1"/>
        </w:rPr>
        <w:t>Possible adjustments that were considered but not implemented include:</w:t>
      </w:r>
    </w:p>
    <w:p w14:paraId="4A35A799" w14:textId="0C4088B6" w:rsidR="00B93E9E" w:rsidRDefault="00B93E9E" w:rsidP="1F99C1E4">
      <w:pPr>
        <w:rPr>
          <w:rFonts w:eastAsia="Garamond" w:cs="Garamond"/>
          <w:color w:val="000000" w:themeColor="text1"/>
        </w:rPr>
      </w:pPr>
    </w:p>
    <w:p w14:paraId="07BA4562" w14:textId="0C73FA33" w:rsidR="0E502C64" w:rsidRDefault="0E502C64" w:rsidP="5CA33C60">
      <w:pPr>
        <w:pStyle w:val="ListParagraph"/>
        <w:numPr>
          <w:ilvl w:val="0"/>
          <w:numId w:val="62"/>
        </w:numPr>
        <w:spacing w:after="160" w:line="259" w:lineRule="auto"/>
        <w:rPr>
          <w:rFonts w:eastAsia="Garamond" w:cs="Garamond"/>
          <w:color w:val="000000" w:themeColor="text1"/>
        </w:rPr>
      </w:pPr>
      <w:r w:rsidRPr="1F99C1E4">
        <w:rPr>
          <w:rFonts w:eastAsia="Garamond" w:cs="Garamond"/>
          <w:color w:val="000000" w:themeColor="text1"/>
        </w:rPr>
        <w:t xml:space="preserve">Limiting solar resources mapped to the Gates 500 kV substation: </w:t>
      </w:r>
      <w:proofErr w:type="gramStart"/>
      <w:r w:rsidRPr="1F99C1E4">
        <w:rPr>
          <w:rFonts w:eastAsia="Garamond" w:cs="Garamond"/>
          <w:color w:val="000000" w:themeColor="text1"/>
        </w:rPr>
        <w:t>the</w:t>
      </w:r>
      <w:proofErr w:type="gramEnd"/>
      <w:r w:rsidRPr="1F99C1E4">
        <w:rPr>
          <w:rFonts w:eastAsia="Garamond" w:cs="Garamond"/>
          <w:color w:val="000000" w:themeColor="text1"/>
        </w:rPr>
        <w:t xml:space="preserve"> Gates 500 kV substation has </w:t>
      </w:r>
      <w:r w:rsidR="6A45C214" w:rsidRPr="1F99C1E4">
        <w:rPr>
          <w:rFonts w:eastAsia="Garamond" w:cs="Garamond"/>
          <w:color w:val="000000" w:themeColor="text1"/>
        </w:rPr>
        <w:t xml:space="preserve">a </w:t>
      </w:r>
      <w:r w:rsidRPr="1F99C1E4">
        <w:rPr>
          <w:rFonts w:eastAsia="Garamond" w:cs="Garamond"/>
          <w:color w:val="000000" w:themeColor="text1"/>
        </w:rPr>
        <w:t xml:space="preserve">significant </w:t>
      </w:r>
      <w:r w:rsidR="08AB4FDF" w:rsidRPr="1F99C1E4">
        <w:rPr>
          <w:rFonts w:eastAsia="Garamond" w:cs="Garamond"/>
          <w:color w:val="000000" w:themeColor="text1"/>
        </w:rPr>
        <w:t xml:space="preserve">amount of </w:t>
      </w:r>
      <w:r w:rsidRPr="1F99C1E4">
        <w:rPr>
          <w:rFonts w:eastAsia="Garamond" w:cs="Garamond"/>
          <w:color w:val="000000" w:themeColor="text1"/>
        </w:rPr>
        <w:t>solar resources mapped to it despite estimated high interconnection</w:t>
      </w:r>
      <w:r w:rsidR="789E68AD" w:rsidRPr="1F99C1E4">
        <w:rPr>
          <w:rFonts w:eastAsia="Garamond" w:cs="Garamond"/>
          <w:color w:val="000000" w:themeColor="text1"/>
        </w:rPr>
        <w:t xml:space="preserve"> cost</w:t>
      </w:r>
      <w:r w:rsidRPr="1F99C1E4">
        <w:rPr>
          <w:rFonts w:eastAsia="Garamond" w:cs="Garamond"/>
          <w:color w:val="000000" w:themeColor="text1"/>
        </w:rPr>
        <w:t xml:space="preserve">s. </w:t>
      </w:r>
      <w:r w:rsidR="78F4FCD7" w:rsidRPr="1F99C1E4">
        <w:rPr>
          <w:rFonts w:eastAsia="Garamond" w:cs="Garamond"/>
          <w:color w:val="000000" w:themeColor="text1"/>
        </w:rPr>
        <w:t xml:space="preserve">However, </w:t>
      </w:r>
      <w:r w:rsidR="0D10B12B" w:rsidRPr="1F99C1E4">
        <w:rPr>
          <w:rFonts w:eastAsia="Garamond" w:cs="Garamond"/>
          <w:color w:val="000000" w:themeColor="text1"/>
        </w:rPr>
        <w:t>e</w:t>
      </w:r>
      <w:r w:rsidRPr="1F99C1E4">
        <w:rPr>
          <w:rFonts w:eastAsia="Garamond" w:cs="Garamond"/>
          <w:color w:val="000000" w:themeColor="text1"/>
        </w:rPr>
        <w:t xml:space="preserve">xceedance of the transmission limits for the Southern PG&amp;E outer renewable transmission zone and the </w:t>
      </w:r>
      <w:proofErr w:type="spellStart"/>
      <w:r w:rsidRPr="1F99C1E4">
        <w:rPr>
          <w:rFonts w:eastAsia="Garamond" w:cs="Garamond"/>
          <w:color w:val="000000" w:themeColor="text1"/>
        </w:rPr>
        <w:t>Westlands</w:t>
      </w:r>
      <w:proofErr w:type="spellEnd"/>
      <w:r w:rsidRPr="1F99C1E4">
        <w:rPr>
          <w:rFonts w:eastAsia="Garamond" w:cs="Garamond"/>
          <w:color w:val="000000" w:themeColor="text1"/>
        </w:rPr>
        <w:t xml:space="preserve"> inner renewable transmission zone, even with the triggered transmission upgrades, required remapping of resources in </w:t>
      </w:r>
      <w:proofErr w:type="spellStart"/>
      <w:r w:rsidRPr="1F99C1E4">
        <w:rPr>
          <w:rFonts w:eastAsia="Garamond" w:cs="Garamond"/>
          <w:color w:val="000000" w:themeColor="text1"/>
        </w:rPr>
        <w:t>Westlands</w:t>
      </w:r>
      <w:proofErr w:type="spellEnd"/>
      <w:r w:rsidRPr="1F99C1E4">
        <w:rPr>
          <w:rFonts w:eastAsia="Garamond" w:cs="Garamond"/>
          <w:color w:val="000000" w:themeColor="text1"/>
        </w:rPr>
        <w:t xml:space="preserve"> Solar to the Gates 500 kV substation. The substation is geographically near the </w:t>
      </w:r>
      <w:proofErr w:type="spellStart"/>
      <w:r w:rsidRPr="1F99C1E4">
        <w:rPr>
          <w:rFonts w:eastAsia="Garamond" w:cs="Garamond"/>
          <w:color w:val="000000" w:themeColor="text1"/>
        </w:rPr>
        <w:t>Westlands</w:t>
      </w:r>
      <w:proofErr w:type="spellEnd"/>
      <w:r w:rsidRPr="1F99C1E4">
        <w:rPr>
          <w:rFonts w:eastAsia="Garamond" w:cs="Garamond"/>
          <w:color w:val="000000" w:themeColor="text1"/>
        </w:rPr>
        <w:t xml:space="preserve"> renewable transmission zone but electrically separate from the Southern PG&amp;E transmission zone according to guidance from CAISO. </w:t>
      </w:r>
    </w:p>
    <w:p w14:paraId="39A38712" w14:textId="623F2440" w:rsidR="0E502C64" w:rsidRDefault="0E502C64" w:rsidP="5CA33C60">
      <w:pPr>
        <w:pStyle w:val="ListParagraph"/>
        <w:numPr>
          <w:ilvl w:val="0"/>
          <w:numId w:val="62"/>
        </w:numPr>
        <w:spacing w:after="160" w:line="259" w:lineRule="auto"/>
        <w:rPr>
          <w:rFonts w:eastAsia="Garamond" w:cs="Garamond"/>
          <w:color w:val="000000" w:themeColor="text1"/>
        </w:rPr>
      </w:pPr>
      <w:r w:rsidRPr="099CA948">
        <w:rPr>
          <w:rFonts w:eastAsia="Garamond" w:cs="Garamond"/>
          <w:color w:val="000000" w:themeColor="text1"/>
        </w:rPr>
        <w:t xml:space="preserve">Remapping solar resources at Mohave and El Dorado 500 kV substations to lower voltage substations in the Greater Imperial and Riverside Palm Springs inner renewable transmission zones. This adjustment was considered given the commercial interest </w:t>
      </w:r>
      <w:r w:rsidR="6EFD6A8A" w:rsidRPr="099CA948">
        <w:rPr>
          <w:rFonts w:eastAsia="Garamond" w:cs="Garamond"/>
          <w:color w:val="000000" w:themeColor="text1"/>
        </w:rPr>
        <w:t>in</w:t>
      </w:r>
      <w:r w:rsidRPr="099CA948">
        <w:rPr>
          <w:rFonts w:eastAsia="Garamond" w:cs="Garamond"/>
          <w:color w:val="000000" w:themeColor="text1"/>
        </w:rPr>
        <w:t xml:space="preserve"> Greater Imperial Solar and Riverside Palm Springs Solar, and the number of DACs in these areas. However, CAISO staff provided guidance on possible transmission </w:t>
      </w:r>
      <w:r w:rsidRPr="099CA948">
        <w:rPr>
          <w:rFonts w:eastAsia="Garamond" w:cs="Garamond"/>
          <w:color w:val="000000" w:themeColor="text1"/>
        </w:rPr>
        <w:lastRenderedPageBreak/>
        <w:t xml:space="preserve">constraints within the Southern California Desert and Southern Nevada outer renewable transmission </w:t>
      </w:r>
      <w:r w:rsidR="34E4198E" w:rsidRPr="099CA948">
        <w:rPr>
          <w:rFonts w:eastAsia="Garamond" w:cs="Garamond"/>
          <w:color w:val="000000" w:themeColor="text1"/>
        </w:rPr>
        <w:t>zone based</w:t>
      </w:r>
      <w:r w:rsidRPr="099CA948">
        <w:rPr>
          <w:rFonts w:eastAsia="Garamond" w:cs="Garamond"/>
          <w:color w:val="000000" w:themeColor="text1"/>
        </w:rPr>
        <w:t xml:space="preserve"> on the distribution of resources amongst the inner transmission zones as noted above. Keeping the solar resources to the Mohave and El Dorado 500 kV substation reduces this potential to trigger the costly transmission upgrade in the Southern California Desert and Southern Nevada outer renewable transmission zone.</w:t>
      </w:r>
    </w:p>
    <w:p w14:paraId="259997B3" w14:textId="7A4EB5ED" w:rsidR="7956503B" w:rsidRPr="006E3DEF" w:rsidRDefault="0E502C64" w:rsidP="006E3DEF">
      <w:pPr>
        <w:pStyle w:val="ListParagraph"/>
        <w:numPr>
          <w:ilvl w:val="0"/>
          <w:numId w:val="62"/>
        </w:numPr>
        <w:spacing w:after="160" w:line="259" w:lineRule="auto"/>
        <w:rPr>
          <w:rFonts w:asciiTheme="minorHAnsi" w:eastAsiaTheme="minorEastAsia" w:hAnsiTheme="minorHAnsi" w:cstheme="minorBidi"/>
          <w:color w:val="000000" w:themeColor="text1"/>
        </w:rPr>
      </w:pPr>
      <w:r w:rsidRPr="1F99C1E4">
        <w:rPr>
          <w:rFonts w:eastAsia="Garamond" w:cs="Garamond"/>
          <w:color w:val="000000" w:themeColor="text1"/>
        </w:rPr>
        <w:t xml:space="preserve">Remapping Arizona Solar EO resources </w:t>
      </w:r>
      <w:r w:rsidR="0DA98519" w:rsidRPr="099CA948">
        <w:rPr>
          <w:rFonts w:eastAsia="Garamond" w:cs="Garamond"/>
          <w:color w:val="000000" w:themeColor="text1"/>
        </w:rPr>
        <w:t>from the</w:t>
      </w:r>
      <w:r w:rsidRPr="1F99C1E4">
        <w:rPr>
          <w:rFonts w:eastAsia="Garamond" w:cs="Garamond"/>
          <w:color w:val="000000" w:themeColor="text1"/>
        </w:rPr>
        <w:t xml:space="preserve"> 500 kV substations </w:t>
      </w:r>
      <w:r w:rsidR="2B1CAAC1" w:rsidRPr="099CA948">
        <w:rPr>
          <w:rFonts w:eastAsia="Garamond" w:cs="Garamond"/>
          <w:color w:val="000000" w:themeColor="text1"/>
        </w:rPr>
        <w:t>mapped</w:t>
      </w:r>
      <w:r w:rsidRPr="099CA948">
        <w:rPr>
          <w:rFonts w:eastAsia="Garamond" w:cs="Garamond"/>
          <w:color w:val="000000" w:themeColor="text1"/>
        </w:rPr>
        <w:t xml:space="preserve"> </w:t>
      </w:r>
      <w:r w:rsidRPr="1F99C1E4">
        <w:rPr>
          <w:rFonts w:eastAsia="Garamond" w:cs="Garamond"/>
          <w:color w:val="000000" w:themeColor="text1"/>
        </w:rPr>
        <w:t xml:space="preserve">during Round 1 to lower voltage substations in the GLW-VEA inner renewable transmission zone. CPUC staff’s estimated interconnection cost calculations found interconnecting to the Arizona Solar 500 kV substations </w:t>
      </w:r>
      <w:r w:rsidR="31C9EF2C" w:rsidRPr="1F99C1E4">
        <w:rPr>
          <w:rFonts w:eastAsia="Garamond" w:cs="Garamond"/>
          <w:color w:val="000000" w:themeColor="text1"/>
        </w:rPr>
        <w:t xml:space="preserve">significantly </w:t>
      </w:r>
      <w:r w:rsidRPr="1F99C1E4">
        <w:rPr>
          <w:rFonts w:eastAsia="Garamond" w:cs="Garamond"/>
          <w:color w:val="000000" w:themeColor="text1"/>
        </w:rPr>
        <w:t xml:space="preserve">higher than the lower voltage substation in the GLW-VEA inner transmission zone. </w:t>
      </w:r>
      <w:r w:rsidR="5DC37EB3" w:rsidRPr="057D115D">
        <w:rPr>
          <w:rFonts w:eastAsia="Garamond" w:cs="Garamond"/>
          <w:color w:val="000000" w:themeColor="text1"/>
        </w:rPr>
        <w:t xml:space="preserve"> </w:t>
      </w:r>
      <w:r w:rsidR="00ED5BC6">
        <w:rPr>
          <w:rFonts w:eastAsia="Garamond" w:cs="Garamond"/>
          <w:color w:val="000000" w:themeColor="text1"/>
        </w:rPr>
        <w:t>However</w:t>
      </w:r>
      <w:r w:rsidR="2D1D7015" w:rsidRPr="057D115D">
        <w:rPr>
          <w:rFonts w:eastAsia="Garamond" w:cs="Garamond"/>
          <w:color w:val="000000" w:themeColor="text1"/>
        </w:rPr>
        <w:t>, as discussed in Analysis Section 6.1,</w:t>
      </w:r>
      <w:r w:rsidR="00ED5BC6" w:rsidRPr="057D115D">
        <w:rPr>
          <w:rFonts w:eastAsia="Garamond" w:cs="Garamond"/>
          <w:color w:val="000000" w:themeColor="text1"/>
        </w:rPr>
        <w:t xml:space="preserve"> s</w:t>
      </w:r>
      <w:r w:rsidR="492D2040" w:rsidRPr="057D115D">
        <w:rPr>
          <w:rFonts w:eastAsia="Garamond" w:cs="Garamond"/>
          <w:color w:val="000000" w:themeColor="text1"/>
        </w:rPr>
        <w:t xml:space="preserve">taff </w:t>
      </w:r>
      <w:r w:rsidR="00DF146C" w:rsidRPr="057D115D">
        <w:rPr>
          <w:rFonts w:eastAsia="Garamond" w:cs="Garamond"/>
          <w:color w:val="000000" w:themeColor="text1"/>
        </w:rPr>
        <w:t>concluded</w:t>
      </w:r>
      <w:r w:rsidRPr="4E1893D1" w:rsidDel="0E502C64">
        <w:rPr>
          <w:rFonts w:eastAsia="Garamond" w:cs="Garamond"/>
          <w:color w:val="000000" w:themeColor="text1"/>
        </w:rPr>
        <w:t xml:space="preserve"> </w:t>
      </w:r>
      <w:r w:rsidR="37D0174D" w:rsidRPr="1F99C1E4">
        <w:rPr>
          <w:rFonts w:eastAsia="Garamond" w:cs="Garamond"/>
          <w:color w:val="000000" w:themeColor="text1"/>
        </w:rPr>
        <w:t xml:space="preserve">not </w:t>
      </w:r>
      <w:r w:rsidR="00DF146C">
        <w:rPr>
          <w:rFonts w:eastAsia="Garamond" w:cs="Garamond"/>
          <w:color w:val="000000" w:themeColor="text1"/>
        </w:rPr>
        <w:t xml:space="preserve">to </w:t>
      </w:r>
      <w:r w:rsidR="37D0174D" w:rsidRPr="057D115D">
        <w:rPr>
          <w:rFonts w:eastAsia="Garamond" w:cs="Garamond"/>
          <w:color w:val="000000" w:themeColor="text1"/>
        </w:rPr>
        <w:t>relocat</w:t>
      </w:r>
      <w:r w:rsidR="00DF146C" w:rsidRPr="057D115D">
        <w:rPr>
          <w:rFonts w:eastAsia="Garamond" w:cs="Garamond"/>
          <w:color w:val="000000" w:themeColor="text1"/>
        </w:rPr>
        <w:t>e</w:t>
      </w:r>
      <w:r w:rsidR="337242AF" w:rsidRPr="1F99C1E4">
        <w:rPr>
          <w:rFonts w:eastAsia="Garamond" w:cs="Garamond"/>
          <w:color w:val="000000" w:themeColor="text1"/>
        </w:rPr>
        <w:t xml:space="preserve"> </w:t>
      </w:r>
      <w:r w:rsidR="1ACE08BD" w:rsidRPr="1F99C1E4">
        <w:rPr>
          <w:rFonts w:eastAsia="Garamond" w:cs="Garamond"/>
          <w:color w:val="000000" w:themeColor="text1"/>
        </w:rPr>
        <w:t>Arizona Solar resource</w:t>
      </w:r>
      <w:r w:rsidR="61053FBF" w:rsidRPr="1F99C1E4">
        <w:rPr>
          <w:rFonts w:eastAsia="Garamond" w:cs="Garamond"/>
          <w:color w:val="000000" w:themeColor="text1"/>
        </w:rPr>
        <w:t>s</w:t>
      </w:r>
      <w:r w:rsidR="1ACE08BD" w:rsidRPr="1F99C1E4">
        <w:rPr>
          <w:rFonts w:eastAsia="Garamond" w:cs="Garamond"/>
          <w:color w:val="000000" w:themeColor="text1"/>
        </w:rPr>
        <w:t xml:space="preserve"> </w:t>
      </w:r>
      <w:r w:rsidR="0558C997" w:rsidRPr="1F99C1E4">
        <w:rPr>
          <w:rFonts w:eastAsia="Garamond" w:cs="Garamond"/>
          <w:color w:val="000000" w:themeColor="text1"/>
        </w:rPr>
        <w:t xml:space="preserve">from </w:t>
      </w:r>
      <w:r w:rsidR="1ACE08BD" w:rsidRPr="1F99C1E4">
        <w:rPr>
          <w:rFonts w:eastAsia="Garamond" w:cs="Garamond"/>
          <w:color w:val="000000" w:themeColor="text1"/>
        </w:rPr>
        <w:t xml:space="preserve">their mapped locations </w:t>
      </w:r>
      <w:r w:rsidR="45A91F8F" w:rsidRPr="1F99C1E4">
        <w:rPr>
          <w:rFonts w:eastAsia="Garamond" w:cs="Garamond"/>
          <w:color w:val="000000" w:themeColor="text1"/>
        </w:rPr>
        <w:t xml:space="preserve">to </w:t>
      </w:r>
      <w:r w:rsidR="7E00D9EB" w:rsidRPr="1F99C1E4">
        <w:rPr>
          <w:rFonts w:eastAsia="Garamond" w:cs="Garamond"/>
          <w:color w:val="000000" w:themeColor="text1"/>
        </w:rPr>
        <w:t xml:space="preserve">maintain consistency with the </w:t>
      </w:r>
      <w:r w:rsidR="0C552C79" w:rsidRPr="1F99C1E4">
        <w:rPr>
          <w:rFonts w:eastAsia="Garamond" w:cs="Garamond"/>
          <w:color w:val="000000" w:themeColor="text1"/>
        </w:rPr>
        <w:t>mapping of the 2020-2021 TPP</w:t>
      </w:r>
      <w:r w:rsidR="66F845EB" w:rsidRPr="1F99C1E4">
        <w:rPr>
          <w:rFonts w:eastAsia="Garamond" w:cs="Garamond"/>
          <w:color w:val="000000" w:themeColor="text1"/>
        </w:rPr>
        <w:t>’s 2019 RSP</w:t>
      </w:r>
      <w:r w:rsidR="0C552C79" w:rsidRPr="1F99C1E4">
        <w:rPr>
          <w:rFonts w:eastAsia="Garamond" w:cs="Garamond"/>
          <w:color w:val="000000" w:themeColor="text1"/>
        </w:rPr>
        <w:t xml:space="preserve"> </w:t>
      </w:r>
      <w:r w:rsidR="4B3556B8" w:rsidRPr="1F99C1E4">
        <w:rPr>
          <w:rFonts w:eastAsia="Garamond" w:cs="Garamond"/>
          <w:color w:val="000000" w:themeColor="text1"/>
        </w:rPr>
        <w:t xml:space="preserve">portfolio </w:t>
      </w:r>
      <w:r w:rsidR="63E07151" w:rsidRPr="1F99C1E4">
        <w:rPr>
          <w:rFonts w:eastAsia="Garamond" w:cs="Garamond"/>
          <w:color w:val="000000" w:themeColor="text1"/>
        </w:rPr>
        <w:t>and to align with the significant amount of commercial interest in the resource.</w:t>
      </w:r>
      <w:r w:rsidR="7D1F674F" w:rsidRPr="1F99C1E4">
        <w:rPr>
          <w:rFonts w:eastAsia="Garamond" w:cs="Garamond"/>
          <w:color w:val="000000" w:themeColor="text1"/>
        </w:rPr>
        <w:t xml:space="preserve"> </w:t>
      </w:r>
    </w:p>
    <w:p w14:paraId="7B5AADC3" w14:textId="2F04B9CF" w:rsidR="3D710D03" w:rsidRDefault="3D710D03" w:rsidP="00A24A87">
      <w:pPr>
        <w:spacing w:after="160" w:line="259" w:lineRule="auto"/>
        <w:rPr>
          <w:rFonts w:eastAsia="Garamond" w:cs="Garamond"/>
          <w:color w:val="000000" w:themeColor="text1"/>
        </w:rPr>
      </w:pPr>
      <w:r w:rsidRPr="099CA948">
        <w:rPr>
          <w:rFonts w:eastAsia="Garamond" w:cs="Garamond"/>
          <w:color w:val="000000" w:themeColor="text1"/>
        </w:rPr>
        <w:t>Based on the above, staff concludes that the instances of non-compliance for this portfolio are acceptable.</w:t>
      </w:r>
    </w:p>
    <w:p w14:paraId="5712F220" w14:textId="343ACBA6" w:rsidR="00C127FE" w:rsidRDefault="00C127FE" w:rsidP="00DF30B6">
      <w:pPr>
        <w:pStyle w:val="Heading4"/>
      </w:pPr>
      <w:r>
        <w:t xml:space="preserve">Battery Storage </w:t>
      </w:r>
    </w:p>
    <w:p w14:paraId="4EA378FE" w14:textId="7CD72277" w:rsidR="00B13D65" w:rsidRPr="00B13D65" w:rsidRDefault="22D6BDC9" w:rsidP="00B13D65">
      <w:r>
        <w:t xml:space="preserve">The busbar mapping </w:t>
      </w:r>
      <w:r w:rsidR="6D55D4F6">
        <w:t xml:space="preserve">of battery resources </w:t>
      </w:r>
      <w:r w:rsidR="10B7F21E">
        <w:t>was completed with only one round of mapping</w:t>
      </w:r>
      <w:r w:rsidR="1EC8644E">
        <w:t>,</w:t>
      </w:r>
      <w:r w:rsidR="047C751F">
        <w:t xml:space="preserve"> following the </w:t>
      </w:r>
      <w:r w:rsidR="393348E8">
        <w:t>first</w:t>
      </w:r>
      <w:r w:rsidR="047C751F">
        <w:t xml:space="preserve"> round of non-battery (generation) resources</w:t>
      </w:r>
      <w:r w:rsidR="70D7825F">
        <w:t xml:space="preserve"> proposed adjustments</w:t>
      </w:r>
      <w:r w:rsidR="047C751F">
        <w:t xml:space="preserve">. </w:t>
      </w:r>
      <w:r w:rsidR="4DA2C8D0">
        <w:t xml:space="preserve">Details of the battery mapping results are shown in Appendix </w:t>
      </w:r>
      <w:r w:rsidR="004F1509">
        <w:fldChar w:fldCharType="begin"/>
      </w:r>
      <w:r w:rsidR="004F1509">
        <w:instrText xml:space="preserve"> REF _Ref59457313 \r \h </w:instrText>
      </w:r>
      <w:r w:rsidR="004F1509">
        <w:fldChar w:fldCharType="separate"/>
      </w:r>
      <w:r w:rsidR="003B7A14">
        <w:t>C</w:t>
      </w:r>
      <w:r w:rsidR="004F1509">
        <w:fldChar w:fldCharType="end"/>
      </w:r>
      <w:r w:rsidR="009F6395">
        <w:t xml:space="preserve"> </w:t>
      </w:r>
      <w:r w:rsidR="44173425">
        <w:t xml:space="preserve">and summarized below. </w:t>
      </w:r>
    </w:p>
    <w:p w14:paraId="7DD710BE" w14:textId="7097982C" w:rsidR="40A5FC40" w:rsidRDefault="40A5FC40" w:rsidP="40A5FC40"/>
    <w:p w14:paraId="4F1DB655" w14:textId="07AC807A" w:rsidR="38404E1C" w:rsidRDefault="38404E1C" w:rsidP="40A5FC40">
      <w:pPr>
        <w:rPr>
          <w:u w:val="single"/>
        </w:rPr>
      </w:pPr>
      <w:r w:rsidRPr="00A12BEE">
        <w:rPr>
          <w:u w:val="single"/>
        </w:rPr>
        <w:t>Function Summary</w:t>
      </w:r>
      <w:r w:rsidR="1F41D6A2" w:rsidRPr="00A12BEE">
        <w:rPr>
          <w:u w:val="single"/>
        </w:rPr>
        <w:t>:</w:t>
      </w:r>
    </w:p>
    <w:p w14:paraId="7FC97F9D" w14:textId="77777777" w:rsidR="00A12BEE" w:rsidRPr="00A12BEE" w:rsidRDefault="00A12BEE" w:rsidP="40A5FC40">
      <w:pPr>
        <w:rPr>
          <w:u w:val="single"/>
        </w:rPr>
      </w:pPr>
    </w:p>
    <w:p w14:paraId="54DD0C2E" w14:textId="787BDC5D" w:rsidR="6CB293FF" w:rsidRDefault="6B9E6DE7" w:rsidP="6CB293FF">
      <w:r>
        <w:t>Stand</w:t>
      </w:r>
      <w:r w:rsidR="7678BA3E">
        <w:t>-</w:t>
      </w:r>
      <w:r>
        <w:t>Alone Resources</w:t>
      </w:r>
    </w:p>
    <w:p w14:paraId="3EFD48F1" w14:textId="4E30DEC6" w:rsidR="40A5FC40" w:rsidRDefault="3145BE6B" w:rsidP="00A12BEE">
      <w:r>
        <w:t xml:space="preserve">The first battery resources mapped are to LCR areas and represent the </w:t>
      </w:r>
      <w:r w:rsidR="0CBCDC00">
        <w:t>amount of battery resources that can provide both local and system capacity. 2,</w:t>
      </w:r>
      <w:r w:rsidR="407621D9">
        <w:t>133</w:t>
      </w:r>
      <w:r w:rsidR="0CBCDC00">
        <w:t xml:space="preserve"> MW are mapped to substations </w:t>
      </w:r>
      <w:r w:rsidR="4D503F05">
        <w:t>with</w:t>
      </w:r>
      <w:r w:rsidR="0CBCDC00">
        <w:t xml:space="preserve">in the </w:t>
      </w:r>
      <w:r w:rsidR="0C9193E2">
        <w:t>“Ex” zones</w:t>
      </w:r>
      <w:r w:rsidR="0CBCDC00">
        <w:t xml:space="preserve">. </w:t>
      </w:r>
      <w:r w:rsidR="04D5D69E">
        <w:t>In addition to these</w:t>
      </w:r>
      <w:r w:rsidR="0CD24578">
        <w:t xml:space="preserve">, stand-alone resources that provide </w:t>
      </w:r>
      <w:r w:rsidR="28CDC011">
        <w:t>system-only capacity are</w:t>
      </w:r>
      <w:r w:rsidR="43EA93E6">
        <w:t xml:space="preserve"> also</w:t>
      </w:r>
      <w:r w:rsidR="28CDC011">
        <w:t xml:space="preserve"> mapped</w:t>
      </w:r>
      <w:r w:rsidR="42F8C70A">
        <w:t xml:space="preserve"> to substations inside LCR areas and outside of LCR areas</w:t>
      </w:r>
      <w:r w:rsidR="757D4728">
        <w:t>.</w:t>
      </w:r>
      <w:r w:rsidR="28CDC011">
        <w:t xml:space="preserve"> For the substations in the LCR areas, these </w:t>
      </w:r>
      <w:r w:rsidR="63CCCB2A">
        <w:t>batteries are beyond the 4-hour 1-for-1 replacement for local resources but can still provide system be</w:t>
      </w:r>
      <w:r w:rsidR="21AEB93F">
        <w:t>nefits</w:t>
      </w:r>
      <w:r w:rsidR="448FFF8F">
        <w:t xml:space="preserve">. </w:t>
      </w:r>
      <w:r w:rsidR="070E83D6">
        <w:t>CPUC staff mapped 9</w:t>
      </w:r>
      <w:r w:rsidR="1A2D9812">
        <w:t>14</w:t>
      </w:r>
      <w:r w:rsidR="070E83D6">
        <w:t xml:space="preserve"> MW</w:t>
      </w:r>
      <w:r w:rsidR="42DC1506">
        <w:t xml:space="preserve"> </w:t>
      </w:r>
      <w:r w:rsidR="448FFF8F">
        <w:t>to substations in the renewable transmission zones</w:t>
      </w:r>
      <w:r w:rsidR="47809834">
        <w:t>, all located</w:t>
      </w:r>
      <w:r w:rsidR="448FFF8F">
        <w:t xml:space="preserve"> </w:t>
      </w:r>
      <w:r w:rsidR="7962AF42">
        <w:t xml:space="preserve">outside of LCR areas. CPUC staff also mapped </w:t>
      </w:r>
      <w:r w:rsidR="7B469993">
        <w:t>1,</w:t>
      </w:r>
      <w:r w:rsidR="54BA8430">
        <w:t>052</w:t>
      </w:r>
      <w:r w:rsidR="7B469993">
        <w:t xml:space="preserve"> MW</w:t>
      </w:r>
      <w:r w:rsidR="448FFF8F">
        <w:t xml:space="preserve"> </w:t>
      </w:r>
      <w:r w:rsidR="62623928">
        <w:t xml:space="preserve">to substations in </w:t>
      </w:r>
      <w:r w:rsidR="448FFF8F">
        <w:t xml:space="preserve">the </w:t>
      </w:r>
      <w:r w:rsidR="5DF17AB3">
        <w:t>“Ex” zones</w:t>
      </w:r>
      <w:r w:rsidR="5475273B">
        <w:t>, all within LCR areas</w:t>
      </w:r>
      <w:r w:rsidR="448FFF8F">
        <w:t>.</w:t>
      </w:r>
    </w:p>
    <w:p w14:paraId="3EEAA648" w14:textId="75310BA4" w:rsidR="40A5FC40" w:rsidRDefault="40A5FC40" w:rsidP="7956503B"/>
    <w:p w14:paraId="1E8F883D" w14:textId="5CEBD7FB" w:rsidR="40A5FC40" w:rsidRDefault="4AEB9989" w:rsidP="7956503B">
      <w:r>
        <w:t>Co-Located Resources</w:t>
      </w:r>
    </w:p>
    <w:p w14:paraId="461841C7" w14:textId="64B394CE" w:rsidR="40A5FC40" w:rsidRDefault="4AEB9989" w:rsidP="7956503B">
      <w:r>
        <w:t xml:space="preserve">In keeping with the </w:t>
      </w:r>
      <w:r w:rsidR="0ECFA9FD">
        <w:t xml:space="preserve">minimization of ratepayer costs </w:t>
      </w:r>
      <w:r>
        <w:t xml:space="preserve">policy directive contained in the Methodology, CPUC staff maximized the amount of co-located solar + storage. </w:t>
      </w:r>
      <w:r w:rsidR="27E8BAD3">
        <w:t>CPUC</w:t>
      </w:r>
      <w:r w:rsidR="2400E962">
        <w:t xml:space="preserve"> staff mapped</w:t>
      </w:r>
      <w:r w:rsidR="27E8BAD3">
        <w:t xml:space="preserve"> </w:t>
      </w:r>
      <w:r>
        <w:t>5,</w:t>
      </w:r>
      <w:r w:rsidR="7A5EAB6B">
        <w:t>269</w:t>
      </w:r>
      <w:r>
        <w:t xml:space="preserve"> MW </w:t>
      </w:r>
      <w:r w:rsidR="0300406B">
        <w:t xml:space="preserve">of </w:t>
      </w:r>
      <w:r w:rsidR="680D5186">
        <w:t xml:space="preserve">co-located </w:t>
      </w:r>
      <w:r w:rsidR="0300406B">
        <w:t>battery resources</w:t>
      </w:r>
      <w:r w:rsidR="5E8D2B05">
        <w:t xml:space="preserve"> to</w:t>
      </w:r>
      <w:r w:rsidR="0E3DCF0C">
        <w:t xml:space="preserve"> substations in the renewable transmission zones.</w:t>
      </w:r>
      <w:r w:rsidR="4B2A55CA">
        <w:t xml:space="preserve"> CPUC staff transferred the FD status of the solar resources already mapped to the substations to the battery resources.</w:t>
      </w:r>
      <w:r w:rsidR="4E172D08">
        <w:t xml:space="preserve"> </w:t>
      </w:r>
    </w:p>
    <w:p w14:paraId="5E39F99D" w14:textId="77777777" w:rsidR="00901FC8" w:rsidRDefault="00901FC8" w:rsidP="7956503B"/>
    <w:p w14:paraId="1B7E32BD" w14:textId="1D8406C0" w:rsidR="001D72D3" w:rsidRDefault="001D72D3" w:rsidP="005169DA">
      <w:pPr>
        <w:pStyle w:val="Caption"/>
        <w:keepNext/>
      </w:pPr>
      <w:r>
        <w:lastRenderedPageBreak/>
        <w:t xml:space="preserve">Table </w:t>
      </w:r>
      <w:r w:rsidR="00F02B49">
        <w:fldChar w:fldCharType="begin"/>
      </w:r>
      <w:r w:rsidR="00F02B49">
        <w:instrText xml:space="preserve"> SEQ Table \* ARABIC </w:instrText>
      </w:r>
      <w:r w:rsidR="00F02B49">
        <w:fldChar w:fldCharType="separate"/>
      </w:r>
      <w:r>
        <w:rPr>
          <w:noProof/>
        </w:rPr>
        <w:t>16</w:t>
      </w:r>
      <w:r w:rsidR="00F02B49">
        <w:rPr>
          <w:noProof/>
        </w:rPr>
        <w:fldChar w:fldCharType="end"/>
      </w:r>
      <w:r>
        <w:t xml:space="preserve">. </w:t>
      </w:r>
      <w:r w:rsidRPr="001D72D3">
        <w:t>Battery storage busbar mapping results for 46 MMT portfolio by function summary</w:t>
      </w:r>
    </w:p>
    <w:p w14:paraId="70B02B9B" w14:textId="332FC880" w:rsidR="1F41D6A2" w:rsidRDefault="00F02B49" w:rsidP="00672DA6">
      <w:r>
        <w:rPr>
          <w:noProof/>
        </w:rPr>
        <w:drawing>
          <wp:inline distT="0" distB="0" distL="0" distR="0" wp14:anchorId="4B2BA4E0" wp14:editId="6460FF10">
            <wp:extent cx="5046657" cy="1307592"/>
            <wp:effectExtent l="0" t="0" r="0" b="0"/>
            <wp:docPr id="5" name="Picture 4">
              <a:extLst xmlns:a="http://schemas.openxmlformats.org/drawingml/2006/main">
                <a:ext uri="{FF2B5EF4-FFF2-40B4-BE49-F238E27FC236}">
                  <a16:creationId xmlns:a16="http://schemas.microsoft.com/office/drawing/2014/main" id="{94752A25-B63A-40BE-982E-850DA9EFC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4752A25-B63A-40BE-982E-850DA9EFC28F}"/>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6657" cy="13075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402EE02" w14:textId="6E0B83C9" w:rsidR="6D0E700C" w:rsidRDefault="6D0E700C" w:rsidP="6D0E700C"/>
    <w:p w14:paraId="6C5737EC" w14:textId="3A188FB9" w:rsidR="6D737CC7" w:rsidRPr="00A12BEE" w:rsidRDefault="1F41D6A2" w:rsidP="6D737CC7">
      <w:pPr>
        <w:rPr>
          <w:u w:val="single"/>
        </w:rPr>
      </w:pPr>
      <w:r w:rsidRPr="00A12BEE">
        <w:rPr>
          <w:u w:val="single"/>
        </w:rPr>
        <w:t>Location Summary:</w:t>
      </w:r>
    </w:p>
    <w:p w14:paraId="04801BA8" w14:textId="6168A81B" w:rsidR="40A5FC40" w:rsidRDefault="319B98C1" w:rsidP="40A5FC40">
      <w:r>
        <w:t xml:space="preserve">CPUC staff also executed the mapping in keeping with the minimization of criteria pollutants </w:t>
      </w:r>
      <w:r w:rsidR="45F2161D">
        <w:t>policy directives</w:t>
      </w:r>
      <w:r w:rsidR="028FE8BB">
        <w:t xml:space="preserve"> contained</w:t>
      </w:r>
      <w:r w:rsidR="45F2161D">
        <w:t xml:space="preserve"> in the Methodology</w:t>
      </w:r>
      <w:r w:rsidR="0B549862">
        <w:t>.</w:t>
      </w:r>
      <w:r w:rsidR="45F2161D">
        <w:t xml:space="preserve"> </w:t>
      </w:r>
    </w:p>
    <w:p w14:paraId="2F25E7BC" w14:textId="1E5D2EF6" w:rsidR="7956503B" w:rsidRDefault="7956503B" w:rsidP="7956503B"/>
    <w:p w14:paraId="5CABAE3B" w14:textId="62B7B226" w:rsidR="2465829A" w:rsidRDefault="2465829A" w:rsidP="7956503B">
      <w:r>
        <w:t>LCR Area</w:t>
      </w:r>
      <w:r w:rsidR="053A862F">
        <w:t>s</w:t>
      </w:r>
    </w:p>
    <w:p w14:paraId="6167E22D" w14:textId="04264756" w:rsidR="231F8B33" w:rsidRDefault="231F8B33" w:rsidP="7956503B">
      <w:r>
        <w:t xml:space="preserve">For substations located in LCR areas, </w:t>
      </w:r>
      <w:r w:rsidR="7B9661EF">
        <w:t>CPUC staff mapped 3,</w:t>
      </w:r>
      <w:r w:rsidR="6FD53BFD">
        <w:t>185</w:t>
      </w:r>
      <w:r w:rsidR="2465829A">
        <w:t xml:space="preserve"> MW of </w:t>
      </w:r>
      <w:r w:rsidR="435235B0">
        <w:t xml:space="preserve">stand-alone </w:t>
      </w:r>
      <w:r w:rsidR="7A78059C">
        <w:t xml:space="preserve">battery resources within the </w:t>
      </w:r>
      <w:r w:rsidR="195541F7">
        <w:t>“Ex” zones</w:t>
      </w:r>
      <w:r w:rsidR="7A78059C">
        <w:t xml:space="preserve"> and 674 MW</w:t>
      </w:r>
      <w:r w:rsidR="5C91B240">
        <w:t xml:space="preserve"> of co-located battery resources</w:t>
      </w:r>
      <w:r w:rsidR="7A78059C">
        <w:t xml:space="preserve"> </w:t>
      </w:r>
      <w:r w:rsidR="5EB03AE6">
        <w:t xml:space="preserve">within the renewable transmission zones. </w:t>
      </w:r>
    </w:p>
    <w:p w14:paraId="169C7786" w14:textId="7EA1E479" w:rsidR="7956503B" w:rsidRDefault="7956503B" w:rsidP="7956503B"/>
    <w:p w14:paraId="3B6220B1" w14:textId="2DF92604" w:rsidR="5EB03AE6" w:rsidRDefault="5EB03AE6" w:rsidP="7956503B">
      <w:r>
        <w:t>D</w:t>
      </w:r>
      <w:r w:rsidR="52CD9B1E">
        <w:t>isadvantage</w:t>
      </w:r>
      <w:r w:rsidR="7873B60F">
        <w:t>d</w:t>
      </w:r>
      <w:r w:rsidR="52CD9B1E">
        <w:t xml:space="preserve"> Communities (DAC</w:t>
      </w:r>
      <w:r w:rsidR="3C4E929C">
        <w:t>s</w:t>
      </w:r>
      <w:r w:rsidR="52CD9B1E">
        <w:t>)</w:t>
      </w:r>
    </w:p>
    <w:p w14:paraId="30DDC80C" w14:textId="360918A5" w:rsidR="52CD9B1E" w:rsidRDefault="52CD9B1E" w:rsidP="7956503B">
      <w:r>
        <w:t>For substations located in DAC</w:t>
      </w:r>
      <w:r w:rsidR="3CD9EBE8">
        <w:t>s</w:t>
      </w:r>
      <w:r>
        <w:t xml:space="preserve">, CPUC staff mapped </w:t>
      </w:r>
      <w:r w:rsidR="7E699A8B">
        <w:t>1,401</w:t>
      </w:r>
      <w:r w:rsidR="16002F97">
        <w:t xml:space="preserve"> MW of stand-alone battery resources within the </w:t>
      </w:r>
      <w:r w:rsidR="13018202">
        <w:t>“Ex” zones</w:t>
      </w:r>
      <w:r w:rsidR="16002F97">
        <w:t xml:space="preserve"> and 674 MW of co-located battery resources within the renewable transmission zones. </w:t>
      </w:r>
    </w:p>
    <w:p w14:paraId="6931D5A9" w14:textId="56B35306" w:rsidR="7956503B" w:rsidRDefault="7956503B" w:rsidP="7956503B"/>
    <w:p w14:paraId="42997A25" w14:textId="328B3754" w:rsidR="2560FED7" w:rsidRDefault="2560FED7" w:rsidP="7956503B">
      <w:r>
        <w:t>Air-Quality Non-Attainment Areas</w:t>
      </w:r>
    </w:p>
    <w:p w14:paraId="3A020784" w14:textId="0B05D2F8" w:rsidR="2560FED7" w:rsidRDefault="2560FED7" w:rsidP="7956503B">
      <w:r>
        <w:t>For substations located in air-quality non-attainment areas, CPUC staff mapped 4,</w:t>
      </w:r>
      <w:r w:rsidR="66B3441F">
        <w:t>075</w:t>
      </w:r>
      <w:r>
        <w:t xml:space="preserve"> MW of stand-alone battery resources </w:t>
      </w:r>
      <w:r w:rsidR="69FDB1C2">
        <w:t xml:space="preserve">within the </w:t>
      </w:r>
      <w:r w:rsidR="27648098">
        <w:t>“Ex” zones</w:t>
      </w:r>
      <w:r w:rsidR="69FDB1C2">
        <w:t xml:space="preserve"> </w:t>
      </w:r>
      <w:r>
        <w:t>and 4,</w:t>
      </w:r>
      <w:r w:rsidR="27388E03">
        <w:t>583</w:t>
      </w:r>
      <w:r>
        <w:t xml:space="preserve"> MW of co-loc</w:t>
      </w:r>
      <w:r w:rsidR="43555207">
        <w:t>ated battery resources within the renewable transmission zones.</w:t>
      </w:r>
    </w:p>
    <w:p w14:paraId="05037592" w14:textId="52BDD7FE" w:rsidR="7956503B" w:rsidRDefault="7956503B" w:rsidP="7956503B"/>
    <w:p w14:paraId="1C737195" w14:textId="1075495C" w:rsidR="001D72D3" w:rsidRDefault="001D72D3" w:rsidP="005169DA">
      <w:pPr>
        <w:pStyle w:val="Caption"/>
        <w:keepNext/>
      </w:pPr>
      <w:r>
        <w:t xml:space="preserve">Table </w:t>
      </w:r>
      <w:r w:rsidR="00F02B49">
        <w:fldChar w:fldCharType="begin"/>
      </w:r>
      <w:r w:rsidR="00F02B49">
        <w:instrText xml:space="preserve"> SEQ Table \* ARABIC </w:instrText>
      </w:r>
      <w:r w:rsidR="00F02B49">
        <w:fldChar w:fldCharType="separate"/>
      </w:r>
      <w:r>
        <w:rPr>
          <w:noProof/>
        </w:rPr>
        <w:t>17</w:t>
      </w:r>
      <w:r w:rsidR="00F02B49">
        <w:rPr>
          <w:noProof/>
        </w:rPr>
        <w:fldChar w:fldCharType="end"/>
      </w:r>
      <w:r>
        <w:t xml:space="preserve">. </w:t>
      </w:r>
      <w:r w:rsidRPr="001D72D3">
        <w:t>Battery storage busbar mapping results for 46 MMT portfolio by location summary</w:t>
      </w:r>
    </w:p>
    <w:p w14:paraId="64534356" w14:textId="67C5C5BA" w:rsidR="62E86662" w:rsidRDefault="00F02B49" w:rsidP="7956503B">
      <w:r>
        <w:rPr>
          <w:noProof/>
        </w:rPr>
        <w:drawing>
          <wp:inline distT="0" distB="0" distL="0" distR="0" wp14:anchorId="293F707A" wp14:editId="01CAAE1F">
            <wp:extent cx="5039220" cy="2816352"/>
            <wp:effectExtent l="0" t="0" r="0" b="0"/>
            <wp:docPr id="6" name="Picture 5">
              <a:extLst xmlns:a="http://schemas.openxmlformats.org/drawingml/2006/main">
                <a:ext uri="{FF2B5EF4-FFF2-40B4-BE49-F238E27FC236}">
                  <a16:creationId xmlns:a16="http://schemas.microsoft.com/office/drawing/2014/main" id="{A6F1FDF8-F4DB-4989-94CB-EF1E71A57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6F1FDF8-F4DB-4989-94CB-EF1E71A57D24}"/>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220" cy="28163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022ECE0" w14:textId="0F1114F8" w:rsidR="000A4394" w:rsidRDefault="4DA165A7" w:rsidP="00672DA6">
      <w:pPr>
        <w:keepNext/>
      </w:pPr>
      <w:r>
        <w:lastRenderedPageBreak/>
        <w:t>The figure below shows Round 2 results for the 46</w:t>
      </w:r>
      <w:r w:rsidR="00190362">
        <w:t xml:space="preserve"> </w:t>
      </w:r>
      <w:r>
        <w:t xml:space="preserve">MMT portfolio. </w:t>
      </w:r>
      <w:r w:rsidR="404EF7B0">
        <w:t xml:space="preserve">Note bubbles indicating out-of-state resources are </w:t>
      </w:r>
      <w:r w:rsidR="77D6F0AC">
        <w:t>displayed</w:t>
      </w:r>
      <w:r w:rsidR="404EF7B0">
        <w:t xml:space="preserve"> at the assumed CAISO delivery </w:t>
      </w:r>
      <w:proofErr w:type="gramStart"/>
      <w:r w:rsidR="404EF7B0">
        <w:t>point, and</w:t>
      </w:r>
      <w:proofErr w:type="gramEnd"/>
      <w:r w:rsidR="404EF7B0">
        <w:t xml:space="preserve"> highlighted with a black outline.</w:t>
      </w:r>
    </w:p>
    <w:p w14:paraId="5473E911" w14:textId="77777777" w:rsidR="000A4394" w:rsidRDefault="000A4394" w:rsidP="000A4394">
      <w:pPr>
        <w:keepNext/>
      </w:pPr>
    </w:p>
    <w:p w14:paraId="2A015C41" w14:textId="00EEAFDD" w:rsidR="002829AA" w:rsidRDefault="002829AA">
      <w:pPr>
        <w:pStyle w:val="Caption"/>
        <w:keepNext/>
      </w:pPr>
      <w:r>
        <w:t xml:space="preserve">Figure </w:t>
      </w:r>
      <w:r w:rsidR="00F02B49">
        <w:fldChar w:fldCharType="begin"/>
      </w:r>
      <w:r w:rsidR="00F02B49">
        <w:instrText xml:space="preserve"> SEQ Figure \* ARABIC </w:instrText>
      </w:r>
      <w:r w:rsidR="00F02B49">
        <w:fldChar w:fldCharType="separate"/>
      </w:r>
      <w:r>
        <w:rPr>
          <w:noProof/>
        </w:rPr>
        <w:t>5</w:t>
      </w:r>
      <w:r w:rsidR="00F02B49">
        <w:rPr>
          <w:noProof/>
        </w:rPr>
        <w:fldChar w:fldCharType="end"/>
      </w:r>
      <w:r>
        <w:t>. Map of Final Round busbar mapping results for 46 MMT portfolio</w:t>
      </w:r>
      <w:r w:rsidR="00405104">
        <w:rPr>
          <w:rStyle w:val="FootnoteReference"/>
        </w:rPr>
        <w:footnoteReference w:id="21"/>
      </w:r>
    </w:p>
    <w:p w14:paraId="29E4C7EF" w14:textId="4A240663" w:rsidR="000A4394" w:rsidRDefault="46C787D3" w:rsidP="00F47A13">
      <w:pPr>
        <w:keepNext/>
      </w:pPr>
      <w:r>
        <w:rPr>
          <w:noProof/>
        </w:rPr>
        <w:drawing>
          <wp:inline distT="0" distB="0" distL="0" distR="0" wp14:anchorId="50BA9641" wp14:editId="05F37A29">
            <wp:extent cx="5465135" cy="4360722"/>
            <wp:effectExtent l="0" t="0" r="0" b="0"/>
            <wp:docPr id="402557556" name="Picture 40255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57556"/>
                    <pic:cNvPicPr/>
                  </pic:nvPicPr>
                  <pic:blipFill>
                    <a:blip r:embed="rId12">
                      <a:extLst>
                        <a:ext uri="{28A0092B-C50C-407E-A947-70E740481C1C}">
                          <a14:useLocalDpi xmlns:a14="http://schemas.microsoft.com/office/drawing/2010/main" val="0"/>
                        </a:ext>
                      </a:extLst>
                    </a:blip>
                    <a:stretch>
                      <a:fillRect/>
                    </a:stretch>
                  </pic:blipFill>
                  <pic:spPr>
                    <a:xfrm>
                      <a:off x="0" y="0"/>
                      <a:ext cx="5471322" cy="4365659"/>
                    </a:xfrm>
                    <a:prstGeom prst="rect">
                      <a:avLst/>
                    </a:prstGeom>
                  </pic:spPr>
                </pic:pic>
              </a:graphicData>
            </a:graphic>
          </wp:inline>
        </w:drawing>
      </w:r>
    </w:p>
    <w:p w14:paraId="43880FDD" w14:textId="5B1B8092" w:rsidR="7956503B" w:rsidRDefault="7956503B" w:rsidP="7956503B"/>
    <w:p w14:paraId="1CAC90BF" w14:textId="0FF75452" w:rsidR="1E73AC4E" w:rsidRPr="000115B3" w:rsidRDefault="33592636" w:rsidP="000115B3">
      <w:pPr>
        <w:pStyle w:val="Heading3"/>
      </w:pPr>
      <w:bookmarkStart w:id="64" w:name="_Ref59117507"/>
      <w:bookmarkStart w:id="65" w:name="_Ref59120576"/>
      <w:bookmarkStart w:id="66" w:name="_Toc63669604"/>
      <w:r w:rsidRPr="000115B3">
        <w:t>38 MMT with 2019 IEPR Portfolio</w:t>
      </w:r>
      <w:bookmarkEnd w:id="64"/>
      <w:bookmarkEnd w:id="65"/>
      <w:bookmarkEnd w:id="66"/>
    </w:p>
    <w:p w14:paraId="18E02B68" w14:textId="793B4110" w:rsidR="00322D13" w:rsidRDefault="697DF18E">
      <w:pPr>
        <w:sectPr w:rsidR="00322D13">
          <w:pgSz w:w="12240" w:h="15840"/>
          <w:pgMar w:top="1440" w:right="1440" w:bottom="1440" w:left="1440" w:header="720" w:footer="720" w:gutter="0"/>
          <w:cols w:space="720"/>
          <w:docGrid w:linePitch="360"/>
        </w:sectPr>
      </w:pPr>
      <w:r>
        <w:t xml:space="preserve">Two rounds of mapping were required to arrive at the allocations for the 38 MMT portfolio (see Appendix </w:t>
      </w:r>
      <w:r>
        <w:fldChar w:fldCharType="begin"/>
      </w:r>
      <w:r>
        <w:instrText xml:space="preserve"> REF _Ref32839915 \r \h </w:instrText>
      </w:r>
      <w:r>
        <w:fldChar w:fldCharType="separate"/>
      </w:r>
      <w:r w:rsidR="003B7A14">
        <w:t>B</w:t>
      </w:r>
      <w:r>
        <w:fldChar w:fldCharType="end"/>
      </w:r>
      <w:r w:rsidR="00BD0F7F">
        <w:t xml:space="preserve"> </w:t>
      </w:r>
      <w:r>
        <w:t xml:space="preserve">for final CEC Busbar Mapping Results). A summary of the </w:t>
      </w:r>
      <w:proofErr w:type="gramStart"/>
      <w:r>
        <w:t>final results</w:t>
      </w:r>
      <w:proofErr w:type="gramEnd"/>
      <w:r>
        <w:t xml:space="preserve"> is provided in the dashboard in </w:t>
      </w:r>
      <w:r w:rsidR="002829AA">
        <w:fldChar w:fldCharType="begin"/>
      </w:r>
      <w:r w:rsidR="002829AA">
        <w:instrText xml:space="preserve"> REF _Ref63665443 \h </w:instrText>
      </w:r>
      <w:r w:rsidR="002829AA">
        <w:fldChar w:fldCharType="separate"/>
      </w:r>
      <w:r w:rsidR="002829AA">
        <w:t xml:space="preserve">Table </w:t>
      </w:r>
      <w:r w:rsidR="002829AA">
        <w:rPr>
          <w:noProof/>
        </w:rPr>
        <w:t>18</w:t>
      </w:r>
      <w:r w:rsidR="002829AA">
        <w:fldChar w:fldCharType="end"/>
      </w:r>
      <w:r>
        <w:t xml:space="preserve"> below</w:t>
      </w:r>
      <w:r w:rsidR="372E2259">
        <w:t>.</w:t>
      </w:r>
    </w:p>
    <w:p w14:paraId="7A4A51C7" w14:textId="5978062F" w:rsidR="001D72D3" w:rsidRDefault="001D72D3" w:rsidP="00275FB8">
      <w:pPr>
        <w:keepNext/>
      </w:pPr>
    </w:p>
    <w:p w14:paraId="1030359C" w14:textId="7286BB52" w:rsidR="001D72D3" w:rsidRDefault="001D72D3" w:rsidP="005169DA">
      <w:pPr>
        <w:pStyle w:val="Caption"/>
        <w:keepNext/>
      </w:pPr>
      <w:bookmarkStart w:id="67" w:name="_Ref63665443"/>
      <w:r>
        <w:t xml:space="preserve">Table </w:t>
      </w:r>
      <w:r w:rsidR="00F02B49">
        <w:fldChar w:fldCharType="begin"/>
      </w:r>
      <w:r w:rsidR="00F02B49">
        <w:instrText xml:space="preserve"> SEQ Table \* ARABIC </w:instrText>
      </w:r>
      <w:r w:rsidR="00F02B49">
        <w:fldChar w:fldCharType="separate"/>
      </w:r>
      <w:r>
        <w:rPr>
          <w:noProof/>
        </w:rPr>
        <w:t>18</w:t>
      </w:r>
      <w:r w:rsidR="00F02B49">
        <w:rPr>
          <w:noProof/>
        </w:rPr>
        <w:fldChar w:fldCharType="end"/>
      </w:r>
      <w:bookmarkEnd w:id="67"/>
      <w:r>
        <w:t xml:space="preserve">. </w:t>
      </w:r>
      <w:r w:rsidRPr="001D72D3">
        <w:t>Dashboard showing compliance of busbar allocations for the 38 MMT Portfolio, following Round 3 of mapping, with the criteria</w:t>
      </w:r>
    </w:p>
    <w:p w14:paraId="6F5A3DA6" w14:textId="1B6B312D" w:rsidR="00160034" w:rsidRDefault="237F19B9" w:rsidP="00275FB8">
      <w:pPr>
        <w:keepNext/>
        <w:rPr>
          <w:noProof/>
        </w:rPr>
      </w:pPr>
      <w:r>
        <w:rPr>
          <w:noProof/>
        </w:rPr>
        <w:drawing>
          <wp:inline distT="0" distB="0" distL="0" distR="0" wp14:anchorId="1A1045DA" wp14:editId="4DB70912">
            <wp:extent cx="7041357" cy="5444617"/>
            <wp:effectExtent l="0" t="0" r="7620" b="3810"/>
            <wp:docPr id="863060754" name="Picture 86306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060754"/>
                    <pic:cNvPicPr/>
                  </pic:nvPicPr>
                  <pic:blipFill>
                    <a:blip r:embed="rId32">
                      <a:extLst>
                        <a:ext uri="{28A0092B-C50C-407E-A947-70E740481C1C}">
                          <a14:useLocalDpi xmlns:a14="http://schemas.microsoft.com/office/drawing/2010/main" val="0"/>
                        </a:ext>
                      </a:extLst>
                    </a:blip>
                    <a:stretch>
                      <a:fillRect/>
                    </a:stretch>
                  </pic:blipFill>
                  <pic:spPr>
                    <a:xfrm>
                      <a:off x="0" y="0"/>
                      <a:ext cx="7073485" cy="5469460"/>
                    </a:xfrm>
                    <a:prstGeom prst="rect">
                      <a:avLst/>
                    </a:prstGeom>
                  </pic:spPr>
                </pic:pic>
              </a:graphicData>
            </a:graphic>
          </wp:inline>
        </w:drawing>
      </w:r>
    </w:p>
    <w:p w14:paraId="458F0B28" w14:textId="229C29B0" w:rsidR="00322D13" w:rsidRDefault="00322D13" w:rsidP="0080586A">
      <w:pPr>
        <w:sectPr w:rsidR="00322D13" w:rsidSect="00850E50">
          <w:pgSz w:w="15840" w:h="12240" w:orient="landscape"/>
          <w:pgMar w:top="1440" w:right="1440" w:bottom="1440" w:left="1440" w:header="720" w:footer="720" w:gutter="0"/>
          <w:cols w:space="720"/>
          <w:docGrid w:linePitch="360"/>
        </w:sectPr>
      </w:pPr>
    </w:p>
    <w:p w14:paraId="5383C00A" w14:textId="779F9252" w:rsidR="00DF30B6" w:rsidRDefault="33592636" w:rsidP="0080586A">
      <w:pPr>
        <w:pStyle w:val="Heading4"/>
      </w:pPr>
      <w:r>
        <w:lastRenderedPageBreak/>
        <w:t>Non-battery Resources</w:t>
      </w:r>
    </w:p>
    <w:p w14:paraId="2D66E89C" w14:textId="387066DF" w:rsidR="00F95B6A" w:rsidRPr="00F95B6A" w:rsidRDefault="72F57275" w:rsidP="00F95B6A">
      <w:r>
        <w:t xml:space="preserve">As required by the Methodology, staff explain the material non-compliances </w:t>
      </w:r>
      <w:r w:rsidR="7A2C8DDB">
        <w:t xml:space="preserve">(level 3) </w:t>
      </w:r>
      <w:r>
        <w:t>that remain for the non-battery resources with these final allocations as follows:</w:t>
      </w:r>
    </w:p>
    <w:p w14:paraId="719D39DB" w14:textId="16778413" w:rsidR="207D7075" w:rsidRDefault="207D7075" w:rsidP="00A24A87">
      <w:pPr>
        <w:pStyle w:val="ListParagraph"/>
        <w:numPr>
          <w:ilvl w:val="0"/>
          <w:numId w:val="131"/>
        </w:numPr>
        <w:spacing w:after="120"/>
        <w:rPr>
          <w:rFonts w:asciiTheme="minorHAnsi" w:eastAsiaTheme="minorEastAsia" w:hAnsiTheme="minorHAnsi" w:cstheme="minorBidi"/>
        </w:rPr>
      </w:pPr>
      <w:r>
        <w:t xml:space="preserve">Central Valley North Los </w:t>
      </w:r>
      <w:proofErr w:type="spellStart"/>
      <w:r>
        <w:t>Banos</w:t>
      </w:r>
      <w:proofErr w:type="spellEnd"/>
      <w:r>
        <w:t xml:space="preserve"> Wind: </w:t>
      </w:r>
      <w:r w:rsidR="6289E46A">
        <w:t>t</w:t>
      </w:r>
      <w:r>
        <w:t xml:space="preserve">he exceedance in criterion 3a (available land area), </w:t>
      </w:r>
      <w:r w:rsidR="15FEFF65">
        <w:t xml:space="preserve">is acceptable for the same reasons as for the 46 MMT portfolio described in Section </w:t>
      </w:r>
      <w:r w:rsidR="00C829E5">
        <w:fldChar w:fldCharType="begin"/>
      </w:r>
      <w:r w:rsidR="00C829E5">
        <w:instrText xml:space="preserve"> REF _Ref59120600 \r \h </w:instrText>
      </w:r>
      <w:r w:rsidR="00C829E5">
        <w:fldChar w:fldCharType="separate"/>
      </w:r>
      <w:r w:rsidR="003B7A14">
        <w:t>7.1</w:t>
      </w:r>
      <w:r w:rsidR="00C829E5">
        <w:fldChar w:fldCharType="end"/>
      </w:r>
      <w:r w:rsidR="00C829E5">
        <w:t xml:space="preserve"> </w:t>
      </w:r>
      <w:r w:rsidR="15FEFF65">
        <w:t>above</w:t>
      </w:r>
      <w:r>
        <w:t>.</w:t>
      </w:r>
    </w:p>
    <w:p w14:paraId="6C010DA5" w14:textId="1EB94E09" w:rsidR="207D7075" w:rsidRDefault="207D7075" w:rsidP="00A24A87">
      <w:pPr>
        <w:pStyle w:val="ListParagraph"/>
        <w:numPr>
          <w:ilvl w:val="0"/>
          <w:numId w:val="131"/>
        </w:numPr>
        <w:spacing w:after="120"/>
        <w:rPr>
          <w:rFonts w:asciiTheme="minorHAnsi" w:eastAsiaTheme="minorEastAsia" w:hAnsiTheme="minorHAnsi" w:cstheme="minorBidi"/>
        </w:rPr>
      </w:pPr>
      <w:r>
        <w:t xml:space="preserve">Solano Wind: the material non-compliance for criterion 3b (high environmental implications) is </w:t>
      </w:r>
      <w:r w:rsidR="20925F2F">
        <w:t xml:space="preserve">acceptable for the same reasons as for the 46 MMT portfolio described in Section </w:t>
      </w:r>
      <w:r w:rsidR="00C829E5">
        <w:fldChar w:fldCharType="begin"/>
      </w:r>
      <w:r w:rsidR="00C829E5">
        <w:instrText xml:space="preserve"> REF _Ref59120600 \r \h </w:instrText>
      </w:r>
      <w:r w:rsidR="00C829E5">
        <w:fldChar w:fldCharType="separate"/>
      </w:r>
      <w:r w:rsidR="003B7A14">
        <w:t>7.1</w:t>
      </w:r>
      <w:r w:rsidR="00C829E5">
        <w:fldChar w:fldCharType="end"/>
      </w:r>
      <w:r w:rsidR="00C829E5">
        <w:t xml:space="preserve"> </w:t>
      </w:r>
      <w:r w:rsidR="20925F2F">
        <w:t>above</w:t>
      </w:r>
      <w:r>
        <w:t>.</w:t>
      </w:r>
    </w:p>
    <w:p w14:paraId="0867A17F" w14:textId="74DC282C" w:rsidR="50DF680D" w:rsidRDefault="1C1447DC" w:rsidP="40A5FC40">
      <w:pPr>
        <w:pStyle w:val="ListParagraph"/>
        <w:numPr>
          <w:ilvl w:val="0"/>
          <w:numId w:val="131"/>
        </w:numPr>
        <w:rPr>
          <w:rFonts w:asciiTheme="minorHAnsi" w:eastAsiaTheme="minorEastAsia" w:hAnsiTheme="minorHAnsi" w:cstheme="minorBidi"/>
        </w:rPr>
      </w:pPr>
      <w:r>
        <w:t xml:space="preserve">Southern PG&amp;E renewable transmission zone: Resources mapped to zones in the Southern PG&amp;E outer renewable transmission remain flagged for criterion 2 (transmission capability) non-compliance for exceeding the outer zone limit. Resources mapped to the inner </w:t>
      </w:r>
      <w:proofErr w:type="spellStart"/>
      <w:r>
        <w:t>Westlands</w:t>
      </w:r>
      <w:proofErr w:type="spellEnd"/>
      <w:r>
        <w:t xml:space="preserve"> renewable transmission zone also exceed the inner zone limit. The exceedance of transmission limits is partially alleviated by taking into account the transmission upgrade called for by RESOLVE in the Southern PG&amp;E. </w:t>
      </w:r>
      <w:r w:rsidRPr="61CF619C">
        <w:rPr>
          <w:rFonts w:eastAsia="Garamond" w:cs="Garamond"/>
          <w:color w:val="000000" w:themeColor="text1"/>
        </w:rPr>
        <w:t xml:space="preserve">CAISO staff’s guidance is that this corresponds to a transmission project that provides a 1,000 MW expansion for both the </w:t>
      </w:r>
      <w:proofErr w:type="spellStart"/>
      <w:r w:rsidRPr="61CF619C">
        <w:rPr>
          <w:rFonts w:eastAsia="Garamond" w:cs="Garamond"/>
          <w:color w:val="000000" w:themeColor="text1"/>
        </w:rPr>
        <w:t>Westlands</w:t>
      </w:r>
      <w:proofErr w:type="spellEnd"/>
      <w:r w:rsidRPr="61CF619C">
        <w:rPr>
          <w:rFonts w:eastAsia="Garamond" w:cs="Garamond"/>
          <w:color w:val="000000" w:themeColor="text1"/>
        </w:rPr>
        <w:t xml:space="preserve"> inner renewable transmission zone and Southern PG&amp;E outer renewable transmission zone.</w:t>
      </w:r>
      <w:r>
        <w:t xml:space="preserve"> CPUC staff then assumed the entire 1,000 MW is available</w:t>
      </w:r>
      <w:r w:rsidR="3AB9F0D3">
        <w:t xml:space="preserve"> </w:t>
      </w:r>
      <w:r>
        <w:t xml:space="preserve">for mapping resources. This transmission limit increase does not fully account for all the transmission exceedance in the Southern PG&amp;E outer zone. </w:t>
      </w:r>
      <w:r w:rsidR="1E51D007">
        <w:t>RESOLVE all calls for a transmission upgrad</w:t>
      </w:r>
      <w:r w:rsidR="1DB2EDB1">
        <w:t>e</w:t>
      </w:r>
      <w:r w:rsidR="1E51D007">
        <w:t xml:space="preserve"> in the Carrizo inner</w:t>
      </w:r>
      <w:r w:rsidR="32B2D42F">
        <w:t xml:space="preserve"> renewable</w:t>
      </w:r>
      <w:r w:rsidR="1E51D007">
        <w:t xml:space="preserve"> </w:t>
      </w:r>
      <w:r w:rsidR="02914CCF">
        <w:t>transmission</w:t>
      </w:r>
      <w:r w:rsidR="1E51D007">
        <w:t xml:space="preserve"> zone, which per CAISO staff’s guidance</w:t>
      </w:r>
      <w:r w:rsidR="5A5B7045">
        <w:t>,</w:t>
      </w:r>
      <w:r w:rsidR="1E51D007">
        <w:t xml:space="preserve"> corresponds to a transmission project</w:t>
      </w:r>
      <w:r w:rsidR="5C36730F">
        <w:t xml:space="preserve"> that provides a 7,000 MW expansion for the Carrizo </w:t>
      </w:r>
      <w:r w:rsidR="76A281E9">
        <w:t>inner renewable transmission zone. The upgrade does not increase the transmission limit for the Southern PG&amp;E outer rene</w:t>
      </w:r>
      <w:r w:rsidR="7FEFBE01">
        <w:t>wable transmission zone. Thus</w:t>
      </w:r>
      <w:r w:rsidR="0D18410C">
        <w:t>,</w:t>
      </w:r>
      <w:r w:rsidR="7FEFBE01">
        <w:t xml:space="preserve"> t</w:t>
      </w:r>
      <w:r>
        <w:t xml:space="preserve">he remaining transmission capacity exceedance is eliminated by allocating solar resources in </w:t>
      </w:r>
      <w:proofErr w:type="spellStart"/>
      <w:r>
        <w:t>Westlands</w:t>
      </w:r>
      <w:proofErr w:type="spellEnd"/>
      <w:r>
        <w:t xml:space="preserve"> Solar to the Gates-Diablo 500 kV system. CAISO staff’s guidance is that this system appears geographically in the Southern PG&amp;E outermost renewable transmission </w:t>
      </w:r>
      <w:proofErr w:type="gramStart"/>
      <w:r>
        <w:t>zone, but</w:t>
      </w:r>
      <w:proofErr w:type="gramEnd"/>
      <w:r>
        <w:t xml:space="preserve"> is electrically outside the boundary of the constraint that limits the transmission capability estimate for this zone. This addresses the criterion 2 (transmission capability) non-compliances for the following resources:</w:t>
      </w:r>
    </w:p>
    <w:p w14:paraId="1C15ADBE" w14:textId="1987933E" w:rsidR="50DF680D" w:rsidRDefault="50DF680D" w:rsidP="40A5FC40">
      <w:pPr>
        <w:pStyle w:val="ListParagraph"/>
        <w:numPr>
          <w:ilvl w:val="1"/>
          <w:numId w:val="131"/>
        </w:numPr>
        <w:rPr>
          <w:rFonts w:asciiTheme="minorHAnsi" w:eastAsiaTheme="minorEastAsia" w:hAnsiTheme="minorHAnsi" w:cstheme="minorBidi"/>
        </w:rPr>
      </w:pPr>
      <w:r>
        <w:t>Carrizo Wind</w:t>
      </w:r>
    </w:p>
    <w:p w14:paraId="29EFF7BE" w14:textId="1987933E" w:rsidR="50DF680D" w:rsidRDefault="50DF680D" w:rsidP="40A5FC40">
      <w:pPr>
        <w:pStyle w:val="ListParagraph"/>
        <w:numPr>
          <w:ilvl w:val="1"/>
          <w:numId w:val="131"/>
        </w:numPr>
        <w:rPr>
          <w:rFonts w:asciiTheme="minorHAnsi" w:eastAsiaTheme="minorEastAsia" w:hAnsiTheme="minorHAnsi" w:cstheme="minorBidi"/>
        </w:rPr>
      </w:pPr>
      <w:r>
        <w:t xml:space="preserve">Central Valley North Los </w:t>
      </w:r>
      <w:proofErr w:type="spellStart"/>
      <w:r>
        <w:t>Banos</w:t>
      </w:r>
      <w:proofErr w:type="spellEnd"/>
      <w:r>
        <w:t xml:space="preserve"> Wind</w:t>
      </w:r>
    </w:p>
    <w:p w14:paraId="1E07F0D1" w14:textId="0DE29366" w:rsidR="50DF680D" w:rsidRDefault="50DF680D" w:rsidP="40A5FC40">
      <w:pPr>
        <w:pStyle w:val="ListParagraph"/>
        <w:numPr>
          <w:ilvl w:val="1"/>
          <w:numId w:val="131"/>
        </w:numPr>
        <w:rPr>
          <w:rFonts w:asciiTheme="minorHAnsi" w:eastAsiaTheme="minorEastAsia" w:hAnsiTheme="minorHAnsi" w:cstheme="minorBidi"/>
        </w:rPr>
      </w:pPr>
      <w:r>
        <w:t>Kern Greater Carrizo Solar and Wind</w:t>
      </w:r>
    </w:p>
    <w:p w14:paraId="0C5C4925" w14:textId="1EEC970E" w:rsidR="770F8ABF" w:rsidRDefault="50DF680D" w:rsidP="00A24A87">
      <w:pPr>
        <w:pStyle w:val="ListParagraph"/>
        <w:numPr>
          <w:ilvl w:val="1"/>
          <w:numId w:val="131"/>
        </w:numPr>
        <w:spacing w:after="120"/>
        <w:rPr>
          <w:rFonts w:asciiTheme="minorHAnsi" w:eastAsiaTheme="minorEastAsia" w:hAnsiTheme="minorHAnsi" w:cstheme="minorBidi"/>
        </w:rPr>
      </w:pPr>
      <w:proofErr w:type="spellStart"/>
      <w:r>
        <w:t>Westlands</w:t>
      </w:r>
      <w:proofErr w:type="spellEnd"/>
      <w:r>
        <w:t xml:space="preserve"> Solar</w:t>
      </w:r>
    </w:p>
    <w:p w14:paraId="5436A11F" w14:textId="228111A1" w:rsidR="1A9B3A7B" w:rsidRDefault="51851422" w:rsidP="4E1893D1">
      <w:pPr>
        <w:pStyle w:val="ListParagraph"/>
        <w:numPr>
          <w:ilvl w:val="0"/>
          <w:numId w:val="131"/>
        </w:numPr>
        <w:rPr>
          <w:rFonts w:asciiTheme="minorHAnsi" w:eastAsiaTheme="minorEastAsia" w:hAnsiTheme="minorHAnsi" w:cstheme="minorBidi"/>
        </w:rPr>
      </w:pPr>
      <w:r>
        <w:t>Southern California Desert and Southern Nevada outer renewable transmission zone: Resource allocations comply with subzone transmission limits; however, the dashboard shows resources within the Southern California Desert and Southern Nevada outer renewable transmission zone exceeding the outer zone limit. Based on CAISO staff guidance and preliminary results from the CAISO’s 2020-</w:t>
      </w:r>
      <w:r w:rsidR="00B111AE">
        <w:t>20</w:t>
      </w:r>
      <w:r>
        <w:t>21 TPP, the actual transmission limit of the outermost zone is likely higher than the limit used in the mapping process. Based on the preliminary 30 MMT EO sensitivity portfolio from the 2020-</w:t>
      </w:r>
      <w:r w:rsidR="00B111AE">
        <w:t>20</w:t>
      </w:r>
      <w:r>
        <w:t>21 TPP results, approximately 6,</w:t>
      </w:r>
      <w:r w:rsidR="7936C948">
        <w:t>2</w:t>
      </w:r>
      <w:r>
        <w:t>8</w:t>
      </w:r>
      <w:r w:rsidR="35AA4000">
        <w:t>1</w:t>
      </w:r>
      <w:r>
        <w:t xml:space="preserve"> MW of new FD resources can be mapped to the Southern California Desert and Southern Nevada outermost transmission zone. This expanded transmission capability is able to partially accommodate the number of resources mapped </w:t>
      </w:r>
      <w:r w:rsidR="39860AEA">
        <w:t>within</w:t>
      </w:r>
      <w:r>
        <w:t xml:space="preserve"> this zone</w:t>
      </w:r>
      <w:r w:rsidR="2D04E5BC">
        <w:t>.</w:t>
      </w:r>
      <w:r>
        <w:t xml:space="preserve"> </w:t>
      </w:r>
      <w:r w:rsidR="2A96E69B">
        <w:t>T</w:t>
      </w:r>
      <w:r w:rsidR="3DF7B26C">
        <w:t>o alleviate t</w:t>
      </w:r>
      <w:r w:rsidR="2A96E69B">
        <w:t>he remaining transmission exceedance</w:t>
      </w:r>
      <w:r w:rsidR="201C2E05">
        <w:t>, CPUC staff re</w:t>
      </w:r>
      <w:r w:rsidR="347787D8">
        <w:t>co</w:t>
      </w:r>
      <w:r w:rsidR="201C2E05">
        <w:t>mmend</w:t>
      </w:r>
      <w:r w:rsidR="2A96E69B">
        <w:t xml:space="preserve"> </w:t>
      </w:r>
      <w:r w:rsidR="5AF96340">
        <w:t xml:space="preserve">the 2,800 </w:t>
      </w:r>
      <w:r w:rsidR="5AF96340">
        <w:lastRenderedPageBreak/>
        <w:t xml:space="preserve">MW </w:t>
      </w:r>
      <w:r w:rsidR="3726D792">
        <w:t>transmission</w:t>
      </w:r>
      <w:r w:rsidR="5AF96340">
        <w:t xml:space="preserve"> upgrade to the Southern California Desert and Southern Nevada outer renewable transmission zone</w:t>
      </w:r>
      <w:r w:rsidR="48E36DD0">
        <w:t xml:space="preserve">, noted in the </w:t>
      </w:r>
      <w:r w:rsidR="4D10BCCD">
        <w:t xml:space="preserve">CAISO’s May </w:t>
      </w:r>
      <w:r w:rsidR="48E36DD0">
        <w:t xml:space="preserve">2019 </w:t>
      </w:r>
      <w:r w:rsidR="4D10BCCD">
        <w:t xml:space="preserve">White Paper on </w:t>
      </w:r>
      <w:r w:rsidR="48E36DD0">
        <w:t>Transmission Capability Estimates</w:t>
      </w:r>
      <w:r>
        <w:footnoteReference w:id="22"/>
      </w:r>
      <w:r w:rsidR="4D10BCCD">
        <w:t xml:space="preserve"> </w:t>
      </w:r>
      <w:r w:rsidR="48E36DD0">
        <w:t xml:space="preserve">as costing $2.1 billion. This upgrade also expands the Riverside Palm Springs inner renewable </w:t>
      </w:r>
      <w:r w:rsidR="0E7BCAED">
        <w:t>transmission</w:t>
      </w:r>
      <w:r w:rsidR="48E36DD0">
        <w:t xml:space="preserve"> zone by 1,400 MW.</w:t>
      </w:r>
      <w:r w:rsidR="12DF6DD5">
        <w:t xml:space="preserve"> </w:t>
      </w:r>
      <w:r w:rsidR="4C78DFA2">
        <w:t>This addresses the criterion 2 (transmission capability) non-compliances for the following resources:</w:t>
      </w:r>
    </w:p>
    <w:p w14:paraId="1E5FC162" w14:textId="4CBEF792" w:rsidR="1A9B3A7B" w:rsidRDefault="51851422" w:rsidP="40A5FC40">
      <w:pPr>
        <w:pStyle w:val="ListParagraph"/>
        <w:numPr>
          <w:ilvl w:val="1"/>
          <w:numId w:val="131"/>
        </w:numPr>
        <w:rPr>
          <w:rFonts w:asciiTheme="minorHAnsi" w:eastAsiaTheme="minorEastAsia" w:hAnsiTheme="minorHAnsi" w:cstheme="minorBidi"/>
        </w:rPr>
      </w:pPr>
      <w:r>
        <w:t>Greater Imperial Solar</w:t>
      </w:r>
    </w:p>
    <w:p w14:paraId="7C35FCEC" w14:textId="4CBEF792" w:rsidR="1A9B3A7B" w:rsidRDefault="51851422" w:rsidP="40A5FC40">
      <w:pPr>
        <w:pStyle w:val="ListParagraph"/>
        <w:numPr>
          <w:ilvl w:val="1"/>
          <w:numId w:val="131"/>
        </w:numPr>
        <w:rPr>
          <w:rFonts w:asciiTheme="minorHAnsi" w:eastAsiaTheme="minorEastAsia" w:hAnsiTheme="minorHAnsi" w:cstheme="minorBidi"/>
        </w:rPr>
      </w:pPr>
      <w:r>
        <w:t>Mountain Pass El Dorado Solar</w:t>
      </w:r>
    </w:p>
    <w:p w14:paraId="212D3654" w14:textId="4CBEF792" w:rsidR="1A9B3A7B" w:rsidRDefault="51851422" w:rsidP="40A5FC40">
      <w:pPr>
        <w:pStyle w:val="ListParagraph"/>
        <w:numPr>
          <w:ilvl w:val="1"/>
          <w:numId w:val="131"/>
        </w:numPr>
        <w:rPr>
          <w:rFonts w:asciiTheme="minorHAnsi" w:eastAsiaTheme="minorEastAsia" w:hAnsiTheme="minorHAnsi" w:cstheme="minorBidi"/>
        </w:rPr>
      </w:pPr>
      <w:r>
        <w:t>SCADSNV Solar</w:t>
      </w:r>
    </w:p>
    <w:p w14:paraId="6C788AA0" w14:textId="59CCF839" w:rsidR="1A9B3A7B" w:rsidRDefault="51851422" w:rsidP="40A5FC40">
      <w:pPr>
        <w:pStyle w:val="ListParagraph"/>
        <w:numPr>
          <w:ilvl w:val="1"/>
          <w:numId w:val="131"/>
        </w:numPr>
        <w:rPr>
          <w:rFonts w:asciiTheme="minorHAnsi" w:eastAsiaTheme="minorEastAsia" w:hAnsiTheme="minorHAnsi" w:cstheme="minorBidi"/>
        </w:rPr>
      </w:pPr>
      <w:r>
        <w:t>Southern Nevada Solar</w:t>
      </w:r>
      <w:r w:rsidR="4C0F9C75">
        <w:t xml:space="preserve"> and Wind</w:t>
      </w:r>
    </w:p>
    <w:p w14:paraId="51EE714B" w14:textId="4CBEF792" w:rsidR="1A9B3A7B" w:rsidRDefault="51851422" w:rsidP="40A5FC40">
      <w:pPr>
        <w:pStyle w:val="ListParagraph"/>
        <w:numPr>
          <w:ilvl w:val="1"/>
          <w:numId w:val="131"/>
        </w:numPr>
        <w:rPr>
          <w:rFonts w:asciiTheme="minorHAnsi" w:eastAsiaTheme="minorEastAsia" w:hAnsiTheme="minorHAnsi" w:cstheme="minorBidi"/>
        </w:rPr>
      </w:pPr>
      <w:proofErr w:type="spellStart"/>
      <w:r>
        <w:t>Westlands</w:t>
      </w:r>
      <w:proofErr w:type="spellEnd"/>
      <w:r>
        <w:t xml:space="preserve"> Solar</w:t>
      </w:r>
    </w:p>
    <w:p w14:paraId="3CA98E96" w14:textId="4CBEF792" w:rsidR="1A9B3A7B" w:rsidRDefault="51851422" w:rsidP="40A5FC40">
      <w:pPr>
        <w:pStyle w:val="ListParagraph"/>
        <w:numPr>
          <w:ilvl w:val="1"/>
          <w:numId w:val="131"/>
        </w:numPr>
        <w:rPr>
          <w:rFonts w:asciiTheme="minorHAnsi" w:eastAsiaTheme="minorEastAsia" w:hAnsiTheme="minorHAnsi" w:cstheme="minorBidi"/>
        </w:rPr>
      </w:pPr>
      <w:r>
        <w:t>Arizona Solar</w:t>
      </w:r>
    </w:p>
    <w:p w14:paraId="59884952" w14:textId="4CBEF792" w:rsidR="1A9B3A7B" w:rsidRDefault="51851422" w:rsidP="40A5FC40">
      <w:pPr>
        <w:pStyle w:val="ListParagraph"/>
        <w:numPr>
          <w:ilvl w:val="1"/>
          <w:numId w:val="131"/>
        </w:numPr>
        <w:rPr>
          <w:rFonts w:asciiTheme="minorHAnsi" w:eastAsiaTheme="minorEastAsia" w:hAnsiTheme="minorHAnsi" w:cstheme="minorBidi"/>
        </w:rPr>
      </w:pPr>
      <w:r>
        <w:t>Baja California Wind</w:t>
      </w:r>
    </w:p>
    <w:p w14:paraId="3924FF0A" w14:textId="4CBEF792" w:rsidR="1A9B3A7B" w:rsidRDefault="51851422" w:rsidP="40A5FC40">
      <w:pPr>
        <w:pStyle w:val="ListParagraph"/>
        <w:numPr>
          <w:ilvl w:val="1"/>
          <w:numId w:val="131"/>
        </w:numPr>
        <w:rPr>
          <w:rFonts w:asciiTheme="minorHAnsi" w:eastAsiaTheme="minorEastAsia" w:hAnsiTheme="minorHAnsi" w:cstheme="minorBidi"/>
        </w:rPr>
      </w:pPr>
      <w:r>
        <w:t>New Mexico Wind</w:t>
      </w:r>
    </w:p>
    <w:p w14:paraId="4B9BE61B" w14:textId="775A5422" w:rsidR="76C57480" w:rsidRDefault="76C57480" w:rsidP="40A5FC40">
      <w:pPr>
        <w:pStyle w:val="ListParagraph"/>
        <w:numPr>
          <w:ilvl w:val="1"/>
          <w:numId w:val="131"/>
        </w:numPr>
      </w:pPr>
      <w:r>
        <w:t>Wyoming Wind</w:t>
      </w:r>
    </w:p>
    <w:p w14:paraId="09C40267" w14:textId="667A148E" w:rsidR="39E43D8D" w:rsidRPr="00F040BF" w:rsidRDefault="39E43D8D" w:rsidP="00F040BF">
      <w:pPr>
        <w:pStyle w:val="ListParagraph"/>
        <w:numPr>
          <w:ilvl w:val="1"/>
          <w:numId w:val="131"/>
        </w:numPr>
      </w:pPr>
      <w:proofErr w:type="spellStart"/>
      <w:r w:rsidRPr="00F040BF">
        <w:t>SW_</w:t>
      </w:r>
      <w:r w:rsidRPr="00A24A87">
        <w:t>Ext</w:t>
      </w:r>
      <w:r w:rsidRPr="00F040BF">
        <w:t>_Tx_Wind</w:t>
      </w:r>
      <w:proofErr w:type="spellEnd"/>
    </w:p>
    <w:p w14:paraId="1E84CAB7" w14:textId="293952DC" w:rsidR="3285F286" w:rsidRPr="004A19CC" w:rsidRDefault="6D1119B5" w:rsidP="004A19CC">
      <w:pPr>
        <w:pStyle w:val="ListParagraph"/>
        <w:numPr>
          <w:ilvl w:val="0"/>
          <w:numId w:val="131"/>
        </w:numPr>
        <w:rPr>
          <w:rFonts w:asciiTheme="minorHAnsi" w:eastAsiaTheme="minorEastAsia" w:hAnsiTheme="minorHAnsi" w:cstheme="minorBidi"/>
          <w:szCs w:val="24"/>
        </w:rPr>
      </w:pPr>
      <w:r w:rsidRPr="7956503B">
        <w:rPr>
          <w:rFonts w:eastAsia="Garamond" w:cs="Garamond"/>
          <w:color w:val="000000" w:themeColor="text1"/>
          <w:szCs w:val="24"/>
        </w:rPr>
        <w:t xml:space="preserve">Tehachapi renewable transmission zone: Both Tehachapi Solar and Tehachapi Wind are in material non-compliance for </w:t>
      </w:r>
      <w:r>
        <w:t xml:space="preserve">criterion 2 (transmission capability). The exceedance of transmission limit is alleviated by taking into account the transmission upgrade called for by RESOLVE in the Tehachapi renewable transmission zone. </w:t>
      </w:r>
      <w:r w:rsidRPr="7956503B">
        <w:rPr>
          <w:rFonts w:eastAsia="Garamond" w:cs="Garamond"/>
          <w:color w:val="000000" w:themeColor="text1"/>
        </w:rPr>
        <w:t>CAISO staff’s guidance is that this corresponds to a transmission project that provides a 1,000 MW expansion.</w:t>
      </w:r>
      <w:r>
        <w:t xml:space="preserve"> CPUC staff then assumed the entire 1,000 MW is available for mapping resources</w:t>
      </w:r>
      <w:r w:rsidR="2BD5CC87">
        <w:t xml:space="preserve">, and reallocated addition solar resources to Tehachapi solar during the mapping process as noted in Section </w:t>
      </w:r>
      <w:r w:rsidR="0072517A">
        <w:fldChar w:fldCharType="begin"/>
      </w:r>
      <w:r w:rsidR="0072517A">
        <w:instrText xml:space="preserve"> REF _Ref36055920 \r \h </w:instrText>
      </w:r>
      <w:r w:rsidR="0072517A">
        <w:fldChar w:fldCharType="separate"/>
      </w:r>
      <w:r w:rsidR="003B7A14">
        <w:t>6.2</w:t>
      </w:r>
      <w:r w:rsidR="0072517A">
        <w:fldChar w:fldCharType="end"/>
      </w:r>
    </w:p>
    <w:p w14:paraId="5169A4A5" w14:textId="22BFB7C7" w:rsidR="00F95B6A" w:rsidRPr="004A19CC" w:rsidRDefault="5E7A8B63" w:rsidP="004A19CC">
      <w:pPr>
        <w:pStyle w:val="Heading4"/>
        <w:rPr>
          <w:rFonts w:ascii="Garamond" w:eastAsia="Garamond" w:hAnsi="Garamond" w:cs="Garamond"/>
          <w:i w:val="0"/>
          <w:color w:val="auto"/>
        </w:rPr>
      </w:pPr>
      <w:r w:rsidRPr="5CA33C60">
        <w:rPr>
          <w:rFonts w:ascii="Garamond" w:eastAsia="Garamond" w:hAnsi="Garamond" w:cs="Garamond"/>
          <w:i w:val="0"/>
          <w:color w:val="auto"/>
        </w:rPr>
        <w:t xml:space="preserve">Multiple mapped wind resources received level-2 non compliances for criteria 3a (available land area) and 3b (high environmental impact) in the dashboard. The description of these non-compliances in Section </w:t>
      </w:r>
      <w:r w:rsidR="0072517A">
        <w:rPr>
          <w:rFonts w:ascii="Garamond" w:eastAsia="Garamond" w:hAnsi="Garamond" w:cs="Garamond"/>
          <w:i w:val="0"/>
          <w:color w:val="auto"/>
        </w:rPr>
        <w:fldChar w:fldCharType="begin"/>
      </w:r>
      <w:r w:rsidR="0072517A">
        <w:rPr>
          <w:rFonts w:ascii="Garamond" w:eastAsia="Garamond" w:hAnsi="Garamond" w:cs="Garamond"/>
          <w:i w:val="0"/>
          <w:color w:val="auto"/>
        </w:rPr>
        <w:instrText xml:space="preserve"> REF _Ref59120600 \r \h </w:instrText>
      </w:r>
      <w:r w:rsidR="0072517A">
        <w:rPr>
          <w:rFonts w:ascii="Garamond" w:eastAsia="Garamond" w:hAnsi="Garamond" w:cs="Garamond"/>
          <w:i w:val="0"/>
          <w:color w:val="auto"/>
        </w:rPr>
      </w:r>
      <w:r w:rsidR="0072517A">
        <w:rPr>
          <w:rFonts w:ascii="Garamond" w:eastAsia="Garamond" w:hAnsi="Garamond" w:cs="Garamond"/>
          <w:i w:val="0"/>
          <w:color w:val="auto"/>
        </w:rPr>
        <w:fldChar w:fldCharType="separate"/>
      </w:r>
      <w:r w:rsidR="003B7A14">
        <w:rPr>
          <w:rFonts w:ascii="Garamond" w:eastAsia="Garamond" w:hAnsi="Garamond" w:cs="Garamond"/>
          <w:i w:val="0"/>
          <w:color w:val="auto"/>
        </w:rPr>
        <w:t>7.1</w:t>
      </w:r>
      <w:r w:rsidR="0072517A">
        <w:rPr>
          <w:rFonts w:ascii="Garamond" w:eastAsia="Garamond" w:hAnsi="Garamond" w:cs="Garamond"/>
          <w:i w:val="0"/>
          <w:color w:val="auto"/>
        </w:rPr>
        <w:fldChar w:fldCharType="end"/>
      </w:r>
      <w:r w:rsidRPr="5CA33C60">
        <w:rPr>
          <w:rFonts w:ascii="Garamond" w:eastAsia="Garamond" w:hAnsi="Garamond" w:cs="Garamond"/>
          <w:i w:val="0"/>
          <w:color w:val="auto"/>
        </w:rPr>
        <w:t xml:space="preserve"> apply here to this portfolio as well.</w:t>
      </w:r>
    </w:p>
    <w:p w14:paraId="213E646C" w14:textId="25B44EF7" w:rsidR="00F95B6A" w:rsidRPr="00F21097" w:rsidRDefault="5E7A8B63">
      <w:pPr>
        <w:rPr>
          <w:rFonts w:eastAsia="Garamond" w:cs="Garamond"/>
        </w:rPr>
      </w:pPr>
      <w:r w:rsidRPr="00F21097">
        <w:rPr>
          <w:rFonts w:eastAsia="Garamond" w:cs="Garamond"/>
        </w:rPr>
        <w:t xml:space="preserve">Multiple mapped solar resources </w:t>
      </w:r>
      <w:r w:rsidR="7D5633FF" w:rsidRPr="7956503B">
        <w:rPr>
          <w:rFonts w:eastAsia="Garamond" w:cs="Garamond"/>
        </w:rPr>
        <w:t>received</w:t>
      </w:r>
      <w:r w:rsidRPr="00F21097">
        <w:rPr>
          <w:rFonts w:eastAsia="Garamond" w:cs="Garamond"/>
        </w:rPr>
        <w:t xml:space="preserve"> level-2 non-compliance with criterion 1 (Distance to transmission of appropriate voltage) in the dashboard for having solar resou</w:t>
      </w:r>
      <w:r w:rsidR="00F21097">
        <w:rPr>
          <w:rFonts w:eastAsia="Garamond" w:cs="Garamond"/>
        </w:rPr>
        <w:t>rc</w:t>
      </w:r>
      <w:r w:rsidRPr="00F21097">
        <w:rPr>
          <w:rFonts w:eastAsia="Garamond" w:cs="Garamond"/>
        </w:rPr>
        <w:t>es mapped to 500 kV substations. These non-</w:t>
      </w:r>
      <w:r w:rsidR="6849A25E" w:rsidRPr="00F21097">
        <w:rPr>
          <w:rFonts w:eastAsia="Garamond" w:cs="Garamond"/>
        </w:rPr>
        <w:t>compliances</w:t>
      </w:r>
      <w:r w:rsidRPr="00F21097">
        <w:rPr>
          <w:rFonts w:eastAsia="Garamond" w:cs="Garamond"/>
        </w:rPr>
        <w:t xml:space="preserve"> flagged are acceptable</w:t>
      </w:r>
      <w:r w:rsidR="2039ECBB" w:rsidRPr="00F21097">
        <w:rPr>
          <w:rFonts w:eastAsia="Garamond" w:cs="Garamond"/>
        </w:rPr>
        <w:t xml:space="preserve"> for the same reasons as described in section </w:t>
      </w:r>
      <w:r w:rsidR="0072517A">
        <w:rPr>
          <w:rFonts w:eastAsia="Garamond" w:cs="Garamond"/>
        </w:rPr>
        <w:fldChar w:fldCharType="begin"/>
      </w:r>
      <w:r w:rsidR="0072517A">
        <w:rPr>
          <w:rFonts w:eastAsia="Garamond" w:cs="Garamond"/>
        </w:rPr>
        <w:instrText xml:space="preserve"> REF _Ref59120600 \r \h </w:instrText>
      </w:r>
      <w:r w:rsidR="0072517A">
        <w:rPr>
          <w:rFonts w:eastAsia="Garamond" w:cs="Garamond"/>
        </w:rPr>
      </w:r>
      <w:r w:rsidR="0072517A">
        <w:rPr>
          <w:rFonts w:eastAsia="Garamond" w:cs="Garamond"/>
        </w:rPr>
        <w:fldChar w:fldCharType="separate"/>
      </w:r>
      <w:r w:rsidR="003B7A14">
        <w:rPr>
          <w:rFonts w:eastAsia="Garamond" w:cs="Garamond"/>
        </w:rPr>
        <w:t>7.1</w:t>
      </w:r>
      <w:r w:rsidR="0072517A">
        <w:rPr>
          <w:rFonts w:eastAsia="Garamond" w:cs="Garamond"/>
        </w:rPr>
        <w:fldChar w:fldCharType="end"/>
      </w:r>
      <w:r w:rsidR="2039ECBB" w:rsidRPr="00F21097">
        <w:rPr>
          <w:rFonts w:eastAsia="Garamond" w:cs="Garamond"/>
        </w:rPr>
        <w:t>1 above.</w:t>
      </w:r>
    </w:p>
    <w:p w14:paraId="30F9AF95" w14:textId="77777777" w:rsidR="6A282112" w:rsidRPr="00F21097" w:rsidRDefault="6A282112" w:rsidP="6A282112">
      <w:pPr>
        <w:rPr>
          <w:rFonts w:ascii="Garmond" w:eastAsia="Garmond" w:hAnsi="Garmond" w:cs="Garmond"/>
        </w:rPr>
      </w:pPr>
    </w:p>
    <w:p w14:paraId="70F22811" w14:textId="4C8E15A5" w:rsidR="4F992AFA" w:rsidRDefault="1343C4FC" w:rsidP="00A24A87">
      <w:pPr>
        <w:spacing w:after="160" w:line="259" w:lineRule="auto"/>
        <w:rPr>
          <w:rFonts w:ascii="Garmond" w:eastAsia="Garmond" w:hAnsi="Garmond" w:cs="Garmond"/>
        </w:rPr>
      </w:pPr>
      <w:r w:rsidRPr="4F992AFA">
        <w:rPr>
          <w:rFonts w:eastAsia="Garamond" w:cs="Garamond"/>
          <w:color w:val="000000" w:themeColor="text1"/>
        </w:rPr>
        <w:t>Based on the above, staff concludes that the instances of non-compliance for this portfolio are acceptable.</w:t>
      </w:r>
    </w:p>
    <w:p w14:paraId="006B1222" w14:textId="7065925F" w:rsidR="00DF30B6" w:rsidRDefault="00DF30B6" w:rsidP="00DF30B6">
      <w:pPr>
        <w:pStyle w:val="Heading4"/>
      </w:pPr>
      <w:r>
        <w:t xml:space="preserve">Battery Storage </w:t>
      </w:r>
    </w:p>
    <w:p w14:paraId="4B843B1C" w14:textId="481C346D" w:rsidR="00B13D65" w:rsidRPr="00B13D65" w:rsidRDefault="0BAAB8DE" w:rsidP="40A5FC40">
      <w:r>
        <w:t xml:space="preserve">The busbar mapping of battery resources was completed with only one round of mapping, following the first round of non-battery (generation) resources proposed adjustments. Details of the battery mapping results are shown in Appendix </w:t>
      </w:r>
      <w:r w:rsidR="00BD0F7F">
        <w:fldChar w:fldCharType="begin"/>
      </w:r>
      <w:r w:rsidR="00BD0F7F">
        <w:instrText xml:space="preserve"> REF _Ref59457313 \r \h </w:instrText>
      </w:r>
      <w:r w:rsidR="00BD0F7F">
        <w:fldChar w:fldCharType="separate"/>
      </w:r>
      <w:r w:rsidR="003B7A14">
        <w:t>C</w:t>
      </w:r>
      <w:r w:rsidR="00BD0F7F">
        <w:fldChar w:fldCharType="end"/>
      </w:r>
      <w:r w:rsidR="00287970">
        <w:t xml:space="preserve"> </w:t>
      </w:r>
      <w:r>
        <w:t xml:space="preserve">and summarized below. </w:t>
      </w:r>
    </w:p>
    <w:p w14:paraId="3E17FC9E" w14:textId="7097982C" w:rsidR="00B13D65" w:rsidRPr="00B13D65" w:rsidRDefault="00B13D65" w:rsidP="40A5FC40"/>
    <w:p w14:paraId="7EAB4497" w14:textId="3CA7748C" w:rsidR="00B13D65" w:rsidRDefault="0BAAB8DE" w:rsidP="40A5FC40">
      <w:pPr>
        <w:rPr>
          <w:u w:val="single"/>
        </w:rPr>
      </w:pPr>
      <w:r w:rsidRPr="00A12BEE">
        <w:rPr>
          <w:u w:val="single"/>
        </w:rPr>
        <w:t>Function Summary:</w:t>
      </w:r>
    </w:p>
    <w:p w14:paraId="7F2EE0DE" w14:textId="77777777" w:rsidR="00A12BEE" w:rsidRPr="00A12BEE" w:rsidRDefault="00A12BEE" w:rsidP="40A5FC40">
      <w:pPr>
        <w:rPr>
          <w:u w:val="single"/>
        </w:rPr>
      </w:pPr>
    </w:p>
    <w:p w14:paraId="6FC6FE7A" w14:textId="319A6E55" w:rsidR="00B13D65" w:rsidRPr="00B13D65" w:rsidRDefault="290EEAAD" w:rsidP="40A5FC40">
      <w:r>
        <w:t>Stand Alone Resources</w:t>
      </w:r>
    </w:p>
    <w:p w14:paraId="05931A96" w14:textId="249F9256" w:rsidR="00B13D65" w:rsidRPr="00B13D65" w:rsidRDefault="290EEAAD" w:rsidP="00A12BEE">
      <w:r>
        <w:lastRenderedPageBreak/>
        <w:t>The first battery resources mapped are to LCR areas and represent the amount of battery resources that can provide both local and system capacity. 2,</w:t>
      </w:r>
      <w:r w:rsidR="2EEE5B62">
        <w:t>128</w:t>
      </w:r>
      <w:r>
        <w:t xml:space="preserve"> MW are mapped to substations within the </w:t>
      </w:r>
      <w:r w:rsidR="63F07120">
        <w:t>“Ex” zones</w:t>
      </w:r>
      <w:r>
        <w:t>. In addition to these, stand-alone resources that provide system-only capacity are also mapped</w:t>
      </w:r>
      <w:r w:rsidR="30DBA13C">
        <w:t xml:space="preserve"> to substations inside LCR areas and outside of LCR areas</w:t>
      </w:r>
      <w:r>
        <w:t xml:space="preserve">. For the substations in the LCR areas, these batteries are beyond the 4-hour 1-for-1 replacement for local resources but can still provide system benefits. CPUCS staff mapped </w:t>
      </w:r>
      <w:r w:rsidR="4D0337B1">
        <w:t>834</w:t>
      </w:r>
      <w:r>
        <w:t xml:space="preserve"> MW to substations in the renewable transmission zones</w:t>
      </w:r>
      <w:r w:rsidR="7D90BDFB">
        <w:t xml:space="preserve">, all </w:t>
      </w:r>
      <w:r w:rsidR="7FA3BFD7">
        <w:t xml:space="preserve">located </w:t>
      </w:r>
      <w:r w:rsidR="7D90BDFB">
        <w:t>outside of LCR areas.</w:t>
      </w:r>
      <w:r>
        <w:t xml:space="preserve"> </w:t>
      </w:r>
      <w:r w:rsidR="0E607A5F">
        <w:t>CPUC staff also mapped</w:t>
      </w:r>
      <w:r>
        <w:t xml:space="preserve"> 1,</w:t>
      </w:r>
      <w:r w:rsidR="4C0821D8">
        <w:t>052</w:t>
      </w:r>
      <w:r>
        <w:t xml:space="preserve"> MW to substations in the </w:t>
      </w:r>
      <w:r w:rsidR="68E1C6A8">
        <w:t>“Ex” zones</w:t>
      </w:r>
      <w:r w:rsidR="2CEF61E5">
        <w:t>, all within LCR areas</w:t>
      </w:r>
      <w:r>
        <w:t>.</w:t>
      </w:r>
    </w:p>
    <w:p w14:paraId="25103D12" w14:textId="75310BA4" w:rsidR="00B13D65" w:rsidRPr="00B13D65" w:rsidRDefault="00B13D65" w:rsidP="7956503B"/>
    <w:p w14:paraId="7497A3C8" w14:textId="5CEBD7FB" w:rsidR="00B13D65" w:rsidRPr="00B13D65" w:rsidRDefault="290EEAAD" w:rsidP="7956503B">
      <w:r>
        <w:t>Co-Located Resources</w:t>
      </w:r>
    </w:p>
    <w:p w14:paraId="03AD2826" w14:textId="625FCFEE" w:rsidR="00B13D65" w:rsidRPr="00B13D65" w:rsidRDefault="290EEAAD" w:rsidP="0065247B">
      <w:r>
        <w:t xml:space="preserve">In keeping with the minimization of ratepayer costs policy directive contained in the Methodology, CPUC staff maximized the amount of co-located solar + storage. CPUC staff mapped </w:t>
      </w:r>
      <w:r w:rsidR="6D934093">
        <w:t>5,433</w:t>
      </w:r>
      <w:r>
        <w:t xml:space="preserve"> MW of co-located battery resources to substations in the renewable transmission zones. CPUC staff transferred the FD status of the solar resources already mapped to the substations to the battery resources.</w:t>
      </w:r>
    </w:p>
    <w:p w14:paraId="4D21F0DC" w14:textId="17ED124C" w:rsidR="000A4394" w:rsidRDefault="000A4394" w:rsidP="003F1631">
      <w:pPr>
        <w:pStyle w:val="Caption"/>
        <w:keepNext/>
      </w:pPr>
    </w:p>
    <w:p w14:paraId="4CDC535E" w14:textId="1A0ADC85" w:rsidR="001D72D3" w:rsidRDefault="001D72D3" w:rsidP="005169DA">
      <w:pPr>
        <w:pStyle w:val="Caption"/>
        <w:keepNext/>
      </w:pPr>
      <w:r>
        <w:t xml:space="preserve">Table </w:t>
      </w:r>
      <w:r w:rsidR="00F02B49">
        <w:fldChar w:fldCharType="begin"/>
      </w:r>
      <w:r w:rsidR="00F02B49">
        <w:instrText xml:space="preserve"> SEQ Table \* ARABIC </w:instrText>
      </w:r>
      <w:r w:rsidR="00F02B49">
        <w:fldChar w:fldCharType="separate"/>
      </w:r>
      <w:r>
        <w:rPr>
          <w:noProof/>
        </w:rPr>
        <w:t>19</w:t>
      </w:r>
      <w:r w:rsidR="00F02B49">
        <w:rPr>
          <w:noProof/>
        </w:rPr>
        <w:fldChar w:fldCharType="end"/>
      </w:r>
      <w:r>
        <w:t xml:space="preserve">. </w:t>
      </w:r>
      <w:r w:rsidRPr="001D72D3">
        <w:t>Battery storage busbar mapping results for 38 MMT portfolio by function summary</w:t>
      </w:r>
    </w:p>
    <w:p w14:paraId="05585A8D" w14:textId="1546DC4C" w:rsidR="40A5FC40" w:rsidRDefault="00F02B49" w:rsidP="40A5FC40">
      <w:r>
        <w:rPr>
          <w:noProof/>
        </w:rPr>
        <w:drawing>
          <wp:inline distT="0" distB="0" distL="0" distR="0" wp14:anchorId="5A7E0FF9" wp14:editId="31379E6C">
            <wp:extent cx="5046657" cy="1307592"/>
            <wp:effectExtent l="0" t="0" r="0" b="0"/>
            <wp:docPr id="2" name="Picture 1">
              <a:extLst xmlns:a="http://schemas.openxmlformats.org/drawingml/2006/main">
                <a:ext uri="{FF2B5EF4-FFF2-40B4-BE49-F238E27FC236}">
                  <a16:creationId xmlns:a16="http://schemas.microsoft.com/office/drawing/2014/main" id="{BE27B73E-9B90-41B5-8A29-4E2B4CA7E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E27B73E-9B90-41B5-8A29-4E2B4CA7EF0F}"/>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6657" cy="13075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A7C952" w14:textId="20F641BA" w:rsidR="40A5FC40" w:rsidRDefault="40A5FC40" w:rsidP="00A24A87">
      <w:pPr>
        <w:ind w:left="0"/>
      </w:pPr>
    </w:p>
    <w:p w14:paraId="4667D356" w14:textId="2B9886E3" w:rsidR="0BAAB8DE" w:rsidRPr="00A12BEE" w:rsidRDefault="0BAAB8DE" w:rsidP="40A5FC40">
      <w:pPr>
        <w:rPr>
          <w:u w:val="single"/>
        </w:rPr>
      </w:pPr>
      <w:r w:rsidRPr="00A12BEE">
        <w:rPr>
          <w:u w:val="single"/>
        </w:rPr>
        <w:t>Location Summary:</w:t>
      </w:r>
    </w:p>
    <w:p w14:paraId="3EF304B6" w14:textId="3BA4EF00" w:rsidR="40A5FC40" w:rsidRDefault="3D22177B" w:rsidP="40A5FC40">
      <w:r>
        <w:t xml:space="preserve">CPUC staff also executed the mapping in keeping with the minimization of criteria pollutants policy directives contained in the Methodology </w:t>
      </w:r>
    </w:p>
    <w:p w14:paraId="360BC227" w14:textId="1E5D2EF6" w:rsidR="40A5FC40" w:rsidRDefault="40A5FC40" w:rsidP="7956503B"/>
    <w:p w14:paraId="6AB9CB42" w14:textId="62B7B226" w:rsidR="40A5FC40" w:rsidRDefault="3D22177B" w:rsidP="7956503B">
      <w:r>
        <w:t>LCR Areas</w:t>
      </w:r>
    </w:p>
    <w:p w14:paraId="28F1498D" w14:textId="1F30435F" w:rsidR="40A5FC40" w:rsidRDefault="3D22177B" w:rsidP="7956503B">
      <w:r>
        <w:t>For substations located in LCR areas, CPUC staff mapped 3,</w:t>
      </w:r>
      <w:r w:rsidR="7881A821">
        <w:t>180</w:t>
      </w:r>
      <w:r>
        <w:t xml:space="preserve"> MW of stand-alone battery resources within the </w:t>
      </w:r>
      <w:r w:rsidR="0F89857D">
        <w:t>“Ex” zones</w:t>
      </w:r>
      <w:r>
        <w:t xml:space="preserve"> and </w:t>
      </w:r>
      <w:r w:rsidR="004C7B2B">
        <w:t>674</w:t>
      </w:r>
      <w:r>
        <w:t xml:space="preserve"> MW of co-located battery resources within the renewable transmission zones. </w:t>
      </w:r>
    </w:p>
    <w:p w14:paraId="663499B6" w14:textId="7EA1E479" w:rsidR="40A5FC40" w:rsidRDefault="40A5FC40" w:rsidP="7956503B"/>
    <w:p w14:paraId="42EFEB1C" w14:textId="69270B98" w:rsidR="40A5FC40" w:rsidRDefault="3D22177B" w:rsidP="7956503B">
      <w:r>
        <w:t>Disadvantage</w:t>
      </w:r>
      <w:r w:rsidR="6105A248">
        <w:t>d</w:t>
      </w:r>
      <w:r>
        <w:t xml:space="preserve"> Communities (DAC</w:t>
      </w:r>
      <w:r w:rsidR="177A9554">
        <w:t>s</w:t>
      </w:r>
      <w:r>
        <w:t>)</w:t>
      </w:r>
    </w:p>
    <w:p w14:paraId="32893AFC" w14:textId="6F6377B9" w:rsidR="40A5FC40" w:rsidRDefault="3D22177B" w:rsidP="7956503B">
      <w:r>
        <w:t>For substations located in DAC</w:t>
      </w:r>
      <w:r w:rsidR="7EC29709">
        <w:t>s</w:t>
      </w:r>
      <w:r>
        <w:t xml:space="preserve">, CPUC staff mapped </w:t>
      </w:r>
      <w:r w:rsidR="404EEE73">
        <w:t>1,401</w:t>
      </w:r>
      <w:r>
        <w:t xml:space="preserve"> MW of stand-alone battery resources within the </w:t>
      </w:r>
      <w:r w:rsidR="35F8EA48">
        <w:t>“Ex” zones</w:t>
      </w:r>
      <w:r>
        <w:t xml:space="preserve"> and </w:t>
      </w:r>
      <w:r w:rsidR="20049497">
        <w:t>709</w:t>
      </w:r>
      <w:r>
        <w:t xml:space="preserve"> MW of co-located battery resources within the renewable transmission zones. </w:t>
      </w:r>
    </w:p>
    <w:p w14:paraId="3134735C" w14:textId="56B35306" w:rsidR="40A5FC40" w:rsidRDefault="40A5FC40" w:rsidP="7956503B"/>
    <w:p w14:paraId="3011D8CD" w14:textId="328B3754" w:rsidR="40A5FC40" w:rsidRDefault="3D22177B" w:rsidP="7956503B">
      <w:r>
        <w:t>Air-Quality Non-Attainment Areas</w:t>
      </w:r>
    </w:p>
    <w:p w14:paraId="3171B40A" w14:textId="30657C7F" w:rsidR="40A5FC40" w:rsidRDefault="3D22177B" w:rsidP="40A5FC40">
      <w:r>
        <w:t xml:space="preserve">For substations located in air-quality non-attainment areas, CPUC staff mapped </w:t>
      </w:r>
      <w:r w:rsidR="008AA35D">
        <w:t>3,</w:t>
      </w:r>
      <w:r w:rsidR="35505EA5">
        <w:t>448</w:t>
      </w:r>
      <w:r>
        <w:t xml:space="preserve"> MW of stand-alone battery resources within the </w:t>
      </w:r>
      <w:r w:rsidR="5F248928">
        <w:t>“Ex” zones</w:t>
      </w:r>
      <w:r>
        <w:t xml:space="preserve"> and 4,</w:t>
      </w:r>
      <w:r w:rsidR="4636CAC9">
        <w:t>705</w:t>
      </w:r>
      <w:r>
        <w:t xml:space="preserve"> MW of co-located battery resources within the renewable transmission zones.</w:t>
      </w:r>
    </w:p>
    <w:p w14:paraId="44ABF5B0" w14:textId="70391686" w:rsidR="7956503B" w:rsidRDefault="7956503B" w:rsidP="7956503B"/>
    <w:p w14:paraId="31258C90" w14:textId="45739F0E" w:rsidR="001D72D3" w:rsidRDefault="001D72D3" w:rsidP="005169DA">
      <w:pPr>
        <w:pStyle w:val="Caption"/>
        <w:keepNext/>
      </w:pPr>
      <w:r>
        <w:lastRenderedPageBreak/>
        <w:t xml:space="preserve">Table </w:t>
      </w:r>
      <w:r w:rsidR="00F02B49">
        <w:fldChar w:fldCharType="begin"/>
      </w:r>
      <w:r w:rsidR="00F02B49">
        <w:instrText xml:space="preserve"> SEQ Table \* ARAB</w:instrText>
      </w:r>
      <w:r w:rsidR="00F02B49">
        <w:instrText xml:space="preserve">IC </w:instrText>
      </w:r>
      <w:r w:rsidR="00F02B49">
        <w:fldChar w:fldCharType="separate"/>
      </w:r>
      <w:r>
        <w:rPr>
          <w:noProof/>
        </w:rPr>
        <w:t>20</w:t>
      </w:r>
      <w:r w:rsidR="00F02B49">
        <w:rPr>
          <w:noProof/>
        </w:rPr>
        <w:fldChar w:fldCharType="end"/>
      </w:r>
      <w:r>
        <w:t xml:space="preserve">. </w:t>
      </w:r>
      <w:r w:rsidRPr="001D72D3">
        <w:t>Battery storage busbar mapping results for 38 MMT portfolio by location summary</w:t>
      </w:r>
    </w:p>
    <w:p w14:paraId="0A550AFA" w14:textId="230CC07D" w:rsidR="40A5FC40" w:rsidRDefault="00F02B49" w:rsidP="40A5FC40">
      <w:r>
        <w:rPr>
          <w:noProof/>
        </w:rPr>
        <w:drawing>
          <wp:inline distT="0" distB="0" distL="0" distR="0" wp14:anchorId="3B413A5A" wp14:editId="50685859">
            <wp:extent cx="5039220" cy="2816352"/>
            <wp:effectExtent l="0" t="0" r="0" b="0"/>
            <wp:docPr id="4" name="Picture 2">
              <a:extLst xmlns:a="http://schemas.openxmlformats.org/drawingml/2006/main">
                <a:ext uri="{FF2B5EF4-FFF2-40B4-BE49-F238E27FC236}">
                  <a16:creationId xmlns:a16="http://schemas.microsoft.com/office/drawing/2014/main" id="{2CFCE8B4-E051-4F0B-9275-0A8ECC79D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CFCE8B4-E051-4F0B-9275-0A8ECC79D3C7}"/>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220" cy="28163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8F2FF3" w14:textId="4CD5B508" w:rsidR="2FF55C6E" w:rsidRDefault="2FF55C6E" w:rsidP="40A5FC40"/>
    <w:p w14:paraId="74D98E62" w14:textId="712F49FE" w:rsidR="0065247B" w:rsidRDefault="6D542AB8" w:rsidP="13A18B61">
      <w:r>
        <w:t>The figure below shows Round 2 results for the 38</w:t>
      </w:r>
      <w:r w:rsidR="00190362">
        <w:t xml:space="preserve"> </w:t>
      </w:r>
      <w:r>
        <w:t>MMT portfolio.</w:t>
      </w:r>
      <w:r w:rsidR="10928F90">
        <w:t xml:space="preserve"> Note bubbles indicating out-of-state resources are shown at the assumed CAISO delivery </w:t>
      </w:r>
      <w:proofErr w:type="gramStart"/>
      <w:r w:rsidR="10928F90">
        <w:t>point, and</w:t>
      </w:r>
      <w:proofErr w:type="gramEnd"/>
      <w:r w:rsidR="10928F90">
        <w:t xml:space="preserve"> highlighted with a black outline.</w:t>
      </w:r>
    </w:p>
    <w:p w14:paraId="3E369A32" w14:textId="77777777" w:rsidR="0065247B" w:rsidRDefault="0065247B">
      <w:pPr>
        <w:spacing w:after="160" w:line="259" w:lineRule="auto"/>
        <w:ind w:left="0"/>
      </w:pPr>
      <w:r>
        <w:br w:type="page"/>
      </w:r>
    </w:p>
    <w:p w14:paraId="551DBED8" w14:textId="77777777" w:rsidR="26293199" w:rsidRDefault="26293199" w:rsidP="13A18B61"/>
    <w:p w14:paraId="6F9B4203" w14:textId="573B659C" w:rsidR="26293199" w:rsidRDefault="26293199" w:rsidP="13A18B61">
      <w:pPr>
        <w:rPr>
          <w:rFonts w:eastAsia="Garamond" w:cs="Garamond"/>
        </w:rPr>
      </w:pPr>
    </w:p>
    <w:p w14:paraId="115E2C52" w14:textId="1BE80BCE" w:rsidR="002562D2" w:rsidRDefault="002562D2" w:rsidP="00C55A31">
      <w:pPr>
        <w:pStyle w:val="Caption"/>
        <w:keepNext/>
      </w:pPr>
      <w:r>
        <w:t xml:space="preserve">Figure </w:t>
      </w:r>
      <w:r w:rsidR="00F02B49">
        <w:fldChar w:fldCharType="begin"/>
      </w:r>
      <w:r w:rsidR="00F02B49">
        <w:instrText xml:space="preserve"> SEQ Figure \* ARABIC </w:instrText>
      </w:r>
      <w:r w:rsidR="00F02B49">
        <w:fldChar w:fldCharType="separate"/>
      </w:r>
      <w:r w:rsidR="002829AA">
        <w:rPr>
          <w:noProof/>
        </w:rPr>
        <w:t>6</w:t>
      </w:r>
      <w:r w:rsidR="00F02B49">
        <w:rPr>
          <w:noProof/>
        </w:rPr>
        <w:fldChar w:fldCharType="end"/>
      </w:r>
      <w:r w:rsidR="002829AA">
        <w:rPr>
          <w:noProof/>
        </w:rPr>
        <w:t>.</w:t>
      </w:r>
      <w:r>
        <w:t xml:space="preserve"> Map of Final Round of busbar mapping results for 38 MMT portfolio</w:t>
      </w:r>
      <w:r w:rsidR="00405104">
        <w:rPr>
          <w:rStyle w:val="FootnoteReference"/>
        </w:rPr>
        <w:footnoteReference w:id="23"/>
      </w:r>
    </w:p>
    <w:p w14:paraId="272B2B17" w14:textId="79801FD1" w:rsidR="26293199" w:rsidRDefault="7162BADC" w:rsidP="7956503B">
      <w:r>
        <w:rPr>
          <w:noProof/>
        </w:rPr>
        <w:drawing>
          <wp:inline distT="0" distB="0" distL="0" distR="0" wp14:anchorId="7BE80F51" wp14:editId="327E2B11">
            <wp:extent cx="5465135" cy="4303794"/>
            <wp:effectExtent l="0" t="0" r="0" b="1905"/>
            <wp:docPr id="1889429646" name="Picture 188942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429646"/>
                    <pic:cNvPicPr/>
                  </pic:nvPicPr>
                  <pic:blipFill>
                    <a:blip r:embed="rId35">
                      <a:extLst>
                        <a:ext uri="{28A0092B-C50C-407E-A947-70E740481C1C}">
                          <a14:useLocalDpi xmlns:a14="http://schemas.microsoft.com/office/drawing/2010/main" val="0"/>
                        </a:ext>
                      </a:extLst>
                    </a:blip>
                    <a:stretch>
                      <a:fillRect/>
                    </a:stretch>
                  </pic:blipFill>
                  <pic:spPr>
                    <a:xfrm>
                      <a:off x="0" y="0"/>
                      <a:ext cx="5486917" cy="4320948"/>
                    </a:xfrm>
                    <a:prstGeom prst="rect">
                      <a:avLst/>
                    </a:prstGeom>
                  </pic:spPr>
                </pic:pic>
              </a:graphicData>
            </a:graphic>
          </wp:inline>
        </w:drawing>
      </w:r>
    </w:p>
    <w:p w14:paraId="080315DF" w14:textId="085C42F0" w:rsidR="40A5FC40" w:rsidRDefault="40A5FC40" w:rsidP="40A5FC40"/>
    <w:p w14:paraId="4ACA936F" w14:textId="52899E5E" w:rsidR="00DF30B6" w:rsidRPr="000115B3" w:rsidRDefault="33592636" w:rsidP="000115B3">
      <w:pPr>
        <w:pStyle w:val="Heading3"/>
      </w:pPr>
      <w:bookmarkStart w:id="68" w:name="_Ref59120533"/>
      <w:bookmarkStart w:id="69" w:name="_Toc63669605"/>
      <w:r w:rsidRPr="000115B3">
        <w:t>Offshore Wind</w:t>
      </w:r>
      <w:r w:rsidR="3E699249" w:rsidRPr="000115B3">
        <w:t xml:space="preserve"> Portfolio</w:t>
      </w:r>
      <w:bookmarkEnd w:id="68"/>
      <w:bookmarkEnd w:id="69"/>
    </w:p>
    <w:p w14:paraId="1EFABA78" w14:textId="47526BC7" w:rsidR="7956503B" w:rsidRDefault="7956503B" w:rsidP="003400F2">
      <w:r>
        <w:t xml:space="preserve">Two rounds of mapping were required to arrive at the allocations for the </w:t>
      </w:r>
      <w:r w:rsidR="00E30DC6">
        <w:t>Offshore Wind</w:t>
      </w:r>
      <w:r>
        <w:t xml:space="preserve"> portfolio (see Appendix </w:t>
      </w:r>
      <w:r w:rsidR="00BD0F7F">
        <w:fldChar w:fldCharType="begin"/>
      </w:r>
      <w:r w:rsidR="00BD0F7F">
        <w:instrText xml:space="preserve"> REF _Ref32839915 \r \h </w:instrText>
      </w:r>
      <w:r w:rsidR="00BD0F7F">
        <w:fldChar w:fldCharType="separate"/>
      </w:r>
      <w:r w:rsidR="003B7A14">
        <w:t>B</w:t>
      </w:r>
      <w:r w:rsidR="00BD0F7F">
        <w:fldChar w:fldCharType="end"/>
      </w:r>
      <w:r>
        <w:t xml:space="preserve"> for final CEC Busbar Mapping Results). A summary of the </w:t>
      </w:r>
      <w:proofErr w:type="gramStart"/>
      <w:r>
        <w:t>final results</w:t>
      </w:r>
      <w:proofErr w:type="gramEnd"/>
      <w:r>
        <w:t xml:space="preserve"> is provided in the dashboard in </w:t>
      </w:r>
      <w:r w:rsidR="002829AA">
        <w:fldChar w:fldCharType="begin"/>
      </w:r>
      <w:r w:rsidR="002829AA">
        <w:instrText xml:space="preserve"> REF _Ref63665478 \h </w:instrText>
      </w:r>
      <w:r w:rsidR="002829AA">
        <w:fldChar w:fldCharType="separate"/>
      </w:r>
      <w:r w:rsidR="002829AA">
        <w:t xml:space="preserve">Table </w:t>
      </w:r>
      <w:r w:rsidR="002829AA">
        <w:rPr>
          <w:noProof/>
        </w:rPr>
        <w:t>21</w:t>
      </w:r>
      <w:r w:rsidR="002829AA">
        <w:fldChar w:fldCharType="end"/>
      </w:r>
      <w:r w:rsidR="004A1A78">
        <w:t xml:space="preserve"> </w:t>
      </w:r>
      <w:r>
        <w:t>below</w:t>
      </w:r>
      <w:r w:rsidR="0080586A">
        <w:t>.</w:t>
      </w:r>
    </w:p>
    <w:p w14:paraId="6CF46FE9" w14:textId="77777777" w:rsidR="00D56483" w:rsidRDefault="00D56483"/>
    <w:p w14:paraId="4B75389A" w14:textId="77777777" w:rsidR="00D56483" w:rsidRDefault="00D56483">
      <w:pPr>
        <w:sectPr w:rsidR="00D56483">
          <w:pgSz w:w="12240" w:h="15840"/>
          <w:pgMar w:top="1440" w:right="1440" w:bottom="1440" w:left="1440" w:header="720" w:footer="720" w:gutter="0"/>
          <w:cols w:space="720"/>
          <w:docGrid w:linePitch="360"/>
        </w:sectPr>
      </w:pPr>
    </w:p>
    <w:p w14:paraId="51A9B686" w14:textId="465D5F3D" w:rsidR="001D72D3" w:rsidRDefault="001D72D3" w:rsidP="003F1631">
      <w:pPr>
        <w:pStyle w:val="Caption"/>
        <w:keepNext/>
      </w:pPr>
    </w:p>
    <w:p w14:paraId="76CC065F" w14:textId="34E8EDE7" w:rsidR="001D72D3" w:rsidRDefault="001D72D3" w:rsidP="005169DA">
      <w:pPr>
        <w:pStyle w:val="Caption"/>
        <w:keepNext/>
      </w:pPr>
      <w:bookmarkStart w:id="70" w:name="_Ref63665478"/>
      <w:r>
        <w:t xml:space="preserve">Table </w:t>
      </w:r>
      <w:r w:rsidR="00F02B49">
        <w:fldChar w:fldCharType="begin"/>
      </w:r>
      <w:r w:rsidR="00F02B49">
        <w:instrText xml:space="preserve"> SEQ Table \* ARABIC </w:instrText>
      </w:r>
      <w:r w:rsidR="00F02B49">
        <w:fldChar w:fldCharType="separate"/>
      </w:r>
      <w:r>
        <w:rPr>
          <w:noProof/>
        </w:rPr>
        <w:t>21</w:t>
      </w:r>
      <w:r w:rsidR="00F02B49">
        <w:rPr>
          <w:noProof/>
        </w:rPr>
        <w:fldChar w:fldCharType="end"/>
      </w:r>
      <w:bookmarkEnd w:id="70"/>
      <w:r>
        <w:t xml:space="preserve">. </w:t>
      </w:r>
      <w:r w:rsidRPr="001D72D3">
        <w:t>Dashboard showing compliance of busbar allocations for the Offshore Wind Portfolio, following Round 3 of mapping, with the criteria</w:t>
      </w:r>
    </w:p>
    <w:p w14:paraId="582BF749" w14:textId="73B3BEC0" w:rsidR="007B634E" w:rsidRDefault="707B8895" w:rsidP="003F1631">
      <w:pPr>
        <w:pStyle w:val="Caption"/>
        <w:keepNext/>
      </w:pPr>
      <w:r>
        <w:rPr>
          <w:noProof/>
        </w:rPr>
        <w:drawing>
          <wp:inline distT="0" distB="0" distL="0" distR="0" wp14:anchorId="6FD1E59C" wp14:editId="32026B35">
            <wp:extent cx="7124796" cy="5324399"/>
            <wp:effectExtent l="0" t="0" r="0" b="0"/>
            <wp:docPr id="1407133590" name="Picture 140713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133590"/>
                    <pic:cNvPicPr/>
                  </pic:nvPicPr>
                  <pic:blipFill>
                    <a:blip r:embed="rId36">
                      <a:extLst>
                        <a:ext uri="{28A0092B-C50C-407E-A947-70E740481C1C}">
                          <a14:useLocalDpi xmlns:a14="http://schemas.microsoft.com/office/drawing/2010/main" val="0"/>
                        </a:ext>
                      </a:extLst>
                    </a:blip>
                    <a:stretch>
                      <a:fillRect/>
                    </a:stretch>
                  </pic:blipFill>
                  <pic:spPr>
                    <a:xfrm>
                      <a:off x="0" y="0"/>
                      <a:ext cx="7161961" cy="5352173"/>
                    </a:xfrm>
                    <a:prstGeom prst="rect">
                      <a:avLst/>
                    </a:prstGeom>
                  </pic:spPr>
                </pic:pic>
              </a:graphicData>
            </a:graphic>
          </wp:inline>
        </w:drawing>
      </w:r>
    </w:p>
    <w:p w14:paraId="5C964F66" w14:textId="5FAD0C79" w:rsidR="00D56483" w:rsidRDefault="00D56483">
      <w:pPr>
        <w:sectPr w:rsidR="00D56483" w:rsidSect="003400F2">
          <w:pgSz w:w="15840" w:h="12240" w:orient="landscape"/>
          <w:pgMar w:top="1440" w:right="1440" w:bottom="1440" w:left="1440" w:header="720" w:footer="720" w:gutter="0"/>
          <w:cols w:space="720"/>
          <w:docGrid w:linePitch="360"/>
        </w:sectPr>
      </w:pPr>
    </w:p>
    <w:p w14:paraId="5886D779" w14:textId="09661F93" w:rsidR="00DF30B6" w:rsidRDefault="00DF30B6" w:rsidP="0080586A">
      <w:pPr>
        <w:pStyle w:val="Heading4"/>
      </w:pPr>
      <w:r>
        <w:lastRenderedPageBreak/>
        <w:t>Non-battery Resources</w:t>
      </w:r>
    </w:p>
    <w:p w14:paraId="0C4C665C" w14:textId="460443D3" w:rsidR="2CD2C232" w:rsidRDefault="2CD2C232">
      <w:r>
        <w:t xml:space="preserve">As required by the Methodology, staff explain the material non-compliances </w:t>
      </w:r>
      <w:r w:rsidR="4B24BE1B">
        <w:t xml:space="preserve">(level 3) </w:t>
      </w:r>
      <w:r>
        <w:t>that remain for the non-battery resources with these final allocations as follows:</w:t>
      </w:r>
    </w:p>
    <w:p w14:paraId="1AE275EC" w14:textId="23200363" w:rsidR="2CD2C232" w:rsidRDefault="2CD2C232" w:rsidP="00A24A87">
      <w:pPr>
        <w:pStyle w:val="ListParagraph"/>
        <w:numPr>
          <w:ilvl w:val="0"/>
          <w:numId w:val="131"/>
        </w:numPr>
        <w:spacing w:after="120"/>
        <w:rPr>
          <w:rFonts w:asciiTheme="minorHAnsi" w:eastAsiaTheme="minorEastAsia" w:hAnsiTheme="minorHAnsi" w:cstheme="minorBidi"/>
        </w:rPr>
      </w:pPr>
      <w:r>
        <w:t xml:space="preserve">Central Valley North Los </w:t>
      </w:r>
      <w:proofErr w:type="spellStart"/>
      <w:r>
        <w:t>Banos</w:t>
      </w:r>
      <w:proofErr w:type="spellEnd"/>
      <w:r>
        <w:t xml:space="preserve"> Wind: </w:t>
      </w:r>
      <w:r w:rsidR="37733104">
        <w:t>t</w:t>
      </w:r>
      <w:r>
        <w:t>he exceedance in criterion 3a (available land area)</w:t>
      </w:r>
      <w:r w:rsidR="5C8430A7">
        <w:t xml:space="preserve"> is acceptable for the same reasons as for the 46 MMT portfolio described in Section </w:t>
      </w:r>
      <w:r w:rsidR="0072517A">
        <w:fldChar w:fldCharType="begin"/>
      </w:r>
      <w:r w:rsidR="0072517A">
        <w:instrText xml:space="preserve"> REF _Ref59120600 \r \h </w:instrText>
      </w:r>
      <w:r w:rsidR="0072517A">
        <w:fldChar w:fldCharType="separate"/>
      </w:r>
      <w:r w:rsidR="003B7A14">
        <w:t>7.1</w:t>
      </w:r>
      <w:r w:rsidR="0072517A">
        <w:fldChar w:fldCharType="end"/>
      </w:r>
      <w:r w:rsidR="5C8430A7">
        <w:t xml:space="preserve"> above.</w:t>
      </w:r>
    </w:p>
    <w:p w14:paraId="7A51679F" w14:textId="02686BB4" w:rsidR="2CD2C232" w:rsidRDefault="2CD2C232" w:rsidP="00A24A87">
      <w:pPr>
        <w:pStyle w:val="ListParagraph"/>
        <w:numPr>
          <w:ilvl w:val="0"/>
          <w:numId w:val="131"/>
        </w:numPr>
        <w:spacing w:after="120"/>
        <w:rPr>
          <w:rFonts w:asciiTheme="minorHAnsi" w:eastAsiaTheme="minorEastAsia" w:hAnsiTheme="minorHAnsi" w:cstheme="minorBidi"/>
          <w:szCs w:val="24"/>
        </w:rPr>
      </w:pPr>
      <w:r>
        <w:t xml:space="preserve">Solano Wind: the material non-compliance for criterion 3b (high environmental implications) </w:t>
      </w:r>
      <w:r w:rsidR="4548B6CE">
        <w:t xml:space="preserve">is acceptable for the same reasons as for the 46 MMT portfolio described in Section </w:t>
      </w:r>
      <w:r w:rsidR="0072517A">
        <w:fldChar w:fldCharType="begin"/>
      </w:r>
      <w:r w:rsidR="0072517A">
        <w:instrText xml:space="preserve"> REF _Ref59120600 \r \h </w:instrText>
      </w:r>
      <w:r w:rsidR="0072517A">
        <w:fldChar w:fldCharType="separate"/>
      </w:r>
      <w:r w:rsidR="003B7A14">
        <w:t>7.1</w:t>
      </w:r>
      <w:r w:rsidR="0072517A">
        <w:fldChar w:fldCharType="end"/>
      </w:r>
      <w:r w:rsidR="4548B6CE">
        <w:t xml:space="preserve"> above.</w:t>
      </w:r>
    </w:p>
    <w:p w14:paraId="1E0A4695" w14:textId="2EBDF27C" w:rsidR="008A9B5F" w:rsidRDefault="008A9B5F" w:rsidP="7956503B">
      <w:pPr>
        <w:pStyle w:val="ListParagraph"/>
        <w:numPr>
          <w:ilvl w:val="0"/>
          <w:numId w:val="131"/>
        </w:numPr>
        <w:rPr>
          <w:szCs w:val="24"/>
        </w:rPr>
      </w:pPr>
      <w:r>
        <w:t>Northern California outer renewable transmission zone:</w:t>
      </w:r>
      <w:r w:rsidR="7B8ABDB4">
        <w:t xml:space="preserve"> Resources mapped to zones in the Northern California outer renewable transmission</w:t>
      </w:r>
      <w:r w:rsidR="5C7005F9">
        <w:t xml:space="preserve"> zone</w:t>
      </w:r>
      <w:r w:rsidR="7B8ABDB4">
        <w:t xml:space="preserve"> remain flagged for criterion 2 (transmission capability) non-compliance for exceeding the outer zone limit. Resources mapped to the Humboldt inner renewable transmission zone also exceed the inner zone limit. The mapping of off</w:t>
      </w:r>
      <w:r w:rsidR="7B627569">
        <w:t xml:space="preserve">shore wind resources to the Humboldt inner renewable transmission zone trigger theses exceedances. </w:t>
      </w:r>
      <w:r w:rsidR="31CD8C9B">
        <w:t xml:space="preserve">The purpose of this </w:t>
      </w:r>
      <w:r w:rsidR="00E30DC6">
        <w:t>Offshore wind</w:t>
      </w:r>
      <w:r w:rsidR="31CD8C9B">
        <w:t xml:space="preserve"> portfolio is to study the transmission implications of offshore wind.</w:t>
      </w:r>
      <w:r w:rsidR="723418A4">
        <w:t xml:space="preserve"> The mapped offshore wind accounts for the material non-compliance in criterion 2 (</w:t>
      </w:r>
      <w:r w:rsidR="542E87C0">
        <w:t>transmission</w:t>
      </w:r>
      <w:r w:rsidR="723418A4">
        <w:t xml:space="preserve"> capab</w:t>
      </w:r>
      <w:r w:rsidR="5B943330">
        <w:t>ility) for the following resources:</w:t>
      </w:r>
    </w:p>
    <w:p w14:paraId="3FDD5FBB" w14:textId="0E0733F6" w:rsidR="5D9B09A4" w:rsidRDefault="2892C466" w:rsidP="003400F2">
      <w:pPr>
        <w:pStyle w:val="ListParagraph"/>
        <w:numPr>
          <w:ilvl w:val="1"/>
          <w:numId w:val="131"/>
        </w:numPr>
      </w:pPr>
      <w:r>
        <w:t>Northern California Ex Wind</w:t>
      </w:r>
    </w:p>
    <w:p w14:paraId="62E9996E" w14:textId="5BA36076" w:rsidR="5D9B09A4" w:rsidRDefault="2892C466" w:rsidP="003400F2">
      <w:pPr>
        <w:pStyle w:val="ListParagraph"/>
        <w:numPr>
          <w:ilvl w:val="1"/>
          <w:numId w:val="131"/>
        </w:numPr>
      </w:pPr>
      <w:r>
        <w:t>NW Ext. Tx. Wind</w:t>
      </w:r>
    </w:p>
    <w:p w14:paraId="5570413D" w14:textId="34DCDBF3" w:rsidR="6C6FFFD1" w:rsidRDefault="6C6FFFD1" w:rsidP="5CA33C60">
      <w:pPr>
        <w:pStyle w:val="ListParagraph"/>
        <w:numPr>
          <w:ilvl w:val="1"/>
          <w:numId w:val="131"/>
        </w:numPr>
      </w:pPr>
      <w:r>
        <w:t>Solano Wind</w:t>
      </w:r>
    </w:p>
    <w:p w14:paraId="2BE846FB" w14:textId="51445A16" w:rsidR="5D9B09A4" w:rsidRDefault="2892C466" w:rsidP="00A24A87">
      <w:pPr>
        <w:pStyle w:val="ListParagraph"/>
        <w:numPr>
          <w:ilvl w:val="1"/>
          <w:numId w:val="131"/>
        </w:numPr>
        <w:spacing w:after="120"/>
      </w:pPr>
      <w:r>
        <w:t>Humboldt Bay Offshore Wind</w:t>
      </w:r>
    </w:p>
    <w:p w14:paraId="57B7CB9F" w14:textId="1CC08DE1" w:rsidR="008A9B5F" w:rsidRDefault="008A9B5F" w:rsidP="7956503B">
      <w:pPr>
        <w:pStyle w:val="ListParagraph"/>
        <w:numPr>
          <w:ilvl w:val="0"/>
          <w:numId w:val="131"/>
        </w:numPr>
        <w:rPr>
          <w:rFonts w:asciiTheme="minorHAnsi" w:eastAsiaTheme="minorEastAsia" w:hAnsiTheme="minorHAnsi" w:cstheme="minorBidi"/>
        </w:rPr>
      </w:pPr>
      <w:r>
        <w:t>Southern PG&amp;E outer renewable transmission zone:</w:t>
      </w:r>
      <w:r w:rsidR="5C541D8D">
        <w:t xml:space="preserve"> Resources mapped to zones in the Southern PG&amp;E outer renewable transmission zone remain flagged for criterion 2 (transmission capability) non-compliance for exceeding the outer zone limit. Resources mapped to the </w:t>
      </w:r>
      <w:r w:rsidR="4A92AF1C">
        <w:t>Wetlands</w:t>
      </w:r>
      <w:r w:rsidR="261A077D">
        <w:t xml:space="preserve"> and Carrizo</w:t>
      </w:r>
      <w:r w:rsidR="5C541D8D">
        <w:t xml:space="preserve"> inner renewable transmission zone</w:t>
      </w:r>
      <w:r w:rsidR="475D7D95">
        <w:t>s</w:t>
      </w:r>
      <w:r w:rsidR="5C541D8D">
        <w:t xml:space="preserve"> also exceed the inner zone limit.</w:t>
      </w:r>
      <w:r w:rsidR="6A547215">
        <w:t xml:space="preserve"> The mapping of the Diablo Canyon and </w:t>
      </w:r>
      <w:r w:rsidR="4553A63D">
        <w:t xml:space="preserve">Morro Bay </w:t>
      </w:r>
      <w:r w:rsidR="6A547215">
        <w:t xml:space="preserve">offshore wind resources to the </w:t>
      </w:r>
      <w:r w:rsidR="6B433676">
        <w:t xml:space="preserve">Carrizo </w:t>
      </w:r>
      <w:r w:rsidR="6A547215">
        <w:t xml:space="preserve">inner renewable transmission zone trigger </w:t>
      </w:r>
      <w:r w:rsidR="24005CFC">
        <w:t xml:space="preserve">the </w:t>
      </w:r>
      <w:r w:rsidR="6A547215">
        <w:t>exceedances</w:t>
      </w:r>
      <w:r w:rsidR="4E375AD9">
        <w:t xml:space="preserve"> in the Carrizo inner zone and the Southern PG&amp;E outer zone</w:t>
      </w:r>
      <w:r w:rsidR="6A547215">
        <w:t xml:space="preserve">. The purpose of this </w:t>
      </w:r>
      <w:r w:rsidR="001B77C5">
        <w:t>Offshore wind</w:t>
      </w:r>
      <w:r w:rsidR="6A547215">
        <w:t xml:space="preserve"> portfolio is to study the transmission implications of offshore wind.</w:t>
      </w:r>
      <w:r w:rsidR="0C276E28">
        <w:t xml:space="preserve"> The reallocating of “Ex” zone solar to </w:t>
      </w:r>
      <w:proofErr w:type="spellStart"/>
      <w:r w:rsidR="0C276E28">
        <w:t>Westlands</w:t>
      </w:r>
      <w:proofErr w:type="spellEnd"/>
      <w:r w:rsidR="0C276E28">
        <w:t xml:space="preserve"> Solar also </w:t>
      </w:r>
      <w:r w:rsidR="6F07E9FF">
        <w:t xml:space="preserve">causes </w:t>
      </w:r>
      <w:r w:rsidR="0C276E28">
        <w:t>transmission exceedance</w:t>
      </w:r>
      <w:r w:rsidR="322FCDBE">
        <w:t xml:space="preserve">. This exceedance is eliminated by allocating solar resources in </w:t>
      </w:r>
      <w:proofErr w:type="spellStart"/>
      <w:r w:rsidR="322FCDBE">
        <w:t>Westlands</w:t>
      </w:r>
      <w:proofErr w:type="spellEnd"/>
      <w:r w:rsidR="322FCDBE">
        <w:t xml:space="preserve"> Solar to the Gates-Diablo 500 kV system. CAISO staff’s guidance is that this system appears geographically in the Southern PG&amp;E outermost renewable transmission </w:t>
      </w:r>
      <w:proofErr w:type="gramStart"/>
      <w:r w:rsidR="322FCDBE">
        <w:t>zone, but</w:t>
      </w:r>
      <w:proofErr w:type="gramEnd"/>
      <w:r w:rsidR="322FCDBE">
        <w:t xml:space="preserve"> is electrically outside the boundary of the constraint that limits the transmission capability estimate for this zone.</w:t>
      </w:r>
      <w:r w:rsidR="6AA37FCA">
        <w:t xml:space="preserve"> These points address the material non-compliances for criterion 2 (transmission capability) for the following resources:</w:t>
      </w:r>
    </w:p>
    <w:p w14:paraId="5C51134A" w14:textId="2E5E3ED8" w:rsidR="6AA37FCA" w:rsidRDefault="43CCB635" w:rsidP="003400F2">
      <w:pPr>
        <w:pStyle w:val="ListParagraph"/>
        <w:numPr>
          <w:ilvl w:val="1"/>
          <w:numId w:val="131"/>
        </w:numPr>
      </w:pPr>
      <w:r>
        <w:t xml:space="preserve">Central Valley North Los </w:t>
      </w:r>
      <w:proofErr w:type="spellStart"/>
      <w:r>
        <w:t>Banos</w:t>
      </w:r>
      <w:proofErr w:type="spellEnd"/>
      <w:r>
        <w:t xml:space="preserve"> Wind</w:t>
      </w:r>
    </w:p>
    <w:p w14:paraId="7F674188" w14:textId="2373C2B3" w:rsidR="43CCB635" w:rsidRDefault="43CCB635" w:rsidP="5CA33C60">
      <w:pPr>
        <w:pStyle w:val="ListParagraph"/>
        <w:numPr>
          <w:ilvl w:val="1"/>
          <w:numId w:val="131"/>
        </w:numPr>
      </w:pPr>
      <w:r>
        <w:t>Kern Greater Carrizo Wind</w:t>
      </w:r>
    </w:p>
    <w:p w14:paraId="3E8FC18F" w14:textId="6239FE06" w:rsidR="148EC135" w:rsidRDefault="148EC135" w:rsidP="5CA33C60">
      <w:pPr>
        <w:pStyle w:val="ListParagraph"/>
        <w:numPr>
          <w:ilvl w:val="1"/>
          <w:numId w:val="131"/>
        </w:numPr>
      </w:pPr>
      <w:proofErr w:type="spellStart"/>
      <w:r>
        <w:t>Westlands</w:t>
      </w:r>
      <w:proofErr w:type="spellEnd"/>
      <w:r>
        <w:t xml:space="preserve"> Solar</w:t>
      </w:r>
    </w:p>
    <w:p w14:paraId="0C97A304" w14:textId="0F682C6B" w:rsidR="148EC135" w:rsidRDefault="148EC135" w:rsidP="00A24A87">
      <w:pPr>
        <w:pStyle w:val="ListParagraph"/>
        <w:numPr>
          <w:ilvl w:val="1"/>
          <w:numId w:val="131"/>
        </w:numPr>
        <w:spacing w:after="120"/>
      </w:pPr>
      <w:r>
        <w:t>Diablo Canyon and Morro Bay Offshore Wind</w:t>
      </w:r>
    </w:p>
    <w:p w14:paraId="2B9E84B2" w14:textId="79E432B7" w:rsidR="008A9B5F" w:rsidRDefault="008A9B5F" w:rsidP="4E1893D1">
      <w:pPr>
        <w:pStyle w:val="ListParagraph"/>
        <w:numPr>
          <w:ilvl w:val="0"/>
          <w:numId w:val="131"/>
        </w:numPr>
        <w:rPr>
          <w:rFonts w:asciiTheme="minorHAnsi" w:eastAsiaTheme="minorEastAsia" w:hAnsiTheme="minorHAnsi" w:cstheme="minorBidi"/>
        </w:rPr>
      </w:pPr>
      <w:r>
        <w:t>Southern California Desert and Southern Nevada outer renewable transmission zone:</w:t>
      </w:r>
      <w:r w:rsidR="4FB09800">
        <w:t xml:space="preserve"> </w:t>
      </w:r>
      <w:r w:rsidR="42B27DAC">
        <w:t xml:space="preserve">Resource allocations comply with subzone transmission limits; however, the dashboard shows resources within the Southern California Desert and Southern Nevada outer renewable transmission zone exceeding the outer zone limit. </w:t>
      </w:r>
      <w:r w:rsidR="58ECE9AE">
        <w:t>P</w:t>
      </w:r>
      <w:r w:rsidR="42B27DAC">
        <w:t xml:space="preserve">reliminary results from the </w:t>
      </w:r>
      <w:r w:rsidR="42B27DAC">
        <w:lastRenderedPageBreak/>
        <w:t xml:space="preserve">CAISO’s </w:t>
      </w:r>
      <w:r w:rsidR="00B111AE">
        <w:t>2020-2021</w:t>
      </w:r>
      <w:r w:rsidR="42B27DAC">
        <w:t xml:space="preserve"> TPP</w:t>
      </w:r>
      <w:r w:rsidR="649B60EA">
        <w:t xml:space="preserve"> </w:t>
      </w:r>
      <w:r w:rsidR="42B27DAC">
        <w:t>of the 30 MMT EO sensitivity portfolio show that approximately 6,</w:t>
      </w:r>
      <w:r w:rsidR="538B8947">
        <w:t>2</w:t>
      </w:r>
      <w:r w:rsidR="42B27DAC">
        <w:t>8</w:t>
      </w:r>
      <w:r w:rsidR="4472D916">
        <w:t>1</w:t>
      </w:r>
      <w:r w:rsidR="42B27DAC">
        <w:t xml:space="preserve"> MW of new FD resources can be mapped to the Southern California Desert and Southern Nevada outermost transmission zone. </w:t>
      </w:r>
      <w:r w:rsidR="78570910">
        <w:t xml:space="preserve">Guidance from CAISO staff noted that the </w:t>
      </w:r>
      <w:r w:rsidR="00B111AE">
        <w:t>2020-2021</w:t>
      </w:r>
      <w:r w:rsidR="78570910">
        <w:t xml:space="preserve"> TPP 30 MMT EO sensitivity portfolio results had a significant number of resources mapped to El Dorado 500 kV and Mohave 500 kV substations (2,498 MW).</w:t>
      </w:r>
      <w:r w:rsidR="53FF3BD3">
        <w:t xml:space="preserve"> Using the 6,281 MW FD transmission capability for the outer zone and not mapping a comparable </w:t>
      </w:r>
      <w:r w:rsidR="3AFF33EA">
        <w:t>number</w:t>
      </w:r>
      <w:r w:rsidR="53FF3BD3">
        <w:t xml:space="preserve"> of resources to those substations</w:t>
      </w:r>
      <w:r w:rsidR="164C4201">
        <w:t xml:space="preserve"> may lead to </w:t>
      </w:r>
      <w:r w:rsidR="3B35DE5F">
        <w:t>possibl</w:t>
      </w:r>
      <w:r w:rsidR="002CBAA0">
        <w:t>e</w:t>
      </w:r>
      <w:r w:rsidR="3B35DE5F">
        <w:t xml:space="preserve"> </w:t>
      </w:r>
      <w:r w:rsidR="164C4201">
        <w:t>transmission constraints.</w:t>
      </w:r>
      <w:r w:rsidR="27B7A7C9">
        <w:t xml:space="preserve"> This update</w:t>
      </w:r>
      <w:r w:rsidR="0662B9FB">
        <w:t>d</w:t>
      </w:r>
      <w:r w:rsidR="27B7A7C9">
        <w:t xml:space="preserve"> transmission limit addresses the criterion 2 (transmission capability) non-compliances for the following resources:</w:t>
      </w:r>
    </w:p>
    <w:p w14:paraId="72E62E55" w14:textId="387C7011" w:rsidR="27B7A7C9" w:rsidRDefault="379E368B" w:rsidP="009B7587">
      <w:pPr>
        <w:pStyle w:val="ListParagraph"/>
        <w:numPr>
          <w:ilvl w:val="1"/>
          <w:numId w:val="131"/>
        </w:numPr>
      </w:pPr>
      <w:r>
        <w:t>Greater Imperial Solar</w:t>
      </w:r>
    </w:p>
    <w:p w14:paraId="7B8A00CC" w14:textId="1BD45469" w:rsidR="28F5CDE4" w:rsidRDefault="379E368B" w:rsidP="5CA33C60">
      <w:pPr>
        <w:pStyle w:val="ListParagraph"/>
        <w:numPr>
          <w:ilvl w:val="1"/>
          <w:numId w:val="131"/>
        </w:numPr>
      </w:pPr>
      <w:r>
        <w:t>Mountain Pass El Dorado Solar</w:t>
      </w:r>
    </w:p>
    <w:p w14:paraId="0DB4F48A" w14:textId="36C8C145" w:rsidR="28F5CDE4" w:rsidRDefault="379E368B" w:rsidP="5CA33C60">
      <w:pPr>
        <w:pStyle w:val="ListParagraph"/>
        <w:numPr>
          <w:ilvl w:val="1"/>
          <w:numId w:val="131"/>
        </w:numPr>
      </w:pPr>
      <w:r>
        <w:t>SCADSNV Solar</w:t>
      </w:r>
    </w:p>
    <w:p w14:paraId="6B81E7A5" w14:textId="48092146" w:rsidR="28F5CDE4" w:rsidRDefault="379E368B" w:rsidP="5CA33C60">
      <w:pPr>
        <w:pStyle w:val="ListParagraph"/>
        <w:numPr>
          <w:ilvl w:val="1"/>
          <w:numId w:val="131"/>
        </w:numPr>
      </w:pPr>
      <w:r>
        <w:t>Southern Nevada Solar and Wind</w:t>
      </w:r>
    </w:p>
    <w:p w14:paraId="3144E4F8" w14:textId="0EC47809" w:rsidR="28F5CDE4" w:rsidRDefault="379E368B" w:rsidP="5CA33C60">
      <w:pPr>
        <w:pStyle w:val="ListParagraph"/>
        <w:numPr>
          <w:ilvl w:val="1"/>
          <w:numId w:val="131"/>
        </w:numPr>
      </w:pPr>
      <w:r>
        <w:t>SW Ext. Tx. Wind</w:t>
      </w:r>
    </w:p>
    <w:p w14:paraId="0906D965" w14:textId="019AEE83" w:rsidR="28F5CDE4" w:rsidRDefault="379E368B" w:rsidP="5CA33C60">
      <w:pPr>
        <w:pStyle w:val="ListParagraph"/>
        <w:numPr>
          <w:ilvl w:val="1"/>
          <w:numId w:val="131"/>
        </w:numPr>
      </w:pPr>
      <w:r>
        <w:t>Baja California Wind</w:t>
      </w:r>
    </w:p>
    <w:p w14:paraId="1189B256" w14:textId="40A1CFFD" w:rsidR="1926293E" w:rsidRDefault="1926293E" w:rsidP="00A24A87">
      <w:pPr>
        <w:pStyle w:val="ListParagraph"/>
        <w:numPr>
          <w:ilvl w:val="1"/>
          <w:numId w:val="131"/>
        </w:numPr>
        <w:spacing w:after="120"/>
      </w:pPr>
      <w:r>
        <w:t>New Mexico Wind</w:t>
      </w:r>
    </w:p>
    <w:p w14:paraId="1E982A75" w14:textId="4558A6B9" w:rsidR="28F5CDE4" w:rsidRDefault="28F5CDE4" w:rsidP="00A24A87">
      <w:pPr>
        <w:pStyle w:val="ListParagraph"/>
        <w:numPr>
          <w:ilvl w:val="0"/>
          <w:numId w:val="131"/>
        </w:numPr>
        <w:spacing w:after="120"/>
        <w:rPr>
          <w:rFonts w:asciiTheme="minorHAnsi" w:eastAsiaTheme="minorEastAsia" w:hAnsiTheme="minorHAnsi" w:cstheme="minorBidi"/>
        </w:rPr>
      </w:pPr>
      <w:r>
        <w:t>Riverside Palm Spring Solar:</w:t>
      </w:r>
      <w:r w:rsidR="106A417C">
        <w:t xml:space="preserve"> </w:t>
      </w:r>
      <w:r w:rsidR="6A6FADB8">
        <w:t>Despite the high commercial interests, RESOLVE did not select any of this solar resource, and</w:t>
      </w:r>
      <w:r w:rsidR="4AA0C112">
        <w:t xml:space="preserve"> CPUC</w:t>
      </w:r>
      <w:r w:rsidR="6A6FADB8">
        <w:t xml:space="preserve"> staff found no </w:t>
      </w:r>
      <w:r w:rsidR="67365566">
        <w:t xml:space="preserve">opportunity to reallocate other solar resources to improve alignment for criterion 4 (commercial interests). </w:t>
      </w:r>
      <w:r w:rsidR="106A417C">
        <w:t xml:space="preserve">The </w:t>
      </w:r>
      <w:r w:rsidR="279D65FC">
        <w:t>offshore</w:t>
      </w:r>
      <w:r w:rsidR="106A417C">
        <w:t xml:space="preserve"> wind focus of this portfolio resulted in </w:t>
      </w:r>
      <w:r w:rsidR="7992DD67">
        <w:t>RESOLVE allocated significantly less solar resources than either the 46 MMT portfolio</w:t>
      </w:r>
      <w:r w:rsidR="33FABAAD">
        <w:t xml:space="preserve"> </w:t>
      </w:r>
      <w:r w:rsidR="7992DD67">
        <w:t xml:space="preserve">or the 38 MMT </w:t>
      </w:r>
      <w:r w:rsidR="5BAF6021">
        <w:t>portfolio.</w:t>
      </w:r>
    </w:p>
    <w:p w14:paraId="44CD9DCC" w14:textId="3C97D590" w:rsidR="28F5CDE4" w:rsidRDefault="28F5CDE4" w:rsidP="4E1893D1">
      <w:pPr>
        <w:pStyle w:val="ListParagraph"/>
        <w:numPr>
          <w:ilvl w:val="0"/>
          <w:numId w:val="131"/>
        </w:numPr>
        <w:spacing w:after="120"/>
        <w:rPr>
          <w:rFonts w:asciiTheme="minorHAnsi" w:eastAsiaTheme="minorEastAsia" w:hAnsiTheme="minorHAnsi" w:cstheme="minorBidi"/>
        </w:rPr>
      </w:pPr>
      <w:r>
        <w:t>SCADSNV Solar:</w:t>
      </w:r>
      <w:r w:rsidR="4CCDDAAB">
        <w:t xml:space="preserve"> </w:t>
      </w:r>
      <w:r w:rsidR="341C5883">
        <w:t xml:space="preserve">For the </w:t>
      </w:r>
      <w:r w:rsidR="00B111AE">
        <w:t>2020-2021</w:t>
      </w:r>
      <w:r w:rsidR="341C5883">
        <w:t xml:space="preserve"> TPP Sensitivity #2 30 MMT EO portfolio, </w:t>
      </w:r>
      <w:r w:rsidR="6428A3D4">
        <w:t xml:space="preserve">the busbar mapping process reallocated </w:t>
      </w:r>
      <w:r w:rsidR="341C5883">
        <w:t>more the</w:t>
      </w:r>
      <w:r w:rsidR="135A7E95">
        <w:t xml:space="preserve"> 2,000 MW of </w:t>
      </w:r>
      <w:r w:rsidR="341C5883">
        <w:t>solar resources</w:t>
      </w:r>
      <w:r w:rsidR="11C21C1F">
        <w:t xml:space="preserve"> to this resource</w:t>
      </w:r>
      <w:r w:rsidR="0E538CCD">
        <w:t>, which results in the material no compliance flag for criterion 5 (consistency with prior year)</w:t>
      </w:r>
      <w:r w:rsidR="11C21C1F">
        <w:t>. For this portfolio, staff found little need to reallocate solar resources to SCADSNV Solar</w:t>
      </w:r>
      <w:r w:rsidR="3C2AD475">
        <w:t>. The offshore wind focus of this portfolio resulted in RESOLVE allocat</w:t>
      </w:r>
      <w:r w:rsidR="3E62D727">
        <w:t>ing</w:t>
      </w:r>
      <w:r w:rsidR="3C2AD475">
        <w:t xml:space="preserve"> significantly less solar resources than either the 46 MMT portfolio or the 38 MMT portfolio.</w:t>
      </w:r>
    </w:p>
    <w:p w14:paraId="5F65314F" w14:textId="0FD3D76D" w:rsidR="7956503B" w:rsidRPr="004A19CC" w:rsidRDefault="28F5CDE4" w:rsidP="004A19CC">
      <w:pPr>
        <w:pStyle w:val="ListParagraph"/>
        <w:numPr>
          <w:ilvl w:val="0"/>
          <w:numId w:val="131"/>
        </w:numPr>
        <w:rPr>
          <w:rFonts w:asciiTheme="minorHAnsi" w:eastAsiaTheme="minorEastAsia" w:hAnsiTheme="minorHAnsi" w:cstheme="minorBidi"/>
        </w:rPr>
      </w:pPr>
      <w:r>
        <w:t>Southern Nevada Solar:</w:t>
      </w:r>
      <w:r w:rsidR="1D2290F6">
        <w:t xml:space="preserve"> </w:t>
      </w:r>
      <w:r w:rsidR="778644FD">
        <w:t xml:space="preserve">despite a comparable amount of FD solar resources, the comparison to the </w:t>
      </w:r>
      <w:r w:rsidR="00B111AE">
        <w:t>2020-2021</w:t>
      </w:r>
      <w:r w:rsidR="778644FD">
        <w:t xml:space="preserve"> TPP Sensitivity #2 30 MMT EO portfolio results in material non-compliance </w:t>
      </w:r>
      <w:r w:rsidR="6C1ADBAB">
        <w:t xml:space="preserve">for criterion 5 because the </w:t>
      </w:r>
      <w:r w:rsidR="00B111AE">
        <w:t>2020-2021</w:t>
      </w:r>
      <w:r w:rsidR="39FDE6ED">
        <w:t xml:space="preserve"> TPP</w:t>
      </w:r>
      <w:r w:rsidR="147D784F">
        <w:t xml:space="preserve"> portfolio had over 1,400 MW of EO solar allocated to this resource. The offshore wind focus of this portfolio resulted in RESOLVE allocated significantly less solar resources than either the 46 MMT portfolio or the 38 MMT portfolio.</w:t>
      </w:r>
    </w:p>
    <w:p w14:paraId="508AC0DB" w14:textId="2BCA18F2" w:rsidR="7956503B" w:rsidRPr="004A19CC" w:rsidRDefault="76A2494A" w:rsidP="004A19CC">
      <w:pPr>
        <w:pStyle w:val="Heading4"/>
        <w:rPr>
          <w:rFonts w:ascii="Garamond" w:eastAsia="Garamond" w:hAnsi="Garamond" w:cs="Garamond"/>
          <w:i w:val="0"/>
          <w:color w:val="auto"/>
        </w:rPr>
      </w:pPr>
      <w:r w:rsidRPr="5CA33C60">
        <w:rPr>
          <w:rFonts w:ascii="Garamond" w:eastAsia="Garamond" w:hAnsi="Garamond" w:cs="Garamond"/>
          <w:i w:val="0"/>
          <w:color w:val="auto"/>
        </w:rPr>
        <w:t xml:space="preserve">Multiple mapped wind resources received level-2 non compliances for criteria 3a (available land area) and 3b (high environmental impact) in the dashboard. The description of these non-compliances in Section </w:t>
      </w:r>
      <w:r w:rsidR="0072517A">
        <w:rPr>
          <w:rFonts w:ascii="Garamond" w:eastAsia="Garamond" w:hAnsi="Garamond" w:cs="Garamond"/>
          <w:i w:val="0"/>
          <w:color w:val="auto"/>
        </w:rPr>
        <w:fldChar w:fldCharType="begin"/>
      </w:r>
      <w:r w:rsidR="0072517A">
        <w:rPr>
          <w:rFonts w:ascii="Garamond" w:eastAsia="Garamond" w:hAnsi="Garamond" w:cs="Garamond"/>
          <w:i w:val="0"/>
          <w:color w:val="auto"/>
        </w:rPr>
        <w:instrText xml:space="preserve"> REF _Ref59120600 \r \h </w:instrText>
      </w:r>
      <w:r w:rsidR="0072517A">
        <w:rPr>
          <w:rFonts w:ascii="Garamond" w:eastAsia="Garamond" w:hAnsi="Garamond" w:cs="Garamond"/>
          <w:i w:val="0"/>
          <w:color w:val="auto"/>
        </w:rPr>
      </w:r>
      <w:r w:rsidR="0072517A">
        <w:rPr>
          <w:rFonts w:ascii="Garamond" w:eastAsia="Garamond" w:hAnsi="Garamond" w:cs="Garamond"/>
          <w:i w:val="0"/>
          <w:color w:val="auto"/>
        </w:rPr>
        <w:fldChar w:fldCharType="separate"/>
      </w:r>
      <w:r w:rsidR="003B7A14">
        <w:rPr>
          <w:rFonts w:ascii="Garamond" w:eastAsia="Garamond" w:hAnsi="Garamond" w:cs="Garamond"/>
          <w:i w:val="0"/>
          <w:color w:val="auto"/>
        </w:rPr>
        <w:t>7.1</w:t>
      </w:r>
      <w:r w:rsidR="0072517A">
        <w:rPr>
          <w:rFonts w:ascii="Garamond" w:eastAsia="Garamond" w:hAnsi="Garamond" w:cs="Garamond"/>
          <w:i w:val="0"/>
          <w:color w:val="auto"/>
        </w:rPr>
        <w:fldChar w:fldCharType="end"/>
      </w:r>
      <w:r w:rsidRPr="5CA33C60">
        <w:rPr>
          <w:rFonts w:ascii="Garamond" w:eastAsia="Garamond" w:hAnsi="Garamond" w:cs="Garamond"/>
          <w:i w:val="0"/>
          <w:color w:val="auto"/>
        </w:rPr>
        <w:t xml:space="preserve"> </w:t>
      </w:r>
      <w:r w:rsidR="52A84368" w:rsidRPr="5CA33C60">
        <w:rPr>
          <w:rFonts w:ascii="Garamond" w:eastAsia="Garamond" w:hAnsi="Garamond" w:cs="Garamond"/>
          <w:i w:val="0"/>
          <w:iCs w:val="0"/>
          <w:color w:val="auto"/>
        </w:rPr>
        <w:t>applies</w:t>
      </w:r>
      <w:r w:rsidRPr="5CA33C60">
        <w:rPr>
          <w:rFonts w:ascii="Garamond" w:eastAsia="Garamond" w:hAnsi="Garamond" w:cs="Garamond"/>
          <w:i w:val="0"/>
          <w:color w:val="auto"/>
        </w:rPr>
        <w:t xml:space="preserve"> here</w:t>
      </w:r>
      <w:r w:rsidR="103D525A" w:rsidRPr="5CA33C60">
        <w:rPr>
          <w:rFonts w:ascii="Garamond" w:eastAsia="Garamond" w:hAnsi="Garamond" w:cs="Garamond"/>
          <w:i w:val="0"/>
          <w:iCs w:val="0"/>
          <w:color w:val="auto"/>
        </w:rPr>
        <w:t>,</w:t>
      </w:r>
      <w:r w:rsidRPr="5CA33C60">
        <w:rPr>
          <w:rFonts w:ascii="Garamond" w:eastAsia="Garamond" w:hAnsi="Garamond" w:cs="Garamond"/>
          <w:i w:val="0"/>
          <w:color w:val="auto"/>
        </w:rPr>
        <w:t xml:space="preserve"> to this portfolio as well.</w:t>
      </w:r>
    </w:p>
    <w:p w14:paraId="730ADE6B" w14:textId="4163F96D" w:rsidR="76A2494A" w:rsidRDefault="76A2494A" w:rsidP="7956503B">
      <w:pPr>
        <w:rPr>
          <w:rFonts w:eastAsia="Garamond" w:cs="Garamond"/>
        </w:rPr>
      </w:pPr>
      <w:r w:rsidRPr="7956503B">
        <w:rPr>
          <w:rFonts w:eastAsia="Garamond" w:cs="Garamond"/>
        </w:rPr>
        <w:t>Multiple mapped solar resources received level-2 non-compliance with criterion 1 (Distance to transmission of appropriate voltage) in the dashboard for having solar resou</w:t>
      </w:r>
      <w:r w:rsidR="009B7587">
        <w:rPr>
          <w:rFonts w:eastAsia="Garamond" w:cs="Garamond"/>
        </w:rPr>
        <w:t>rc</w:t>
      </w:r>
      <w:r w:rsidRPr="7956503B">
        <w:rPr>
          <w:rFonts w:eastAsia="Garamond" w:cs="Garamond"/>
        </w:rPr>
        <w:t xml:space="preserve">es mapped to 500 kV substations. These non-compliances flagged are acceptable for the same reasons as described in section </w:t>
      </w:r>
      <w:r w:rsidR="0072517A">
        <w:rPr>
          <w:rFonts w:eastAsia="Garamond" w:cs="Garamond"/>
        </w:rPr>
        <w:fldChar w:fldCharType="begin"/>
      </w:r>
      <w:r w:rsidR="0072517A">
        <w:rPr>
          <w:rFonts w:eastAsia="Garamond" w:cs="Garamond"/>
        </w:rPr>
        <w:instrText xml:space="preserve"> REF _Ref59120600 \r \h </w:instrText>
      </w:r>
      <w:r w:rsidR="0072517A">
        <w:rPr>
          <w:rFonts w:eastAsia="Garamond" w:cs="Garamond"/>
        </w:rPr>
      </w:r>
      <w:r w:rsidR="0072517A">
        <w:rPr>
          <w:rFonts w:eastAsia="Garamond" w:cs="Garamond"/>
        </w:rPr>
        <w:fldChar w:fldCharType="separate"/>
      </w:r>
      <w:r w:rsidR="003B7A14">
        <w:rPr>
          <w:rFonts w:eastAsia="Garamond" w:cs="Garamond"/>
        </w:rPr>
        <w:t>7.1</w:t>
      </w:r>
      <w:r w:rsidR="0072517A">
        <w:rPr>
          <w:rFonts w:eastAsia="Garamond" w:cs="Garamond"/>
        </w:rPr>
        <w:fldChar w:fldCharType="end"/>
      </w:r>
      <w:r w:rsidRPr="7956503B">
        <w:rPr>
          <w:rFonts w:eastAsia="Garamond" w:cs="Garamond"/>
        </w:rPr>
        <w:t xml:space="preserve"> above.</w:t>
      </w:r>
    </w:p>
    <w:p w14:paraId="1E9F4440" w14:textId="6D5BB2A8" w:rsidR="7956503B" w:rsidRDefault="7956503B" w:rsidP="7956503B">
      <w:pPr>
        <w:rPr>
          <w:rFonts w:eastAsia="Garamond" w:cs="Garamond"/>
        </w:rPr>
      </w:pPr>
    </w:p>
    <w:p w14:paraId="25227EE4" w14:textId="2F04B9CF" w:rsidR="18BA508E" w:rsidRDefault="18BA508E" w:rsidP="4F992AFA">
      <w:pPr>
        <w:spacing w:after="160" w:line="259" w:lineRule="auto"/>
        <w:rPr>
          <w:rFonts w:eastAsia="Garamond" w:cs="Garamond"/>
          <w:color w:val="000000" w:themeColor="text1"/>
        </w:rPr>
      </w:pPr>
      <w:r w:rsidRPr="4F992AFA">
        <w:rPr>
          <w:rFonts w:eastAsia="Garamond" w:cs="Garamond"/>
          <w:color w:val="000000" w:themeColor="text1"/>
        </w:rPr>
        <w:t>Based on the above, staff concludes that the instances of non-compliance for this portfolio are acceptable.</w:t>
      </w:r>
    </w:p>
    <w:p w14:paraId="4805281B" w14:textId="7F922A42" w:rsidR="00DF30B6" w:rsidRDefault="00DF30B6" w:rsidP="00DF30B6">
      <w:pPr>
        <w:pStyle w:val="Heading4"/>
      </w:pPr>
      <w:r>
        <w:lastRenderedPageBreak/>
        <w:t xml:space="preserve">Battery Storage </w:t>
      </w:r>
    </w:p>
    <w:p w14:paraId="5B422AAF" w14:textId="37B1BD9B" w:rsidR="00DF30B6" w:rsidRPr="00DF30B6" w:rsidRDefault="07F5DD57" w:rsidP="40A5FC40">
      <w:r>
        <w:t xml:space="preserve">The busbar mapping of battery resources was completed with only one round of mapping, following the first round of non-battery (generation) resources proposed adjustments. Details of the battery mapping results are shown in Appendix </w:t>
      </w:r>
      <w:r w:rsidR="00BD0F7F">
        <w:fldChar w:fldCharType="begin"/>
      </w:r>
      <w:r w:rsidR="00BD0F7F">
        <w:instrText xml:space="preserve"> REF _Ref59457313 \r \h </w:instrText>
      </w:r>
      <w:r w:rsidR="00BD0F7F">
        <w:fldChar w:fldCharType="separate"/>
      </w:r>
      <w:r w:rsidR="003B7A14">
        <w:t>C</w:t>
      </w:r>
      <w:r w:rsidR="00BD0F7F">
        <w:fldChar w:fldCharType="end"/>
      </w:r>
      <w:r w:rsidR="007A5DFC">
        <w:t xml:space="preserve"> </w:t>
      </w:r>
      <w:r>
        <w:t xml:space="preserve">and summarized below. </w:t>
      </w:r>
    </w:p>
    <w:p w14:paraId="612E8220" w14:textId="7097982C" w:rsidR="00DF30B6" w:rsidRPr="00DF30B6" w:rsidRDefault="00DF30B6" w:rsidP="40A5FC40"/>
    <w:p w14:paraId="20892D70" w14:textId="4475A5D3" w:rsidR="00DF30B6" w:rsidRDefault="07F5DD57" w:rsidP="40A5FC40">
      <w:pPr>
        <w:rPr>
          <w:u w:val="single"/>
        </w:rPr>
      </w:pPr>
      <w:r w:rsidRPr="00A12BEE">
        <w:rPr>
          <w:u w:val="single"/>
        </w:rPr>
        <w:t>Function Summary:</w:t>
      </w:r>
    </w:p>
    <w:p w14:paraId="70676F2F" w14:textId="77777777" w:rsidR="00A12BEE" w:rsidRPr="00A12BEE" w:rsidRDefault="00A12BEE" w:rsidP="40A5FC40">
      <w:pPr>
        <w:rPr>
          <w:u w:val="single"/>
        </w:rPr>
      </w:pPr>
    </w:p>
    <w:p w14:paraId="24702098" w14:textId="319A6E55" w:rsidR="4E3CCE46" w:rsidRDefault="4E3CCE46">
      <w:r>
        <w:t>Stand Alone Resources</w:t>
      </w:r>
    </w:p>
    <w:p w14:paraId="30936660" w14:textId="4BCAEFEC" w:rsidR="4E3CCE46" w:rsidRDefault="4E3CCE46" w:rsidP="00A12BEE">
      <w:r>
        <w:t>The first battery resources mapped are to LCR areas and represent the amount of battery resources that can provide both local and system capacity. 2,</w:t>
      </w:r>
      <w:r w:rsidR="795F3975">
        <w:t>128</w:t>
      </w:r>
      <w:r>
        <w:t xml:space="preserve"> MW are mapped to substations within the </w:t>
      </w:r>
      <w:r w:rsidR="1BC1F610">
        <w:t>“Ex” zones</w:t>
      </w:r>
      <w:r>
        <w:t>. In addition to these, stand-alone resources that provide system-only capacity are also mapped</w:t>
      </w:r>
      <w:r w:rsidR="432085AF">
        <w:t xml:space="preserve"> to substations inside LCR areas and outside of LCR areas</w:t>
      </w:r>
      <w:r>
        <w:t xml:space="preserve">. For the substations in the LCR areas, these batteries are beyond the 4-hour 1-for-1 replacement for local resources but can still provide system benefits. CPUC staff mapped </w:t>
      </w:r>
      <w:r w:rsidR="0E47FE59">
        <w:t>26</w:t>
      </w:r>
      <w:r>
        <w:t xml:space="preserve"> MW to substations in the renewable transmission zones</w:t>
      </w:r>
      <w:r w:rsidR="75203F93">
        <w:t>, located outside of LCR areas. CPUC staff also mapped</w:t>
      </w:r>
      <w:r>
        <w:t xml:space="preserve"> 1,</w:t>
      </w:r>
      <w:r w:rsidR="19624A16">
        <w:t>052</w:t>
      </w:r>
      <w:r>
        <w:t xml:space="preserve"> MW to substations in the </w:t>
      </w:r>
      <w:r w:rsidR="656A4CED">
        <w:t>“Ex” zones</w:t>
      </w:r>
      <w:r w:rsidR="39284734">
        <w:t>, all within LCR areas</w:t>
      </w:r>
      <w:r>
        <w:t>.</w:t>
      </w:r>
    </w:p>
    <w:p w14:paraId="168D4180" w14:textId="75310BA4" w:rsidR="7956503B" w:rsidRDefault="7956503B" w:rsidP="7956503B"/>
    <w:p w14:paraId="4DA50D94" w14:textId="5CEBD7FB" w:rsidR="4E3CCE46" w:rsidRDefault="4E3CCE46" w:rsidP="7956503B">
      <w:r>
        <w:t>Co-Located Resources</w:t>
      </w:r>
    </w:p>
    <w:p w14:paraId="140F6865" w14:textId="7A792D3F" w:rsidR="4E3CCE46" w:rsidRDefault="4E3CCE46" w:rsidP="7956503B">
      <w:r>
        <w:t>In keeping with the minimization of ratepayer costs policy directive contained in the Methodology, CPUC staff maximized the amount of co-located solar + storage. CPUC staff mapped 4,</w:t>
      </w:r>
      <w:r w:rsidR="580156A6">
        <w:t>337</w:t>
      </w:r>
      <w:r>
        <w:t xml:space="preserve"> MW of co-located battery resources to substations in the renewable transmission zones. CPUC staff transferred the FD status of the solar resources already mapped to the substations to the battery resources.</w:t>
      </w:r>
    </w:p>
    <w:p w14:paraId="655E36FE" w14:textId="1FCE3CFF" w:rsidR="7956503B" w:rsidRDefault="7956503B" w:rsidP="7956503B"/>
    <w:p w14:paraId="4F21A414" w14:textId="423B8F2B" w:rsidR="001D72D3" w:rsidRDefault="001D72D3" w:rsidP="005169DA">
      <w:pPr>
        <w:pStyle w:val="Caption"/>
        <w:keepNext/>
      </w:pPr>
      <w:r>
        <w:t xml:space="preserve">Table </w:t>
      </w:r>
      <w:r w:rsidR="00F02B49">
        <w:fldChar w:fldCharType="begin"/>
      </w:r>
      <w:r w:rsidR="00F02B49">
        <w:instrText xml:space="preserve"> SEQ Table \* ARABIC </w:instrText>
      </w:r>
      <w:r w:rsidR="00F02B49">
        <w:fldChar w:fldCharType="separate"/>
      </w:r>
      <w:r>
        <w:rPr>
          <w:noProof/>
        </w:rPr>
        <w:t>22</w:t>
      </w:r>
      <w:r w:rsidR="00F02B49">
        <w:rPr>
          <w:noProof/>
        </w:rPr>
        <w:fldChar w:fldCharType="end"/>
      </w:r>
      <w:r>
        <w:t xml:space="preserve">. </w:t>
      </w:r>
      <w:r w:rsidRPr="001D72D3">
        <w:t>Battery storage busbar mapping results for Offshore wind portfolio by function summary</w:t>
      </w:r>
    </w:p>
    <w:p w14:paraId="71B933CE" w14:textId="5FEF5ED7" w:rsidR="12133F70" w:rsidRDefault="00F02B49" w:rsidP="40A5FC40">
      <w:r>
        <w:rPr>
          <w:noProof/>
        </w:rPr>
        <w:drawing>
          <wp:inline distT="0" distB="0" distL="0" distR="0" wp14:anchorId="7D163CF6" wp14:editId="592DA7EB">
            <wp:extent cx="5046657" cy="1307592"/>
            <wp:effectExtent l="0" t="0" r="0" b="0"/>
            <wp:docPr id="7" name="Picture 1">
              <a:extLst xmlns:a="http://schemas.openxmlformats.org/drawingml/2006/main">
                <a:ext uri="{FF2B5EF4-FFF2-40B4-BE49-F238E27FC236}">
                  <a16:creationId xmlns:a16="http://schemas.microsoft.com/office/drawing/2014/main" id="{98000897-9C08-4BA8-BF71-7DB4F4EAB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000897-9C08-4BA8-BF71-7DB4F4EAB808}"/>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6657" cy="13075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E4F84DF" w14:textId="36D3E3C3" w:rsidR="2E483DC0" w:rsidRDefault="2E483DC0" w:rsidP="00A24A87">
      <w:pPr>
        <w:ind w:left="0"/>
      </w:pPr>
    </w:p>
    <w:p w14:paraId="1618F423" w14:textId="6AD68EB4" w:rsidR="12133F70" w:rsidRPr="00A12BEE" w:rsidRDefault="40F4BE6D" w:rsidP="40A5FC40">
      <w:pPr>
        <w:rPr>
          <w:u w:val="single"/>
        </w:rPr>
      </w:pPr>
      <w:r w:rsidRPr="00A12BEE">
        <w:rPr>
          <w:u w:val="single"/>
        </w:rPr>
        <w:t>Location Summary:</w:t>
      </w:r>
    </w:p>
    <w:p w14:paraId="50CB3EFC" w14:textId="230843F0" w:rsidR="40A5FC40" w:rsidRDefault="3919AB13" w:rsidP="40A5FC40">
      <w:r>
        <w:t xml:space="preserve">CPUC staff also executed the mapping in keeping with the minimization of criteria pollutants policy directives contained in the Methodology </w:t>
      </w:r>
    </w:p>
    <w:p w14:paraId="39314514" w14:textId="3E03E5F0" w:rsidR="40A5FC40" w:rsidRDefault="40A5FC40" w:rsidP="7956503B"/>
    <w:p w14:paraId="311D871F" w14:textId="7D03DDC0" w:rsidR="40A5FC40" w:rsidRDefault="3919AB13" w:rsidP="7956503B">
      <w:r>
        <w:t>LCR Areas</w:t>
      </w:r>
    </w:p>
    <w:p w14:paraId="22FB7B2D" w14:textId="63892449" w:rsidR="40A5FC40" w:rsidRDefault="3919AB13" w:rsidP="7956503B">
      <w:r>
        <w:t>For substations located in LCR areas, CPUC staff mapped 3,</w:t>
      </w:r>
      <w:r w:rsidR="2330C33C">
        <w:t>180</w:t>
      </w:r>
      <w:r>
        <w:t xml:space="preserve"> MW of stand-alone battery resources within the </w:t>
      </w:r>
      <w:r w:rsidR="5AD40436">
        <w:t>“Ex” zones</w:t>
      </w:r>
      <w:r>
        <w:t xml:space="preserve"> and 575 MW of co-located battery resources within the renewable transmission zones. </w:t>
      </w:r>
    </w:p>
    <w:p w14:paraId="63B9F87E" w14:textId="78AFDBA5" w:rsidR="40A5FC40" w:rsidRDefault="40A5FC40" w:rsidP="7956503B"/>
    <w:p w14:paraId="12201FB8" w14:textId="57A39453" w:rsidR="40A5FC40" w:rsidRDefault="3919AB13" w:rsidP="7956503B">
      <w:r>
        <w:t>Disadvantage</w:t>
      </w:r>
      <w:r w:rsidR="09BAB71D">
        <w:t>d</w:t>
      </w:r>
      <w:r>
        <w:t xml:space="preserve"> Communities (DAC</w:t>
      </w:r>
      <w:r w:rsidR="62F11FCC">
        <w:t>s</w:t>
      </w:r>
      <w:r>
        <w:t>)</w:t>
      </w:r>
    </w:p>
    <w:p w14:paraId="03DD6AE4" w14:textId="51E11CF0" w:rsidR="40A5FC40" w:rsidRDefault="3919AB13" w:rsidP="7956503B">
      <w:r>
        <w:t>For substations located in DAC</w:t>
      </w:r>
      <w:r w:rsidR="5C8271FD">
        <w:t>s</w:t>
      </w:r>
      <w:r>
        <w:t xml:space="preserve">, CPUC staff mapped </w:t>
      </w:r>
      <w:r w:rsidR="5104DC9D">
        <w:t>1,401</w:t>
      </w:r>
      <w:r>
        <w:t xml:space="preserve"> MW of stand-alone battery resources within the </w:t>
      </w:r>
      <w:r w:rsidR="09D5BD3F">
        <w:t>“Ex” zones</w:t>
      </w:r>
      <w:r>
        <w:t xml:space="preserve"> and 575 MW of co-located battery resources within the renewable transmission zones. </w:t>
      </w:r>
    </w:p>
    <w:p w14:paraId="5E0E5DCC" w14:textId="17E52A9F" w:rsidR="40A5FC40" w:rsidRDefault="3919AB13" w:rsidP="0080586A">
      <w:r>
        <w:lastRenderedPageBreak/>
        <w:t>Air-Quality Non-Attainment Areas</w:t>
      </w:r>
    </w:p>
    <w:p w14:paraId="41679885" w14:textId="0F9AAB06" w:rsidR="40A5FC40" w:rsidRDefault="3919AB13" w:rsidP="7956503B">
      <w:r>
        <w:t>For substations located in air-quality non-attainment areas, CPUC staff mapped 3,</w:t>
      </w:r>
      <w:r w:rsidR="161E22E8">
        <w:t>170</w:t>
      </w:r>
      <w:r>
        <w:t xml:space="preserve"> MW of stand-alone battery resources within the </w:t>
      </w:r>
      <w:r w:rsidR="554E0371">
        <w:t xml:space="preserve">“Ex” zones </w:t>
      </w:r>
      <w:r>
        <w:t>and 3,978 MW of co-located battery resources within the renewable transmission zones.</w:t>
      </w:r>
    </w:p>
    <w:p w14:paraId="682F9863" w14:textId="25C60303" w:rsidR="40A5FC40" w:rsidRDefault="40A5FC40" w:rsidP="40A5FC40"/>
    <w:p w14:paraId="7E2C8D65" w14:textId="6C58F879" w:rsidR="001D72D3" w:rsidRDefault="001D72D3" w:rsidP="005169DA">
      <w:pPr>
        <w:pStyle w:val="Caption"/>
        <w:keepNext/>
      </w:pPr>
      <w:r>
        <w:t xml:space="preserve">Table </w:t>
      </w:r>
      <w:r w:rsidR="00F02B49">
        <w:fldChar w:fldCharType="begin"/>
      </w:r>
      <w:r w:rsidR="00F02B49">
        <w:instrText xml:space="preserve"> SEQ Table \* ARABIC </w:instrText>
      </w:r>
      <w:r w:rsidR="00F02B49">
        <w:fldChar w:fldCharType="separate"/>
      </w:r>
      <w:r>
        <w:rPr>
          <w:noProof/>
        </w:rPr>
        <w:t>23</w:t>
      </w:r>
      <w:r w:rsidR="00F02B49">
        <w:rPr>
          <w:noProof/>
        </w:rPr>
        <w:fldChar w:fldCharType="end"/>
      </w:r>
      <w:r>
        <w:t xml:space="preserve">. </w:t>
      </w:r>
      <w:r w:rsidRPr="001D72D3">
        <w:t>Battery storage busbar mapping results for Offshore wind portfolio by location summary</w:t>
      </w:r>
    </w:p>
    <w:p w14:paraId="465C0F44" w14:textId="4E61A741" w:rsidR="12133F70" w:rsidRDefault="00F02B49" w:rsidP="40A5FC40">
      <w:r>
        <w:rPr>
          <w:noProof/>
        </w:rPr>
        <w:drawing>
          <wp:inline distT="0" distB="0" distL="0" distR="0" wp14:anchorId="135A563D" wp14:editId="0BAB0BAD">
            <wp:extent cx="5039220" cy="2816352"/>
            <wp:effectExtent l="0" t="0" r="0" b="0"/>
            <wp:docPr id="8" name="Picture 2">
              <a:extLst xmlns:a="http://schemas.openxmlformats.org/drawingml/2006/main">
                <a:ext uri="{FF2B5EF4-FFF2-40B4-BE49-F238E27FC236}">
                  <a16:creationId xmlns:a16="http://schemas.microsoft.com/office/drawing/2014/main" id="{9689974D-9B64-4658-9B95-D1DF7E494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689974D-9B64-4658-9B95-D1DF7E49408F}"/>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220" cy="28163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8E71153" w14:textId="174EB2D3" w:rsidR="13A18B61" w:rsidRDefault="13A18B61" w:rsidP="13A18B61">
      <w:pPr>
        <w:spacing w:after="120"/>
      </w:pPr>
    </w:p>
    <w:p w14:paraId="30589DD2" w14:textId="3160A508" w:rsidR="21BEF4B8" w:rsidRDefault="0CA72508">
      <w:r>
        <w:t xml:space="preserve">The figure below shows Round 2 results for the Offshore Wind portfolio. </w:t>
      </w:r>
      <w:r w:rsidR="6666972A">
        <w:t xml:space="preserve">Note bubbles indicating out-of-state resources are </w:t>
      </w:r>
      <w:r w:rsidR="10765D87">
        <w:t xml:space="preserve">shown </w:t>
      </w:r>
      <w:r w:rsidR="6666972A">
        <w:t xml:space="preserve">at the assumed </w:t>
      </w:r>
      <w:r w:rsidR="29CC8FFA">
        <w:t xml:space="preserve">CAISO </w:t>
      </w:r>
      <w:r w:rsidR="6666972A">
        <w:t xml:space="preserve">delivery </w:t>
      </w:r>
      <w:proofErr w:type="gramStart"/>
      <w:r w:rsidR="6666972A">
        <w:t xml:space="preserve">point, </w:t>
      </w:r>
      <w:r w:rsidR="01A088FA">
        <w:t>and</w:t>
      </w:r>
      <w:proofErr w:type="gramEnd"/>
      <w:r w:rsidR="6666972A">
        <w:t xml:space="preserve"> highlighted with a black outline</w:t>
      </w:r>
      <w:r w:rsidR="5F4D59B0">
        <w:t>.</w:t>
      </w:r>
    </w:p>
    <w:p w14:paraId="2E558065" w14:textId="15FBA47B" w:rsidR="0065247B" w:rsidRDefault="0065247B">
      <w:pPr>
        <w:spacing w:after="160" w:line="259" w:lineRule="auto"/>
        <w:ind w:left="0"/>
      </w:pPr>
      <w:r>
        <w:br w:type="page"/>
      </w:r>
    </w:p>
    <w:p w14:paraId="71E1AD17" w14:textId="77777777" w:rsidR="2D90AC64" w:rsidRDefault="2D90AC64" w:rsidP="13A18B61">
      <w:pPr>
        <w:spacing w:after="120"/>
      </w:pPr>
    </w:p>
    <w:p w14:paraId="30C31BEA" w14:textId="24CFE146" w:rsidR="002562D2" w:rsidRDefault="002562D2" w:rsidP="0065247B">
      <w:pPr>
        <w:pStyle w:val="Caption"/>
        <w:keepNext/>
      </w:pPr>
      <w:r>
        <w:t xml:space="preserve">Figure </w:t>
      </w:r>
      <w:r w:rsidR="00F02B49">
        <w:fldChar w:fldCharType="begin"/>
      </w:r>
      <w:r w:rsidR="00F02B49">
        <w:instrText xml:space="preserve"> SEQ Figure \* ARABIC </w:instrText>
      </w:r>
      <w:r w:rsidR="00F02B49">
        <w:fldChar w:fldCharType="separate"/>
      </w:r>
      <w:r w:rsidR="002829AA">
        <w:rPr>
          <w:noProof/>
        </w:rPr>
        <w:t>7</w:t>
      </w:r>
      <w:r w:rsidR="00F02B49">
        <w:rPr>
          <w:noProof/>
        </w:rPr>
        <w:fldChar w:fldCharType="end"/>
      </w:r>
      <w:r w:rsidR="002829AA">
        <w:rPr>
          <w:noProof/>
        </w:rPr>
        <w:t>.</w:t>
      </w:r>
      <w:r>
        <w:t xml:space="preserve"> Map of Final Round busbar mapping results for Offshore Wind portfolio</w:t>
      </w:r>
      <w:r w:rsidR="00405104">
        <w:rPr>
          <w:rStyle w:val="FootnoteReference"/>
        </w:rPr>
        <w:footnoteReference w:id="24"/>
      </w:r>
    </w:p>
    <w:p w14:paraId="3A42B9FD" w14:textId="26650D57" w:rsidR="13A18B61" w:rsidRDefault="00004A0E" w:rsidP="001036C6">
      <w:pPr>
        <w:spacing w:after="120"/>
        <w:ind w:left="0"/>
        <w:jc w:val="center"/>
      </w:pPr>
      <w:r>
        <w:rPr>
          <w:noProof/>
        </w:rPr>
        <w:drawing>
          <wp:inline distT="0" distB="0" distL="0" distR="0" wp14:anchorId="21FF592A" wp14:editId="342ADF49">
            <wp:extent cx="5273749" cy="461453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82647" cy="4622316"/>
                    </a:xfrm>
                    <a:prstGeom prst="rect">
                      <a:avLst/>
                    </a:prstGeom>
                  </pic:spPr>
                </pic:pic>
              </a:graphicData>
            </a:graphic>
          </wp:inline>
        </w:drawing>
      </w:r>
    </w:p>
    <w:p w14:paraId="331C3850" w14:textId="74F602E8" w:rsidR="00AB35E5" w:rsidRDefault="004F4BA3" w:rsidP="00DD54CE">
      <w:pPr>
        <w:pStyle w:val="Heading2"/>
      </w:pPr>
      <w:bookmarkStart w:id="71" w:name="_Ref32432209"/>
      <w:bookmarkStart w:id="72" w:name="_Toc63669606"/>
      <w:bookmarkStart w:id="73" w:name="_Ref31786765"/>
      <w:r>
        <w:t xml:space="preserve">Other </w:t>
      </w:r>
      <w:r w:rsidR="00D14C75">
        <w:t xml:space="preserve">Assumptions </w:t>
      </w:r>
      <w:r>
        <w:t>for TPP</w:t>
      </w:r>
      <w:bookmarkEnd w:id="71"/>
      <w:bookmarkEnd w:id="72"/>
    </w:p>
    <w:p w14:paraId="502DE712" w14:textId="436D69F7" w:rsidR="5981602B" w:rsidRDefault="00DD6737" w:rsidP="544E2F9B">
      <w:pPr>
        <w:spacing w:after="120"/>
        <w:ind w:left="0"/>
      </w:pPr>
      <w:r w:rsidRPr="00DD6737">
        <w:t xml:space="preserve">Guidance previously provided to CAISO as part of the </w:t>
      </w:r>
      <w:r w:rsidR="00983C73">
        <w:t xml:space="preserve">annual </w:t>
      </w:r>
      <w:r w:rsidRPr="00DD6737">
        <w:t xml:space="preserve">CPUC portfolio transmittal was included in a document called the “Unified </w:t>
      </w:r>
      <w:r w:rsidR="3404D6FD">
        <w:t>I</w:t>
      </w:r>
      <w:r w:rsidR="6B2B55A6">
        <w:t xml:space="preserve">nputs </w:t>
      </w:r>
      <w:r w:rsidR="3404D6FD">
        <w:t>&amp;</w:t>
      </w:r>
      <w:r w:rsidR="3B544228">
        <w:t xml:space="preserve"> </w:t>
      </w:r>
      <w:r w:rsidR="3404D6FD">
        <w:t>A</w:t>
      </w:r>
      <w:r w:rsidR="4495B307">
        <w:t>ssumptions</w:t>
      </w:r>
      <w:r w:rsidR="3404D6FD">
        <w:t>”.</w:t>
      </w:r>
      <w:r w:rsidRPr="00DD6737">
        <w:t xml:space="preserve">  CPUC </w:t>
      </w:r>
      <w:r w:rsidR="00D14C75">
        <w:t xml:space="preserve">and </w:t>
      </w:r>
      <w:r w:rsidR="00983C73">
        <w:t>CA</w:t>
      </w:r>
      <w:r w:rsidR="00D14C75">
        <w:t xml:space="preserve">ISO </w:t>
      </w:r>
      <w:r w:rsidR="007876FF">
        <w:t xml:space="preserve">staff </w:t>
      </w:r>
      <w:r w:rsidR="00D14C75">
        <w:t xml:space="preserve">agree </w:t>
      </w:r>
      <w:r w:rsidRPr="00DD6737">
        <w:t xml:space="preserve">that any necessary content be included in </w:t>
      </w:r>
      <w:r w:rsidR="00D14C75">
        <w:t xml:space="preserve">this </w:t>
      </w:r>
      <w:r w:rsidRPr="00DD6737">
        <w:t>Report</w:t>
      </w:r>
      <w:r>
        <w:t>.</w:t>
      </w:r>
      <w:r w:rsidR="00F93EC4">
        <w:t xml:space="preserve">  This section describes the additional modeling assumptions the CPUC provides to the CAISO’s TPP, besides the portfolio and busbar mapping assumptions described in the rest of this report.</w:t>
      </w:r>
    </w:p>
    <w:p w14:paraId="5C9EBBDC" w14:textId="1CDA721F" w:rsidR="5981602B" w:rsidRPr="000115B3" w:rsidRDefault="337752FE" w:rsidP="000115B3">
      <w:pPr>
        <w:pStyle w:val="Heading3"/>
      </w:pPr>
      <w:bookmarkStart w:id="74" w:name="_Toc63669607"/>
      <w:r w:rsidRPr="000115B3">
        <w:t>Thermal Generator Retirement</w:t>
      </w:r>
      <w:bookmarkEnd w:id="74"/>
    </w:p>
    <w:p w14:paraId="49B17174" w14:textId="7944655B" w:rsidR="5981602B" w:rsidRDefault="7A9CDE90" w:rsidP="00542635">
      <w:pPr>
        <w:spacing w:after="120"/>
        <w:ind w:left="0"/>
      </w:pPr>
      <w:r w:rsidRPr="7956503B">
        <w:rPr>
          <w:rFonts w:eastAsia="Garamond" w:cs="Garamond"/>
        </w:rPr>
        <w:t xml:space="preserve">RESOLVE reports the aggregate amount of thermal generation not retained by resource category. Unit-specific information is not modeled. Because the TPP studies require modeling of specific units and locations, CPUC staff </w:t>
      </w:r>
      <w:r w:rsidR="05AAB825" w:rsidRPr="7956503B">
        <w:rPr>
          <w:rFonts w:eastAsia="Garamond" w:cs="Garamond"/>
        </w:rPr>
        <w:t xml:space="preserve">is providing information to </w:t>
      </w:r>
      <w:r w:rsidRPr="7956503B">
        <w:rPr>
          <w:rFonts w:eastAsia="Garamond" w:cs="Garamond"/>
        </w:rPr>
        <w:t xml:space="preserve">the </w:t>
      </w:r>
      <w:r w:rsidR="05AAB825" w:rsidRPr="7956503B">
        <w:rPr>
          <w:rFonts w:eastAsia="Garamond" w:cs="Garamond"/>
        </w:rPr>
        <w:t>CAISO regarding</w:t>
      </w:r>
      <w:r w:rsidRPr="7956503B">
        <w:rPr>
          <w:rFonts w:eastAsia="Garamond" w:cs="Garamond"/>
        </w:rPr>
        <w:t xml:space="preserve"> which units should be </w:t>
      </w:r>
      <w:r w:rsidRPr="7956503B">
        <w:rPr>
          <w:rFonts w:eastAsia="Garamond" w:cs="Garamond"/>
        </w:rPr>
        <w:lastRenderedPageBreak/>
        <w:t>assumed as retired for transmission planning purposes</w:t>
      </w:r>
      <w:r w:rsidR="05AAB825" w:rsidRPr="7956503B">
        <w:rPr>
          <w:rFonts w:eastAsia="Garamond" w:cs="Garamond"/>
        </w:rPr>
        <w:t xml:space="preserve">. </w:t>
      </w:r>
      <w:r w:rsidR="3C980758" w:rsidRPr="7956503B">
        <w:rPr>
          <w:rFonts w:eastAsia="Garamond" w:cs="Garamond"/>
        </w:rPr>
        <w:t xml:space="preserve">The detailed workbook is contained in Appendix </w:t>
      </w:r>
      <w:r w:rsidR="00BD0F7F">
        <w:rPr>
          <w:rFonts w:eastAsia="Garamond" w:cs="Garamond"/>
        </w:rPr>
        <w:fldChar w:fldCharType="begin"/>
      </w:r>
      <w:r w:rsidR="00BD0F7F">
        <w:rPr>
          <w:rFonts w:eastAsia="Garamond" w:cs="Garamond"/>
        </w:rPr>
        <w:instrText xml:space="preserve"> REF _Ref59457563 \r \h </w:instrText>
      </w:r>
      <w:r w:rsidR="00BD0F7F">
        <w:rPr>
          <w:rFonts w:eastAsia="Garamond" w:cs="Garamond"/>
        </w:rPr>
      </w:r>
      <w:r w:rsidR="00BD0F7F">
        <w:rPr>
          <w:rFonts w:eastAsia="Garamond" w:cs="Garamond"/>
        </w:rPr>
        <w:fldChar w:fldCharType="separate"/>
      </w:r>
      <w:r w:rsidR="003B7A14">
        <w:rPr>
          <w:rFonts w:eastAsia="Garamond" w:cs="Garamond"/>
        </w:rPr>
        <w:t>H</w:t>
      </w:r>
      <w:r w:rsidR="00BD0F7F">
        <w:rPr>
          <w:rFonts w:eastAsia="Garamond" w:cs="Garamond"/>
        </w:rPr>
        <w:fldChar w:fldCharType="end"/>
      </w:r>
      <w:r w:rsidR="3C980758" w:rsidRPr="7956503B">
        <w:rPr>
          <w:rFonts w:eastAsia="Garamond" w:cs="Garamond"/>
        </w:rPr>
        <w:t xml:space="preserve">. </w:t>
      </w:r>
      <w:r w:rsidR="05AAB825" w:rsidRPr="7956503B">
        <w:rPr>
          <w:rFonts w:eastAsia="Garamond" w:cs="Garamond"/>
        </w:rPr>
        <w:t>CPUC s</w:t>
      </w:r>
      <w:r w:rsidR="3E05E50E" w:rsidRPr="7956503B">
        <w:rPr>
          <w:rFonts w:eastAsia="Garamond" w:cs="Garamond"/>
        </w:rPr>
        <w:t xml:space="preserve">taff applied the steps </w:t>
      </w:r>
      <w:r w:rsidR="50B8D0C2" w:rsidRPr="7956503B">
        <w:rPr>
          <w:rFonts w:eastAsia="Garamond" w:cs="Garamond"/>
        </w:rPr>
        <w:t xml:space="preserve">described in the methodology (see Appendix </w:t>
      </w:r>
      <w:r w:rsidR="00BD0F7F">
        <w:rPr>
          <w:rFonts w:eastAsia="Garamond" w:cs="Garamond"/>
        </w:rPr>
        <w:fldChar w:fldCharType="begin"/>
      </w:r>
      <w:r w:rsidR="00BD0F7F">
        <w:rPr>
          <w:rFonts w:eastAsia="Garamond" w:cs="Garamond"/>
        </w:rPr>
        <w:instrText xml:space="preserve"> REF _Ref59457393 \r \h </w:instrText>
      </w:r>
      <w:r w:rsidR="00BD0F7F">
        <w:rPr>
          <w:rFonts w:eastAsia="Garamond" w:cs="Garamond"/>
        </w:rPr>
      </w:r>
      <w:r w:rsidR="00BD0F7F">
        <w:rPr>
          <w:rFonts w:eastAsia="Garamond" w:cs="Garamond"/>
        </w:rPr>
        <w:fldChar w:fldCharType="separate"/>
      </w:r>
      <w:r w:rsidR="003B7A14">
        <w:rPr>
          <w:rFonts w:eastAsia="Garamond" w:cs="Garamond"/>
        </w:rPr>
        <w:t>A</w:t>
      </w:r>
      <w:r w:rsidR="00BD0F7F">
        <w:rPr>
          <w:rFonts w:eastAsia="Garamond" w:cs="Garamond"/>
        </w:rPr>
        <w:fldChar w:fldCharType="end"/>
      </w:r>
      <w:r w:rsidR="50B8D0C2" w:rsidRPr="7956503B">
        <w:rPr>
          <w:rFonts w:eastAsia="Garamond" w:cs="Garamond"/>
        </w:rPr>
        <w:t>) to develop this list.</w:t>
      </w:r>
      <w:r w:rsidR="412D022F" w:rsidRPr="7956503B">
        <w:rPr>
          <w:rFonts w:eastAsia="Garamond" w:cs="Garamond"/>
        </w:rPr>
        <w:t xml:space="preserve"> </w:t>
      </w:r>
    </w:p>
    <w:p w14:paraId="0D0F7844" w14:textId="797F3165" w:rsidR="007876FF" w:rsidRDefault="618D96FD" w:rsidP="004F4BA3">
      <w:pPr>
        <w:spacing w:after="120"/>
        <w:ind w:left="0"/>
      </w:pPr>
      <w:r w:rsidRPr="61CF619C">
        <w:rPr>
          <w:rFonts w:eastAsia="Garamond" w:cs="Garamond"/>
        </w:rPr>
        <w:t xml:space="preserve">The above steps aim to minimize any post-processing work by the CAISO. Once the IRP portfolios are transmitted to the CAISO, if within the TPP it is identified that known local area requirements are not met, then CAISO staff may reallocate mapped battery storage from a general CAISO System area to a particular local area to meet the local area requirement up to known battery storage charging limits. Refer to </w:t>
      </w:r>
      <w:r w:rsidR="6E618552" w:rsidRPr="7956503B">
        <w:rPr>
          <w:rFonts w:eastAsia="Garamond" w:cs="Garamond"/>
        </w:rPr>
        <w:t xml:space="preserve">the methodology (Appendix </w:t>
      </w:r>
      <w:r w:rsidR="00BD0F7F">
        <w:rPr>
          <w:rFonts w:eastAsia="Garamond" w:cs="Garamond"/>
        </w:rPr>
        <w:fldChar w:fldCharType="begin"/>
      </w:r>
      <w:r w:rsidR="00BD0F7F">
        <w:rPr>
          <w:rFonts w:eastAsia="Garamond" w:cs="Garamond"/>
        </w:rPr>
        <w:instrText xml:space="preserve"> REF _Ref59457393 \r \h </w:instrText>
      </w:r>
      <w:r w:rsidR="00BD0F7F">
        <w:rPr>
          <w:rFonts w:eastAsia="Garamond" w:cs="Garamond"/>
        </w:rPr>
      </w:r>
      <w:r w:rsidR="00BD0F7F">
        <w:rPr>
          <w:rFonts w:eastAsia="Garamond" w:cs="Garamond"/>
        </w:rPr>
        <w:fldChar w:fldCharType="separate"/>
      </w:r>
      <w:r w:rsidR="003B7A14">
        <w:rPr>
          <w:rFonts w:eastAsia="Garamond" w:cs="Garamond"/>
        </w:rPr>
        <w:t>A</w:t>
      </w:r>
      <w:r w:rsidR="00BD0F7F">
        <w:rPr>
          <w:rFonts w:eastAsia="Garamond" w:cs="Garamond"/>
        </w:rPr>
        <w:fldChar w:fldCharType="end"/>
      </w:r>
      <w:r w:rsidR="6E618552" w:rsidRPr="7956503B">
        <w:rPr>
          <w:rFonts w:eastAsia="Garamond" w:cs="Garamond"/>
        </w:rPr>
        <w:t>)</w:t>
      </w:r>
      <w:r w:rsidRPr="61CF619C">
        <w:rPr>
          <w:rFonts w:eastAsia="Garamond" w:cs="Garamond"/>
        </w:rPr>
        <w:t xml:space="preserve"> for related guidance. If known local area requirements are still not met, then local thermal generation will be restored in reverse order of the list developed in steps 1 and 2.</w:t>
      </w:r>
    </w:p>
    <w:p w14:paraId="3A0FE5B4" w14:textId="4D882D9D" w:rsidR="007876FF" w:rsidRPr="000115B3" w:rsidRDefault="61491E89" w:rsidP="000115B3">
      <w:pPr>
        <w:pStyle w:val="Heading3"/>
      </w:pPr>
      <w:bookmarkStart w:id="75" w:name="_Toc63669608"/>
      <w:r w:rsidRPr="000115B3">
        <w:t>Demand Response</w:t>
      </w:r>
      <w:bookmarkEnd w:id="75"/>
    </w:p>
    <w:p w14:paraId="7BC38090" w14:textId="0BF5779A" w:rsidR="00F93EC4" w:rsidRPr="007876FF" w:rsidRDefault="00F93EC4" w:rsidP="007876FF">
      <w:pPr>
        <w:spacing w:after="120"/>
        <w:ind w:left="0"/>
      </w:pPr>
      <w:r w:rsidRPr="007876FF">
        <w:t>This subsection provides guidance on modeling treatment of demand response (DR) programs in network reliability studies including allocating capacity from those programs to transmission substations.</w:t>
      </w:r>
    </w:p>
    <w:p w14:paraId="42887AD3" w14:textId="19C4E328" w:rsidR="3CFD58AA" w:rsidRDefault="3CFD58AA" w:rsidP="057D115D">
      <w:pPr>
        <w:spacing w:after="120"/>
        <w:ind w:left="0"/>
      </w:pPr>
      <w:r>
        <w:t xml:space="preserve">The CPUC’s Resource Adequacy (RA) proceeding (R. 17-09-020 or its successor) determines what resources can provide system and local resource adequacy capacity. Current RA accounting rules indicate that all existing DR programs count to the extent those program impacts are located within the relevant geographic areas being studied for system and local </w:t>
      </w:r>
      <w:r w:rsidR="4D14C6A3">
        <w:t>reliability</w:t>
      </w:r>
      <w:r>
        <w:t xml:space="preserve">. For its TPP studies the CAISO </w:t>
      </w:r>
      <w:r w:rsidR="7F886122">
        <w:t xml:space="preserve">utilizes </w:t>
      </w:r>
      <w:r w:rsidR="4ED50ECA">
        <w:t>data from Supply-Side Resource Demand Response, which is registered in the CAISO market as either dispatchable, fast-response Reliability Demand Response Resources (RDRR) or slow-response Proxy Demand Response (PDR).</w:t>
      </w:r>
    </w:p>
    <w:p w14:paraId="32F36CD4" w14:textId="5A147278" w:rsidR="4ED50ECA" w:rsidRDefault="4ED50ECA" w:rsidP="057D115D">
      <w:pPr>
        <w:spacing w:after="120"/>
        <w:ind w:left="0"/>
      </w:pPr>
      <w:r>
        <w:t xml:space="preserve">By nature, impacts from DR programs are distributed across large geographies. In order for these impacts to be applied in network reliability studies, DR program capacity must be allocated to transmission substations. To this end, CPUC staff requests the </w:t>
      </w:r>
      <w:r w:rsidR="28567087">
        <w:t>Investor-Owned</w:t>
      </w:r>
      <w:r>
        <w:t xml:space="preserve"> Utilities (</w:t>
      </w:r>
      <w:r w:rsidR="48ACB06E">
        <w:t xml:space="preserve">IOUs), in their capacity as Participating Transmission Owners (PTOs), to submit this information through the CAISO’s annual TPP Study Plan stakeholder process. </w:t>
      </w:r>
      <w:r w:rsidR="05D011E9">
        <w:t>To the extent possible, this data should also allocate impacts of DR programs administered by CCAs or procured from third parties.</w:t>
      </w:r>
    </w:p>
    <w:p w14:paraId="7A082E11" w14:textId="7EB6AF1E" w:rsidR="05D011E9" w:rsidRDefault="05D011E9" w:rsidP="057D115D">
      <w:pPr>
        <w:spacing w:after="120"/>
        <w:ind w:left="0"/>
      </w:pPr>
      <w:r>
        <w:t>Separately, and coupled with the CPUC’s annual Load Impact Protocols (LIP) filings,</w:t>
      </w:r>
      <w:r>
        <w:footnoteReference w:id="25"/>
      </w:r>
      <w:r>
        <w:t xml:space="preserve"> IOUs are to submit a second, updated filing. Thus, the data for the TPP is first filed in mid-February</w:t>
      </w:r>
      <w:r w:rsidR="328A0C4A">
        <w:t>, f</w:t>
      </w:r>
      <w:r>
        <w:t>ollowed by the LIP final</w:t>
      </w:r>
      <w:r w:rsidR="23528564">
        <w:t xml:space="preserve"> Report filing in April, which is then followed by the updated filing in August of the same year.</w:t>
      </w:r>
    </w:p>
    <w:p w14:paraId="243BAFE4" w14:textId="3F13F865" w:rsidR="23528564" w:rsidRDefault="23528564" w:rsidP="057D115D">
      <w:pPr>
        <w:spacing w:after="120"/>
        <w:ind w:left="0"/>
      </w:pPr>
      <w:r>
        <w:t>While we recognize that the annual TPP Study Plan that concludes in March already incorporates busbar-level details, this additional reporting will validate the results from the earlier filings.</w:t>
      </w:r>
    </w:p>
    <w:p w14:paraId="1AE4ED9E" w14:textId="5A71F9D2" w:rsidR="23528564" w:rsidRDefault="23528564" w:rsidP="057D115D">
      <w:pPr>
        <w:spacing w:after="120"/>
        <w:ind w:left="0"/>
      </w:pPr>
      <w:r>
        <w:t xml:space="preserve">Because the data requirements specified in both filings contain confidential information, the CPUC expects the CAISO and the IOUs to exchange data using their own non-disclosure agreements. </w:t>
      </w:r>
    </w:p>
    <w:p w14:paraId="01B41DAB" w14:textId="581E5BF5" w:rsidR="23528564" w:rsidRDefault="23528564" w:rsidP="057D115D">
      <w:pPr>
        <w:spacing w:after="120"/>
        <w:ind w:left="0"/>
      </w:pPr>
      <w:r>
        <w:t xml:space="preserve">Contact and recipient details for these filings will </w:t>
      </w:r>
      <w:r w:rsidR="00311544">
        <w:t>be provided by</w:t>
      </w:r>
      <w:r>
        <w:t xml:space="preserve"> </w:t>
      </w:r>
      <w:r w:rsidR="0065247B">
        <w:t xml:space="preserve">the </w:t>
      </w:r>
      <w:r>
        <w:t>CAISO</w:t>
      </w:r>
      <w:r w:rsidR="00311544">
        <w:t xml:space="preserve"> as part of the 2021-2022 TPP</w:t>
      </w:r>
      <w:r>
        <w:t>. Both the TPP and updated filings are to contain the following:</w:t>
      </w:r>
    </w:p>
    <w:p w14:paraId="37A2DD2A" w14:textId="22A6CA1C" w:rsidR="23528564" w:rsidRDefault="23528564" w:rsidP="00C55A31">
      <w:pPr>
        <w:pStyle w:val="ListParagraph"/>
        <w:numPr>
          <w:ilvl w:val="0"/>
          <w:numId w:val="152"/>
        </w:numPr>
        <w:spacing w:after="120"/>
        <w:rPr>
          <w:rFonts w:asciiTheme="minorHAnsi" w:eastAsiaTheme="minorEastAsia" w:hAnsiTheme="minorHAnsi" w:cstheme="minorBidi"/>
          <w:szCs w:val="24"/>
        </w:rPr>
      </w:pPr>
      <w:r>
        <w:t xml:space="preserve">Portfolio aggregate ex-ante load impacts (in MW), by program, for 1-in-2 under CAISO’s August system peak, for each of the full ten-year forecast period, disaggregated by Western </w:t>
      </w:r>
      <w:r>
        <w:lastRenderedPageBreak/>
        <w:t>Electricity Coordinating Council (WECC) transmission level busbar, in plain Excel format. The WECC busbar shall be identified by two columns (f</w:t>
      </w:r>
      <w:r w:rsidR="293B0A97">
        <w:t>ields):</w:t>
      </w:r>
    </w:p>
    <w:p w14:paraId="2C922076" w14:textId="2AFAE812" w:rsidR="293B0A97" w:rsidRDefault="293B0A97" w:rsidP="00C55A31">
      <w:pPr>
        <w:pStyle w:val="ListParagraph"/>
        <w:numPr>
          <w:ilvl w:val="1"/>
          <w:numId w:val="152"/>
        </w:numPr>
        <w:spacing w:after="120"/>
        <w:rPr>
          <w:szCs w:val="24"/>
        </w:rPr>
      </w:pPr>
      <w:r>
        <w:t xml:space="preserve">WECC busbar number as used in CAISO power flow </w:t>
      </w:r>
      <w:proofErr w:type="gramStart"/>
      <w:r>
        <w:t>models;</w:t>
      </w:r>
      <w:proofErr w:type="gramEnd"/>
    </w:p>
    <w:p w14:paraId="1E2599E1" w14:textId="6EB44115" w:rsidR="293B0A97" w:rsidRDefault="293B0A97" w:rsidP="00C55A31">
      <w:pPr>
        <w:pStyle w:val="ListParagraph"/>
        <w:numPr>
          <w:ilvl w:val="1"/>
          <w:numId w:val="152"/>
        </w:numPr>
        <w:spacing w:after="120"/>
        <w:rPr>
          <w:szCs w:val="24"/>
        </w:rPr>
      </w:pPr>
      <w:r>
        <w:t>Substation identifier/name (for example, [22256, ESCNDIDO] for SDG&amp;E; [24214, SANBRDNO] for SCE; and [33207, BAYSHOR2] for PG&amp;E). This applies to all dispatchable IOU DR programs and does no</w:t>
      </w:r>
      <w:r w:rsidR="5E07B17C">
        <w:t xml:space="preserve">t include non-dispatchable </w:t>
      </w:r>
      <w:r w:rsidR="0D29A865">
        <w:t xml:space="preserve">programs such as Time-of-Use (TOU) </w:t>
      </w:r>
      <w:proofErr w:type="gramStart"/>
      <w:r w:rsidR="0D29A865">
        <w:t>rates;</w:t>
      </w:r>
      <w:proofErr w:type="gramEnd"/>
    </w:p>
    <w:p w14:paraId="26B6AB45" w14:textId="0D46A162" w:rsidR="0D29A865" w:rsidRDefault="0D29A865" w:rsidP="00C55A31">
      <w:pPr>
        <w:pStyle w:val="ListParagraph"/>
        <w:numPr>
          <w:ilvl w:val="1"/>
          <w:numId w:val="152"/>
        </w:numPr>
        <w:spacing w:after="120"/>
        <w:rPr>
          <w:szCs w:val="24"/>
        </w:rPr>
      </w:pPr>
      <w:r>
        <w:t>The final year of the forecast (furthest into the future), for all program operating hours (not just the Resource Adequacy [RA] operating window). Disaggregate the data into four geographic zones: PG&amp;E Bay, PG&amp;E Valley, SCE, and SDG&amp;E. PG&amp;E Bay is defined as the Greater Bay Area Local Capacit</w:t>
      </w:r>
      <w:r w:rsidR="2F249F37">
        <w:t>y Area (LCA) and PG&amp;E Valley is defined as everything else in PG&amp;E. This requirement applies to all dispatchable and non-dispatchable programs.</w:t>
      </w:r>
    </w:p>
    <w:p w14:paraId="46F9624B" w14:textId="0277CF87" w:rsidR="2F249F37" w:rsidRDefault="2F249F37" w:rsidP="00C55A31">
      <w:pPr>
        <w:pStyle w:val="ListParagraph"/>
        <w:numPr>
          <w:ilvl w:val="0"/>
          <w:numId w:val="152"/>
        </w:numPr>
        <w:spacing w:after="120"/>
      </w:pPr>
      <w:r>
        <w:t>The methods and assumptions for disaggregating DR impacts by WECC transmission level busbar shall be stan</w:t>
      </w:r>
      <w:r w:rsidR="6BA62E74">
        <w:t>d</w:t>
      </w:r>
      <w:r>
        <w:t xml:space="preserve">ard and uniform across each IOU and documented in a supplemental report. To the extent this data does not sufficiently mask individual customer load information, the IOUs shall provide both a public version </w:t>
      </w:r>
      <w:r w:rsidR="71E17D7B">
        <w:t xml:space="preserve">of </w:t>
      </w:r>
      <w:r>
        <w:t>the data with individual customer load information masked, and a confidential version of the data with</w:t>
      </w:r>
      <w:r w:rsidR="1D1718D5">
        <w:t xml:space="preserve"> complete information. The IOUs shall make the confidential dataset known and available to the CAISO</w:t>
      </w:r>
      <w:r w:rsidR="0D1B6F4B">
        <w:t xml:space="preserve"> (with applicable NDAs) by the annual deadline for its request for stakeholder input on </w:t>
      </w:r>
      <w:r w:rsidR="00C55A31">
        <w:t>“</w:t>
      </w:r>
      <w:r w:rsidR="0D1B6F4B">
        <w:t>unified planning assumptions” for the TPP.</w:t>
      </w:r>
    </w:p>
    <w:p w14:paraId="17923E1A" w14:textId="27A5158E" w:rsidR="4E1893D1" w:rsidRDefault="4E1893D1" w:rsidP="4E1893D1">
      <w:pPr>
        <w:spacing w:after="120"/>
        <w:ind w:left="0"/>
        <w:rPr>
          <w:rFonts w:eastAsia="Calibri" w:cs="Times New Roman"/>
        </w:rPr>
      </w:pPr>
    </w:p>
    <w:p w14:paraId="0362A834" w14:textId="47EADE9A" w:rsidR="4E1893D1" w:rsidRDefault="4E1893D1" w:rsidP="4E1893D1">
      <w:pPr>
        <w:spacing w:after="120"/>
        <w:ind w:left="0"/>
        <w:rPr>
          <w:rFonts w:eastAsia="Calibri" w:cs="Times New Roman"/>
        </w:rPr>
      </w:pPr>
    </w:p>
    <w:p w14:paraId="0A0AE4B6" w14:textId="536788DD" w:rsidR="007876FF" w:rsidRPr="007876FF" w:rsidRDefault="002105AC" w:rsidP="002105AC">
      <w:pPr>
        <w:spacing w:after="160" w:line="259" w:lineRule="auto"/>
        <w:ind w:left="0"/>
        <w:rPr>
          <w:sz w:val="28"/>
          <w:szCs w:val="24"/>
        </w:rPr>
      </w:pPr>
      <w:r>
        <w:rPr>
          <w:sz w:val="28"/>
          <w:szCs w:val="24"/>
        </w:rPr>
        <w:br w:type="page"/>
      </w:r>
    </w:p>
    <w:p w14:paraId="6153C745" w14:textId="52589DC2" w:rsidR="00AB35E5" w:rsidRDefault="00A0733C" w:rsidP="00DD54CE">
      <w:pPr>
        <w:pStyle w:val="Heading2"/>
      </w:pPr>
      <w:bookmarkStart w:id="76" w:name="_Ref32431952"/>
      <w:bookmarkStart w:id="77" w:name="_Toc63669609"/>
      <w:r>
        <w:lastRenderedPageBreak/>
        <w:t>Conclusion</w:t>
      </w:r>
      <w:r w:rsidR="00CB2B7B">
        <w:t xml:space="preserve"> and Next Steps</w:t>
      </w:r>
      <w:bookmarkEnd w:id="73"/>
      <w:bookmarkEnd w:id="76"/>
      <w:bookmarkEnd w:id="77"/>
    </w:p>
    <w:p w14:paraId="09BFE6EA" w14:textId="5639ABA3" w:rsidR="43F061EF" w:rsidRDefault="2951A68E" w:rsidP="0065247B">
      <w:pPr>
        <w:spacing w:after="240"/>
        <w:ind w:left="0"/>
      </w:pPr>
      <w:r>
        <w:t>The three CPUC resource portfolio</w:t>
      </w:r>
      <w:r w:rsidR="7D2345DE">
        <w:t>s</w:t>
      </w:r>
      <w:r>
        <w:t xml:space="preserve"> have been mapped to busbars in </w:t>
      </w:r>
      <w:r w:rsidR="61B991B9">
        <w:t xml:space="preserve">reasonable </w:t>
      </w:r>
      <w:r>
        <w:t>accordance with the criteria</w:t>
      </w:r>
      <w:r w:rsidR="270AE242">
        <w:t xml:space="preserve"> and with consideration </w:t>
      </w:r>
      <w:r w:rsidR="209C06E8">
        <w:t>of</w:t>
      </w:r>
      <w:r w:rsidR="270AE242">
        <w:t xml:space="preserve"> state policy objectives, as desc</w:t>
      </w:r>
      <w:r w:rsidR="0D9583CB">
        <w:t>r</w:t>
      </w:r>
      <w:r w:rsidR="270AE242">
        <w:t xml:space="preserve">ibed in the </w:t>
      </w:r>
      <w:r w:rsidR="206285A8">
        <w:t>M</w:t>
      </w:r>
      <w:r w:rsidR="270AE242">
        <w:t>ethodology (</w:t>
      </w:r>
      <w:r w:rsidR="556B1149">
        <w:t>see Appendix</w:t>
      </w:r>
      <w:r w:rsidR="003F1631">
        <w:t xml:space="preserve"> </w:t>
      </w:r>
      <w:r w:rsidR="000F4674">
        <w:t>A</w:t>
      </w:r>
      <w:r w:rsidR="556B1149">
        <w:t>).</w:t>
      </w:r>
      <w:r>
        <w:t xml:space="preserve"> The results (available at Appendix </w:t>
      </w:r>
      <w:r>
        <w:fldChar w:fldCharType="begin"/>
      </w:r>
      <w:r>
        <w:instrText xml:space="preserve"> REF _Ref32839915 \r \h </w:instrText>
      </w:r>
      <w:r>
        <w:fldChar w:fldCharType="separate"/>
      </w:r>
      <w:r w:rsidR="003B7A14">
        <w:t>B</w:t>
      </w:r>
      <w:r>
        <w:fldChar w:fldCharType="end"/>
      </w:r>
      <w:r w:rsidR="007A528C">
        <w:t xml:space="preserve"> and </w:t>
      </w:r>
      <w:r>
        <w:fldChar w:fldCharType="begin"/>
      </w:r>
      <w:r>
        <w:instrText xml:space="preserve"> REF _Ref59457313 \r \h </w:instrText>
      </w:r>
      <w:r>
        <w:fldChar w:fldCharType="separate"/>
      </w:r>
      <w:r w:rsidR="003B7A14">
        <w:t>C</w:t>
      </w:r>
      <w:r>
        <w:fldChar w:fldCharType="end"/>
      </w:r>
      <w:r>
        <w:t xml:space="preserve"> </w:t>
      </w:r>
      <w:r w:rsidR="170C1181">
        <w:t>are</w:t>
      </w:r>
      <w:r>
        <w:t xml:space="preserve"> transmitted to the CAISO for use in the </w:t>
      </w:r>
      <w:r w:rsidR="3ED4E8C8">
        <w:t>r</w:t>
      </w:r>
      <w:r>
        <w:t xml:space="preserve">eliability and </w:t>
      </w:r>
      <w:r w:rsidR="208FBAD8">
        <w:t>p</w:t>
      </w:r>
      <w:r>
        <w:t xml:space="preserve">olicy-driven </w:t>
      </w:r>
      <w:r w:rsidR="7DA06728">
        <w:t>b</w:t>
      </w:r>
      <w:r>
        <w:t xml:space="preserve">ase </w:t>
      </w:r>
      <w:r w:rsidR="251669E1">
        <w:t>c</w:t>
      </w:r>
      <w:r>
        <w:t xml:space="preserve">ase as well as </w:t>
      </w:r>
      <w:r w:rsidR="0C0786B8">
        <w:t xml:space="preserve">the policy driven-sensitivity cases </w:t>
      </w:r>
      <w:r>
        <w:t xml:space="preserve">in </w:t>
      </w:r>
      <w:r w:rsidR="105ABAB3">
        <w:t xml:space="preserve">the </w:t>
      </w:r>
      <w:r>
        <w:t>202</w:t>
      </w:r>
      <w:r w:rsidR="1C54F822">
        <w:t>1</w:t>
      </w:r>
      <w:r>
        <w:t>-2</w:t>
      </w:r>
      <w:r w:rsidR="0F07D247">
        <w:t>022</w:t>
      </w:r>
      <w:r>
        <w:t xml:space="preserve"> TPP</w:t>
      </w:r>
      <w:r w:rsidR="00672DA6">
        <w:t>.</w:t>
      </w:r>
      <w:r w:rsidR="7449B4DB">
        <w:t xml:space="preserve"> The implementation of t</w:t>
      </w:r>
      <w:r w:rsidR="642E34D5">
        <w:t>he</w:t>
      </w:r>
      <w:r w:rsidR="7449B4DB">
        <w:t xml:space="preserve"> busbar mapping process </w:t>
      </w:r>
      <w:r w:rsidR="266756CB">
        <w:t xml:space="preserve">resulted </w:t>
      </w:r>
      <w:r w:rsidR="41477395">
        <w:t>in adjustments to the resource composition of each portfolio</w:t>
      </w:r>
      <w:r w:rsidR="244FC9BC">
        <w:t xml:space="preserve"> as described in Section 6 and Section 7</w:t>
      </w:r>
      <w:r w:rsidR="41477395">
        <w:t xml:space="preserve">. The </w:t>
      </w:r>
      <w:r w:rsidR="0096436F">
        <w:t xml:space="preserve">chart </w:t>
      </w:r>
      <w:r w:rsidR="41477395">
        <w:t xml:space="preserve">below depicts the </w:t>
      </w:r>
      <w:r w:rsidR="716A2A47">
        <w:t xml:space="preserve">final resource composition of each portfolio </w:t>
      </w:r>
      <w:r w:rsidR="27AE62D6">
        <w:t>th</w:t>
      </w:r>
      <w:r w:rsidR="415A7016">
        <w:t>a</w:t>
      </w:r>
      <w:r w:rsidR="27AE62D6">
        <w:t>t</w:t>
      </w:r>
      <w:r w:rsidR="716A2A47">
        <w:t xml:space="preserve"> will be transmitted to the CAISO for the 2021-2022 TPP. </w:t>
      </w:r>
    </w:p>
    <w:p w14:paraId="05DD1CD4" w14:textId="06251DEA" w:rsidR="002829AA" w:rsidRDefault="002829AA" w:rsidP="005169DA">
      <w:pPr>
        <w:pStyle w:val="Caption"/>
        <w:keepNext/>
      </w:pPr>
      <w:r>
        <w:t xml:space="preserve">Figure </w:t>
      </w:r>
      <w:r w:rsidR="00F02B49">
        <w:fldChar w:fldCharType="begin"/>
      </w:r>
      <w:r w:rsidR="00F02B49">
        <w:instrText xml:space="preserve"> SEQ Figure \* ARABIC </w:instrText>
      </w:r>
      <w:r w:rsidR="00F02B49">
        <w:fldChar w:fldCharType="separate"/>
      </w:r>
      <w:r>
        <w:rPr>
          <w:noProof/>
        </w:rPr>
        <w:t>8</w:t>
      </w:r>
      <w:r w:rsidR="00F02B49">
        <w:rPr>
          <w:noProof/>
        </w:rPr>
        <w:fldChar w:fldCharType="end"/>
      </w:r>
      <w:r>
        <w:t xml:space="preserve">. </w:t>
      </w:r>
      <w:r w:rsidRPr="002829AA">
        <w:t>Final Resource Composition of Portfolios for the 2021-2022 TPP</w:t>
      </w:r>
    </w:p>
    <w:p w14:paraId="2F1E0A88" w14:textId="3706D047" w:rsidR="1BD4049E" w:rsidRDefault="61178D28" w:rsidP="7B3BA3A1">
      <w:pPr>
        <w:spacing w:after="120"/>
        <w:ind w:left="0"/>
      </w:pPr>
      <w:r>
        <w:rPr>
          <w:noProof/>
        </w:rPr>
        <w:drawing>
          <wp:inline distT="0" distB="0" distL="0" distR="0" wp14:anchorId="029C83DC" wp14:editId="41913121">
            <wp:extent cx="4652010" cy="3876675"/>
            <wp:effectExtent l="0" t="0" r="0" b="0"/>
            <wp:docPr id="727360785" name="Picture 72736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360785"/>
                    <pic:cNvPicPr/>
                  </pic:nvPicPr>
                  <pic:blipFill>
                    <a:blip r:embed="rId39">
                      <a:extLst>
                        <a:ext uri="{28A0092B-C50C-407E-A947-70E740481C1C}">
                          <a14:useLocalDpi xmlns:a14="http://schemas.microsoft.com/office/drawing/2010/main" val="0"/>
                        </a:ext>
                      </a:extLst>
                    </a:blip>
                    <a:stretch>
                      <a:fillRect/>
                    </a:stretch>
                  </pic:blipFill>
                  <pic:spPr>
                    <a:xfrm>
                      <a:off x="0" y="0"/>
                      <a:ext cx="4652010" cy="3876675"/>
                    </a:xfrm>
                    <a:prstGeom prst="rect">
                      <a:avLst/>
                    </a:prstGeom>
                  </pic:spPr>
                </pic:pic>
              </a:graphicData>
            </a:graphic>
          </wp:inline>
        </w:drawing>
      </w:r>
    </w:p>
    <w:p w14:paraId="7679C80A" w14:textId="1C12CF84" w:rsidR="057D115D" w:rsidRDefault="057D115D" w:rsidP="057D115D">
      <w:pPr>
        <w:spacing w:after="120"/>
        <w:ind w:left="0"/>
      </w:pPr>
    </w:p>
    <w:p w14:paraId="3EDAF6E3" w14:textId="7D6A7B33" w:rsidR="001D72D3" w:rsidRDefault="001D72D3" w:rsidP="005169DA">
      <w:pPr>
        <w:pStyle w:val="Caption"/>
        <w:keepNext/>
      </w:pPr>
      <w:r>
        <w:lastRenderedPageBreak/>
        <w:t xml:space="preserve">Table </w:t>
      </w:r>
      <w:r w:rsidR="00F02B49">
        <w:fldChar w:fldCharType="begin"/>
      </w:r>
      <w:r w:rsidR="00F02B49">
        <w:instrText xml:space="preserve"> SEQ Table \* ARABIC </w:instrText>
      </w:r>
      <w:r w:rsidR="00F02B49">
        <w:fldChar w:fldCharType="separate"/>
      </w:r>
      <w:r>
        <w:rPr>
          <w:noProof/>
        </w:rPr>
        <w:t>24</w:t>
      </w:r>
      <w:r w:rsidR="00F02B49">
        <w:rPr>
          <w:noProof/>
        </w:rPr>
        <w:fldChar w:fldCharType="end"/>
      </w:r>
      <w:r>
        <w:t xml:space="preserve">. </w:t>
      </w:r>
      <w:r w:rsidRPr="001D72D3">
        <w:t>Final Resource Composition of Portfolios for the 2021-2022 TPP</w:t>
      </w:r>
    </w:p>
    <w:p w14:paraId="6A9286D8" w14:textId="4578B60B" w:rsidR="4E827DA2" w:rsidRDefault="504480F4" w:rsidP="0065247B">
      <w:pPr>
        <w:spacing w:after="240"/>
        <w:ind w:left="0"/>
      </w:pPr>
      <w:r>
        <w:rPr>
          <w:noProof/>
        </w:rPr>
        <w:drawing>
          <wp:inline distT="0" distB="0" distL="0" distR="0" wp14:anchorId="6E6F6040" wp14:editId="17C259CC">
            <wp:extent cx="5199320" cy="3051544"/>
            <wp:effectExtent l="0" t="0" r="0" b="0"/>
            <wp:docPr id="334431559" name="Picture 33443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31559"/>
                    <pic:cNvPicPr/>
                  </pic:nvPicPr>
                  <pic:blipFill>
                    <a:blip r:embed="rId40">
                      <a:extLst>
                        <a:ext uri="{28A0092B-C50C-407E-A947-70E740481C1C}">
                          <a14:useLocalDpi xmlns:a14="http://schemas.microsoft.com/office/drawing/2010/main" val="0"/>
                        </a:ext>
                      </a:extLst>
                    </a:blip>
                    <a:stretch>
                      <a:fillRect/>
                    </a:stretch>
                  </pic:blipFill>
                  <pic:spPr>
                    <a:xfrm>
                      <a:off x="0" y="0"/>
                      <a:ext cx="5216817" cy="3061813"/>
                    </a:xfrm>
                    <a:prstGeom prst="rect">
                      <a:avLst/>
                    </a:prstGeom>
                  </pic:spPr>
                </pic:pic>
              </a:graphicData>
            </a:graphic>
          </wp:inline>
        </w:drawing>
      </w:r>
    </w:p>
    <w:p w14:paraId="03FFDAFF" w14:textId="7DF91C92" w:rsidR="7F7F02D9" w:rsidRDefault="7F7F274E" w:rsidP="3260C83D">
      <w:pPr>
        <w:spacing w:after="120"/>
        <w:ind w:left="0"/>
      </w:pPr>
      <w:r>
        <w:t>The final busbar mapping of resources in each portfolio result</w:t>
      </w:r>
      <w:r w:rsidR="00107360">
        <w:t>ed</w:t>
      </w:r>
      <w:r>
        <w:t xml:space="preserve"> in </w:t>
      </w:r>
      <w:r w:rsidR="00057918">
        <w:t>some</w:t>
      </w:r>
      <w:r w:rsidR="01CCB533">
        <w:t xml:space="preserve"> transmission exceedances, which are described in more detail in the subsections below.</w:t>
      </w:r>
      <w:r>
        <w:t xml:space="preserve"> </w:t>
      </w:r>
      <w:r w:rsidR="7F7F02D9">
        <w:t xml:space="preserve">Notably, the transmission exceedances in the 46 MMT portfolio align with those in the 38 MMT portfolio, with the exception of one exceedance in the Southern California Desert and Southern Nevada area. This indicates that if CAISO finds that transmission upgrades are required in alignment with the exceedances identified, and the transmission upgrades </w:t>
      </w:r>
      <w:r w:rsidR="2F32F0E2">
        <w:t xml:space="preserve">required under the 46 MMT portfolio </w:t>
      </w:r>
      <w:r w:rsidR="7F7F02D9">
        <w:t>are made, all else being equal, the grid should be able to accommodate all resources included in the 38 MMT portfolio with the exception of a portion of the out-of-state resources. CAISO results from assessing the 38 MMT policy-driven sensitivity portfolio will provide more detailed information.</w:t>
      </w:r>
      <w:r w:rsidR="5B3DAE81">
        <w:t xml:space="preserve"> The grid is of course ever evolving and for this reason the CPUC transmits portfolios to the CAISO annually for transmission planning. Nevertheless</w:t>
      </w:r>
      <w:r w:rsidR="3C6DD6E7">
        <w:t xml:space="preserve">, this alignment in portfolio exceedances is encouraging because it indicates that if California were to move to a 38 MMT target, </w:t>
      </w:r>
      <w:r w:rsidR="00DE56CD">
        <w:t xml:space="preserve">significant </w:t>
      </w:r>
      <w:r w:rsidR="00226A89">
        <w:t xml:space="preserve">transmission planning in that direction would already be in progress. </w:t>
      </w:r>
    </w:p>
    <w:p w14:paraId="4D1F8B23" w14:textId="6E8F37BE" w:rsidR="00A12BEE" w:rsidRPr="0034444B" w:rsidRDefault="00A12BEE" w:rsidP="005169DA">
      <w:pPr>
        <w:pStyle w:val="Heading3"/>
      </w:pPr>
      <w:bookmarkStart w:id="78" w:name="_Toc63669610"/>
      <w:r w:rsidRPr="000115B3">
        <w:t xml:space="preserve">Guidance on the </w:t>
      </w:r>
      <w:r w:rsidR="7FEC6AFB" w:rsidRPr="000115B3">
        <w:t>46 MMT with 2019 IEPR</w:t>
      </w:r>
      <w:r w:rsidRPr="000115B3">
        <w:t xml:space="preserve"> Base Case Resource Portfolio</w:t>
      </w:r>
      <w:bookmarkEnd w:id="78"/>
    </w:p>
    <w:p w14:paraId="3843D0DB" w14:textId="6AE2F86D" w:rsidR="12411C98" w:rsidRDefault="0717F097" w:rsidP="00542635">
      <w:pPr>
        <w:spacing w:after="120"/>
        <w:ind w:left="0"/>
      </w:pPr>
      <w:r>
        <w:t xml:space="preserve">As described in greater detail in Section </w:t>
      </w:r>
      <w:r w:rsidR="00C829E5">
        <w:fldChar w:fldCharType="begin"/>
      </w:r>
      <w:r w:rsidR="00C829E5">
        <w:instrText xml:space="preserve"> REF _Ref36100630 \r \h </w:instrText>
      </w:r>
      <w:r w:rsidR="00C829E5">
        <w:fldChar w:fldCharType="separate"/>
      </w:r>
      <w:r w:rsidR="003B7A14">
        <w:t>7</w:t>
      </w:r>
      <w:r w:rsidR="00C829E5">
        <w:fldChar w:fldCharType="end"/>
      </w:r>
      <w:r>
        <w:t xml:space="preserve">, the </w:t>
      </w:r>
      <w:r w:rsidR="3B1CDDC5">
        <w:t xml:space="preserve">mapped </w:t>
      </w:r>
      <w:r>
        <w:t>resources exceed existing transmission limi</w:t>
      </w:r>
      <w:r w:rsidR="6D859D47">
        <w:t xml:space="preserve">ts in the </w:t>
      </w:r>
      <w:r w:rsidR="7A09D930">
        <w:t>46 MMT with updated IEPR</w:t>
      </w:r>
      <w:r w:rsidR="6D859D47">
        <w:t xml:space="preserve"> base case</w:t>
      </w:r>
      <w:r w:rsidR="1B94F7EC">
        <w:t xml:space="preserve"> portfolio</w:t>
      </w:r>
      <w:r w:rsidR="6D859D47">
        <w:t xml:space="preserve"> </w:t>
      </w:r>
      <w:r w:rsidR="4B8247A7">
        <w:t>in the following zones</w:t>
      </w:r>
      <w:r w:rsidR="6D859D47">
        <w:t>:</w:t>
      </w:r>
    </w:p>
    <w:p w14:paraId="579DCCC9" w14:textId="062C2A96" w:rsidR="12411C98" w:rsidRDefault="6D859D47" w:rsidP="00542635">
      <w:pPr>
        <w:pStyle w:val="ListParagraph"/>
        <w:numPr>
          <w:ilvl w:val="0"/>
          <w:numId w:val="73"/>
        </w:numPr>
        <w:spacing w:after="120"/>
        <w:rPr>
          <w:rFonts w:asciiTheme="minorHAnsi" w:eastAsiaTheme="minorEastAsia" w:hAnsiTheme="minorHAnsi" w:cstheme="minorBidi"/>
        </w:rPr>
      </w:pPr>
      <w:r>
        <w:t>Southern PG&amp;E: The transmission limit exceedance in this are</w:t>
      </w:r>
      <w:r w:rsidR="0BD8731E">
        <w:t>a could be resolved by a</w:t>
      </w:r>
      <w:r w:rsidR="000B310D">
        <w:t xml:space="preserve"> </w:t>
      </w:r>
      <w:r w:rsidR="0BD8731E">
        <w:t>transmission upgrade with a CAISO estimated cost of $55 million</w:t>
      </w:r>
      <w:r w:rsidR="000B310D">
        <w:t>, which would increase the estimated transmission capability by 1</w:t>
      </w:r>
      <w:r w:rsidR="43B852BA">
        <w:t>,</w:t>
      </w:r>
      <w:r w:rsidR="000B310D">
        <w:t>000 MW.</w:t>
      </w:r>
    </w:p>
    <w:p w14:paraId="1EC527C6" w14:textId="38F463FD" w:rsidR="31A43F02" w:rsidRDefault="0BD8731E" w:rsidP="00A24A87">
      <w:pPr>
        <w:pStyle w:val="ListParagraph"/>
        <w:numPr>
          <w:ilvl w:val="0"/>
          <w:numId w:val="73"/>
        </w:numPr>
        <w:spacing w:after="120"/>
      </w:pPr>
      <w:r>
        <w:t>Tehachapi: The transmission limit exceedance in this area could be resolved by a</w:t>
      </w:r>
      <w:r w:rsidR="000B310D">
        <w:t xml:space="preserve"> </w:t>
      </w:r>
      <w:r>
        <w:t>transmission upgrade with a CAISO estimated cost of $100 millio</w:t>
      </w:r>
      <w:r w:rsidR="254A1898">
        <w:t>n</w:t>
      </w:r>
      <w:r w:rsidR="000B310D">
        <w:t>, which would increase the estimated transmission capability by 1</w:t>
      </w:r>
      <w:r w:rsidR="65CB1772">
        <w:t>,</w:t>
      </w:r>
      <w:r w:rsidR="000B310D">
        <w:t>000 MW.</w:t>
      </w:r>
    </w:p>
    <w:p w14:paraId="049B0D20" w14:textId="357ADA96" w:rsidR="7B428126" w:rsidRDefault="13D55F28" w:rsidP="3260C83D">
      <w:pPr>
        <w:pStyle w:val="ListParagraph"/>
        <w:numPr>
          <w:ilvl w:val="0"/>
          <w:numId w:val="73"/>
        </w:numPr>
        <w:spacing w:after="120"/>
      </w:pPr>
      <w:r>
        <w:lastRenderedPageBreak/>
        <w:t>GLW-VEA transmission zone</w:t>
      </w:r>
      <w:r w:rsidR="12D8E730">
        <w:t xml:space="preserve"> (Southern Nevada</w:t>
      </w:r>
      <w:r>
        <w:t>): The energy only transmission limit exceedance in this area</w:t>
      </w:r>
      <w:r w:rsidR="14A3525F">
        <w:t xml:space="preserve"> is</w:t>
      </w:r>
      <w:r w:rsidR="3405EACB">
        <w:t xml:space="preserve"> resolved by a combination of two transmission upgrades with a </w:t>
      </w:r>
      <w:r w:rsidR="0071548C">
        <w:t>CAISO-</w:t>
      </w:r>
      <w:r w:rsidR="3405EACB">
        <w:t>estimated cost</w:t>
      </w:r>
      <w:r w:rsidR="72236B40">
        <w:t xml:space="preserve"> of $138-145 million</w:t>
      </w:r>
      <w:r w:rsidR="459D22E7">
        <w:t>,</w:t>
      </w:r>
      <w:r w:rsidR="197D3CE2">
        <w:t xml:space="preserve"> which would increase estimated EO transmission capability by at least 1,</w:t>
      </w:r>
      <w:r w:rsidR="4B74D7E8">
        <w:t>50</w:t>
      </w:r>
      <w:r w:rsidR="197D3CE2">
        <w:t>0 MW</w:t>
      </w:r>
      <w:r w:rsidR="460563BC">
        <w:t>.</w:t>
      </w:r>
    </w:p>
    <w:p w14:paraId="2F8898D1" w14:textId="2318D90B" w:rsidR="7B428126" w:rsidRDefault="7B428126" w:rsidP="13A18B61">
      <w:pPr>
        <w:spacing w:after="120"/>
        <w:ind w:left="0"/>
      </w:pPr>
      <w:r>
        <w:t xml:space="preserve">If the TPP </w:t>
      </w:r>
      <w:r w:rsidR="00726B52">
        <w:t xml:space="preserve">policy-driven </w:t>
      </w:r>
      <w:r>
        <w:t>assessment of the base portfolio identifies the need for upgrades, the CAISO would typically recommend to the CAISO Board of Governors for approval of the upgrades as policy-driven transmission upgrades. The CAISO retains more flexibility with approval of projects if they are identified o</w:t>
      </w:r>
      <w:r w:rsidR="67374D97">
        <w:t xml:space="preserve">nly in the reliability assessments, and </w:t>
      </w:r>
      <w:r w:rsidR="7CC65D47">
        <w:t>if the estimated build time does not necessitate immediate commencement to meet the identified</w:t>
      </w:r>
      <w:r w:rsidR="67374D97">
        <w:t xml:space="preserve"> </w:t>
      </w:r>
      <w:r w:rsidR="7A23362E">
        <w:t>resource</w:t>
      </w:r>
      <w:r w:rsidR="67374D97">
        <w:t xml:space="preserve"> need. </w:t>
      </w:r>
      <w:r>
        <w:t>The CPUC</w:t>
      </w:r>
      <w:r w:rsidR="0CA68C03">
        <w:t xml:space="preserve"> will continue to coordinate with the CAISO and</w:t>
      </w:r>
      <w:r>
        <w:t xml:space="preserve"> will be engaged in the CAISO</w:t>
      </w:r>
      <w:r w:rsidR="3711A855">
        <w:t>'s Transmission Planning Process</w:t>
      </w:r>
      <w:r>
        <w:t xml:space="preserve"> </w:t>
      </w:r>
      <w:r w:rsidR="2601B898">
        <w:t>by providing</w:t>
      </w:r>
      <w:r>
        <w:t xml:space="preserve"> comments or additional guidance through the </w:t>
      </w:r>
      <w:r w:rsidR="0855F816">
        <w:t xml:space="preserve">TPP </w:t>
      </w:r>
      <w:r>
        <w:t>stakeholder process based on results of the analysis for the base portfolio related to transmission upgrade needs that are identified.</w:t>
      </w:r>
    </w:p>
    <w:p w14:paraId="54B7ECD2" w14:textId="6AE96A7D" w:rsidR="12411C98" w:rsidRDefault="5D24983A" w:rsidP="7956503B">
      <w:pPr>
        <w:spacing w:after="120"/>
        <w:ind w:left="0"/>
      </w:pPr>
      <w:r>
        <w:t>CPUC Staff recognize the need for a unique approach with the 1</w:t>
      </w:r>
      <w:r w:rsidR="00B44272">
        <w:t>,</w:t>
      </w:r>
      <w:r>
        <w:t xml:space="preserve">062 MW of OOS resources in the </w:t>
      </w:r>
      <w:r w:rsidR="092B8CB9">
        <w:t>base case resource portfolio</w:t>
      </w:r>
      <w:r w:rsidR="19904993">
        <w:t>. Due to the uncertainty of the implications</w:t>
      </w:r>
      <w:r w:rsidR="2E790E76">
        <w:t xml:space="preserve"> on the CAISO transmission grid</w:t>
      </w:r>
      <w:r w:rsidR="6C1CBFC1">
        <w:t xml:space="preserve"> the injection of these OOS resources may have, CPUC </w:t>
      </w:r>
      <w:r w:rsidR="0009362B">
        <w:t>s</w:t>
      </w:r>
      <w:r w:rsidR="6C1CBFC1">
        <w:t xml:space="preserve">taff is not able to determine at which </w:t>
      </w:r>
      <w:r w:rsidR="199779F1">
        <w:t>busbar location injection would best meet policy goals while minimizing cost</w:t>
      </w:r>
      <w:r w:rsidR="532CD778">
        <w:t>s to</w:t>
      </w:r>
      <w:r w:rsidR="199779F1">
        <w:t xml:space="preserve"> r</w:t>
      </w:r>
      <w:r w:rsidR="70CC3594">
        <w:t xml:space="preserve">atepayers. </w:t>
      </w:r>
      <w:r w:rsidR="4B3A2B60">
        <w:t xml:space="preserve">For this reason, CPUC </w:t>
      </w:r>
      <w:r w:rsidR="0009362B">
        <w:t>s</w:t>
      </w:r>
      <w:r w:rsidR="4B3A2B60">
        <w:t>taff appreciates CAISO reply comments</w:t>
      </w:r>
      <w:r w:rsidR="070EA5C5">
        <w:t>,</w:t>
      </w:r>
      <w:r w:rsidR="4B3A2B60">
        <w:t xml:space="preserve"> </w:t>
      </w:r>
      <w:r w:rsidR="5E1A0A9D">
        <w:t>which</w:t>
      </w:r>
      <w:r w:rsidR="4B3A2B60">
        <w:t xml:space="preserve"> indicated the possibility of studying</w:t>
      </w:r>
      <w:r w:rsidR="0F9888D1">
        <w:t xml:space="preserve"> the full amount at both injection points</w:t>
      </w:r>
      <w:r w:rsidR="008002AD">
        <w:t xml:space="preserve"> to accommodate this rare situation</w:t>
      </w:r>
      <w:r w:rsidR="0F9888D1">
        <w:t>.</w:t>
      </w:r>
      <w:r w:rsidR="006E3DEF">
        <w:rPr>
          <w:rStyle w:val="FootnoteReference"/>
        </w:rPr>
        <w:footnoteReference w:id="26"/>
      </w:r>
      <w:r w:rsidR="0F9888D1">
        <w:t xml:space="preserve"> Although the dashboards </w:t>
      </w:r>
      <w:r w:rsidR="4B95EF38">
        <w:t xml:space="preserve">include only one location to </w:t>
      </w:r>
      <w:r w:rsidR="464ED390">
        <w:t>prevent</w:t>
      </w:r>
      <w:r w:rsidR="4B95EF38">
        <w:t xml:space="preserve"> double counting, </w:t>
      </w:r>
      <w:r w:rsidR="0F9888D1">
        <w:t xml:space="preserve">CPUC </w:t>
      </w:r>
      <w:r w:rsidR="00E546B0">
        <w:t>s</w:t>
      </w:r>
      <w:r w:rsidR="0F9888D1">
        <w:t xml:space="preserve">taff </w:t>
      </w:r>
      <w:r w:rsidR="1CEA6574">
        <w:t xml:space="preserve">note that a single injection point has not been selected for the purposes of the TPP base case assessments. </w:t>
      </w:r>
      <w:r w:rsidR="092B8CB9">
        <w:t xml:space="preserve"> </w:t>
      </w:r>
    </w:p>
    <w:p w14:paraId="4D76A51D" w14:textId="0B4B2FF9" w:rsidR="4F992AFA" w:rsidRDefault="10BF6387" w:rsidP="4F992AFA">
      <w:pPr>
        <w:spacing w:after="120"/>
        <w:ind w:left="0"/>
      </w:pPr>
      <w:r>
        <w:t>CPUC staff recognize that the amount of batter</w:t>
      </w:r>
      <w:r w:rsidR="44F04FC7">
        <w:t>y</w:t>
      </w:r>
      <w:r>
        <w:t xml:space="preserve"> mapping in a base case portfolio is unprecedented. The Working Group agrees that</w:t>
      </w:r>
      <w:r w:rsidR="2E24680A">
        <w:t xml:space="preserve"> in some cases,</w:t>
      </w:r>
      <w:r>
        <w:t xml:space="preserve"> better information is needed to understand the</w:t>
      </w:r>
      <w:r w:rsidR="2F215E3C">
        <w:t xml:space="preserve"> full impacts of the battery mappings before new transmission </w:t>
      </w:r>
      <w:r w:rsidR="06F13700">
        <w:t xml:space="preserve">projects are identified by the CAISO as needed. </w:t>
      </w:r>
      <w:r w:rsidR="09D4F2E9">
        <w:t>Accordingly, the CAISO should consult the CPUC before moving forward with any new policy-driven transmission needs associated specifically with storage mapping in this planning cycle.</w:t>
      </w:r>
      <w:r w:rsidR="02045329">
        <w:t xml:space="preserve"> Additionally, to the extent that storage resources are required for mitigation of transmission issues identified in the CAISO’s 2020-2021 Transmission Plan, </w:t>
      </w:r>
      <w:r w:rsidR="142397D1">
        <w:t>CPUC staff</w:t>
      </w:r>
      <w:r w:rsidR="02045329">
        <w:t xml:space="preserve"> would expect to coordinate with CAISO to enable small adjustments in the CPUC’s mapping of storage resources </w:t>
      </w:r>
      <w:r w:rsidR="0E5901B5">
        <w:t>to allow for the inclusion</w:t>
      </w:r>
      <w:r w:rsidR="04B59EE4">
        <w:t xml:space="preserve"> of this storage</w:t>
      </w:r>
      <w:r w:rsidR="0E5901B5">
        <w:t xml:space="preserve"> in</w:t>
      </w:r>
      <w:r w:rsidR="62CF2D65">
        <w:t xml:space="preserve"> the CAISO’s</w:t>
      </w:r>
      <w:r w:rsidR="02045329">
        <w:t xml:space="preserve"> analysis of these 2021-2022 </w:t>
      </w:r>
      <w:r w:rsidR="004E135D">
        <w:t xml:space="preserve">TPP </w:t>
      </w:r>
      <w:r w:rsidR="02045329">
        <w:t xml:space="preserve">portfolios. </w:t>
      </w:r>
    </w:p>
    <w:p w14:paraId="2B0F78AB" w14:textId="6CB651C1" w:rsidR="4F992AFA" w:rsidRPr="0034444B" w:rsidRDefault="7BBEDAE7" w:rsidP="005169DA">
      <w:pPr>
        <w:pStyle w:val="Heading3"/>
      </w:pPr>
      <w:bookmarkStart w:id="79" w:name="_Toc63669611"/>
      <w:r w:rsidRPr="000115B3">
        <w:t xml:space="preserve">Guidance on the </w:t>
      </w:r>
      <w:r w:rsidR="4E668568" w:rsidRPr="000115B3">
        <w:t>38 MMT Policy-Driven Sensitivity</w:t>
      </w:r>
      <w:r w:rsidRPr="000115B3">
        <w:t xml:space="preserve"> Resource Portfolio</w:t>
      </w:r>
      <w:bookmarkEnd w:id="79"/>
    </w:p>
    <w:p w14:paraId="4CBF15B0" w14:textId="539EB027" w:rsidR="7BBEDAE7" w:rsidRDefault="7BBEDAE7" w:rsidP="4F992AFA">
      <w:pPr>
        <w:spacing w:after="120"/>
        <w:ind w:left="0"/>
      </w:pPr>
      <w:r>
        <w:t xml:space="preserve">As described in greater detail in Section </w:t>
      </w:r>
      <w:r>
        <w:fldChar w:fldCharType="begin"/>
      </w:r>
      <w:r>
        <w:instrText xml:space="preserve"> REF _Ref36100630 \r \h </w:instrText>
      </w:r>
      <w:r>
        <w:fldChar w:fldCharType="separate"/>
      </w:r>
      <w:r w:rsidR="003B7A14">
        <w:t>7</w:t>
      </w:r>
      <w:r>
        <w:fldChar w:fldCharType="end"/>
      </w:r>
      <w:r>
        <w:t xml:space="preserve">, the mapped resources exceed existing transmission limits in the </w:t>
      </w:r>
      <w:r w:rsidR="32CD4794">
        <w:t>38 MMT policy-driven sensitivity portfolio</w:t>
      </w:r>
      <w:r>
        <w:t xml:space="preserve"> </w:t>
      </w:r>
      <w:r w:rsidR="672727AB">
        <w:t>in the following areas</w:t>
      </w:r>
      <w:r>
        <w:t>:</w:t>
      </w:r>
    </w:p>
    <w:p w14:paraId="2A4005C1" w14:textId="118B8103" w:rsidR="7BBEDAE7" w:rsidRDefault="7BBEDAE7" w:rsidP="4F992AFA">
      <w:pPr>
        <w:pStyle w:val="ListParagraph"/>
        <w:numPr>
          <w:ilvl w:val="0"/>
          <w:numId w:val="73"/>
        </w:numPr>
        <w:spacing w:after="120"/>
        <w:rPr>
          <w:rFonts w:asciiTheme="minorHAnsi" w:eastAsiaTheme="minorEastAsia" w:hAnsiTheme="minorHAnsi" w:cstheme="minorBidi"/>
        </w:rPr>
      </w:pPr>
      <w:r>
        <w:t>Southern PG&amp;E: The transmission limit exceedance in this area could be resolved by a transmission upgrade with a CAISO estimated cost of $55 million</w:t>
      </w:r>
      <w:r w:rsidR="000B310D">
        <w:t xml:space="preserve">, which would increase the estimated transmission capability by 1,000 MW. </w:t>
      </w:r>
    </w:p>
    <w:p w14:paraId="39FBC686" w14:textId="2FE0F8B4" w:rsidR="7BBEDAE7" w:rsidRDefault="7BBEDAE7" w:rsidP="4F992AFA">
      <w:pPr>
        <w:pStyle w:val="ListParagraph"/>
        <w:numPr>
          <w:ilvl w:val="0"/>
          <w:numId w:val="73"/>
        </w:numPr>
        <w:spacing w:after="120"/>
        <w:rPr>
          <w:rFonts w:asciiTheme="minorHAnsi" w:eastAsiaTheme="minorEastAsia" w:hAnsiTheme="minorHAnsi" w:cstheme="minorBidi"/>
        </w:rPr>
      </w:pPr>
      <w:r>
        <w:t>Tehachapi: The transmission limit exceedance in this area could be resolved by a transmission upgrade with a CAISO estimated cost of $100 million</w:t>
      </w:r>
      <w:r w:rsidR="000B310D">
        <w:t>, which would increase the estimated transmission capability by 1,000 MW.</w:t>
      </w:r>
    </w:p>
    <w:p w14:paraId="4662306F" w14:textId="6EA52807" w:rsidR="419CB624" w:rsidRDefault="419CB624" w:rsidP="099CA948">
      <w:pPr>
        <w:pStyle w:val="ListParagraph"/>
        <w:numPr>
          <w:ilvl w:val="0"/>
          <w:numId w:val="73"/>
        </w:numPr>
        <w:spacing w:after="120"/>
        <w:rPr>
          <w:rFonts w:asciiTheme="minorHAnsi" w:eastAsiaTheme="minorEastAsia" w:hAnsiTheme="minorHAnsi" w:cstheme="minorBidi"/>
        </w:rPr>
      </w:pPr>
      <w:r>
        <w:lastRenderedPageBreak/>
        <w:t xml:space="preserve">Southern California Desert and Southern Nevada: </w:t>
      </w:r>
      <w:r w:rsidR="7B489882">
        <w:t>the transmission limit exceedance in this area could be resolved by a transmission upgrade with a CAISO est</w:t>
      </w:r>
      <w:r w:rsidR="08005BD3">
        <w:t>imated cost of $2,156 million</w:t>
      </w:r>
      <w:r w:rsidR="000B310D">
        <w:t xml:space="preserve">, which would increase the estimated transmission capability by 2,800 MW. </w:t>
      </w:r>
      <w:r w:rsidR="70ED692D">
        <w:t xml:space="preserve">Preliminary </w:t>
      </w:r>
      <w:r w:rsidR="3E98AF00">
        <w:t xml:space="preserve">results from the 2020-2021 TPP assessment of the </w:t>
      </w:r>
      <w:r w:rsidR="70ED692D">
        <w:t>30 MMT EO sensitivity portfolio indicate that the transmission limits in this area may potential</w:t>
      </w:r>
      <w:r w:rsidR="39334C82">
        <w:t>ly be higher than those originally used as an input to this busbar mapping process.</w:t>
      </w:r>
      <w:r w:rsidR="163E5228">
        <w:t xml:space="preserve"> This area in particular needs to be further assessed by CAISO in order for the transmission implications to be better understood.</w:t>
      </w:r>
    </w:p>
    <w:p w14:paraId="5E111F45" w14:textId="1793F23F" w:rsidR="006432AB" w:rsidRDefault="2E9EF795" w:rsidP="006432AB">
      <w:pPr>
        <w:ind w:left="0"/>
        <w:rPr>
          <w:rFonts w:eastAsia="Garamond" w:cs="Garamond"/>
          <w:color w:val="000000" w:themeColor="text1"/>
        </w:rPr>
      </w:pPr>
      <w:r>
        <w:t>The transmission implications of the 38 MMT portfolio reflect those of the 46 MMT portfolio</w:t>
      </w:r>
      <w:r w:rsidR="43F68522">
        <w:t xml:space="preserve">. In accordance with the </w:t>
      </w:r>
      <w:r w:rsidR="14C67325">
        <w:t xml:space="preserve">methodology </w:t>
      </w:r>
      <w:r w:rsidR="43F68522">
        <w:t>guiding principles</w:t>
      </w:r>
      <w:r w:rsidR="522A790D">
        <w:t xml:space="preserve"> of </w:t>
      </w:r>
      <w:r w:rsidR="44D3C05F">
        <w:t>“</w:t>
      </w:r>
      <w:r w:rsidR="522A790D">
        <w:t>consistency with prior year mapping</w:t>
      </w:r>
      <w:r w:rsidR="660B339E">
        <w:t xml:space="preserve"> results</w:t>
      </w:r>
      <w:r w:rsidR="522A790D">
        <w:t>”</w:t>
      </w:r>
      <w:r w:rsidR="6174F490">
        <w:t xml:space="preserve"> it is best to test a sensitivity portfolio that builds on a base case portfolio. Furthermore, the </w:t>
      </w:r>
      <w:r w:rsidR="4557F281">
        <w:t>batteries in the 46 MMT portfolio have been mapped with consideration of the transmission implications of the 3</w:t>
      </w:r>
      <w:r w:rsidR="0C186FCE">
        <w:t>8 MMT portfolio to ensure a “</w:t>
      </w:r>
      <w:r w:rsidR="47DF6B20">
        <w:t>least</w:t>
      </w:r>
      <w:r w:rsidR="0C186FCE">
        <w:t xml:space="preserve"> regrets” approach. </w:t>
      </w:r>
    </w:p>
    <w:p w14:paraId="6EE294D2" w14:textId="5B4C1AC0" w:rsidR="00B50168" w:rsidRPr="0034444B" w:rsidRDefault="04F3C55D" w:rsidP="005169DA">
      <w:pPr>
        <w:pStyle w:val="Heading3"/>
      </w:pPr>
      <w:bookmarkStart w:id="80" w:name="_Toc63669612"/>
      <w:r w:rsidRPr="000115B3">
        <w:t xml:space="preserve">Guidance on the </w:t>
      </w:r>
      <w:r w:rsidR="10A6378F" w:rsidRPr="000115B3">
        <w:t xml:space="preserve">Offshore Wind </w:t>
      </w:r>
      <w:r w:rsidRPr="000115B3">
        <w:t>Policy-Driven Sensitivity Resource Portfolio</w:t>
      </w:r>
      <w:bookmarkEnd w:id="80"/>
      <w:r w:rsidRPr="000115B3">
        <w:t xml:space="preserve"> </w:t>
      </w:r>
    </w:p>
    <w:p w14:paraId="0452A2F5" w14:textId="564A9E38" w:rsidR="00B50168" w:rsidRPr="00B33880" w:rsidRDefault="04F3C55D" w:rsidP="4F992AFA">
      <w:pPr>
        <w:spacing w:after="120"/>
        <w:ind w:left="0"/>
      </w:pPr>
      <w:r>
        <w:t xml:space="preserve">As described in greater detail in Section </w:t>
      </w:r>
      <w:r w:rsidR="10A6378F">
        <w:fldChar w:fldCharType="begin"/>
      </w:r>
      <w:r w:rsidR="10A6378F">
        <w:instrText xml:space="preserve"> REF _Ref36100630 \r \h </w:instrText>
      </w:r>
      <w:r w:rsidR="10A6378F">
        <w:fldChar w:fldCharType="separate"/>
      </w:r>
      <w:r w:rsidR="003B7A14">
        <w:t>7</w:t>
      </w:r>
      <w:r w:rsidR="10A6378F">
        <w:fldChar w:fldCharType="end"/>
      </w:r>
      <w:r>
        <w:t xml:space="preserve">, the mapped resources exceed existing transmission limits in the offshore wind policy-driven sensitivity portfolio </w:t>
      </w:r>
      <w:r w:rsidR="5ABE99B2">
        <w:t>in the following areas</w:t>
      </w:r>
      <w:r>
        <w:t>:</w:t>
      </w:r>
    </w:p>
    <w:p w14:paraId="3CD81E47" w14:textId="11AB193C" w:rsidR="00B50168" w:rsidRPr="00B33880" w:rsidRDefault="1A3AF32B" w:rsidP="099CA948">
      <w:pPr>
        <w:pStyle w:val="ListParagraph"/>
        <w:numPr>
          <w:ilvl w:val="0"/>
          <w:numId w:val="73"/>
        </w:numPr>
        <w:spacing w:after="120"/>
        <w:rPr>
          <w:rFonts w:asciiTheme="minorHAnsi" w:eastAsiaTheme="minorEastAsia" w:hAnsiTheme="minorHAnsi" w:cstheme="minorBidi"/>
        </w:rPr>
      </w:pPr>
      <w:r>
        <w:t>No</w:t>
      </w:r>
      <w:r w:rsidR="005D72D3">
        <w:t>r</w:t>
      </w:r>
      <w:r>
        <w:t xml:space="preserve">thern California: </w:t>
      </w:r>
      <w:r w:rsidR="07661E8C">
        <w:t>Offshore wind</w:t>
      </w:r>
      <w:r>
        <w:t xml:space="preserve"> resources trigger this transmission limit exceedance. The purpose of this portfolio is for CAISO to study the transmission implications of </w:t>
      </w:r>
      <w:r w:rsidR="2855857A">
        <w:t>this offshore wind mapping.</w:t>
      </w:r>
    </w:p>
    <w:p w14:paraId="634672F9" w14:textId="03D90849" w:rsidR="00B50168" w:rsidRPr="00B33880" w:rsidRDefault="1A3AF32B" w:rsidP="00A24A87">
      <w:pPr>
        <w:pStyle w:val="ListParagraph"/>
        <w:numPr>
          <w:ilvl w:val="0"/>
          <w:numId w:val="73"/>
        </w:numPr>
        <w:spacing w:after="120"/>
      </w:pPr>
      <w:r>
        <w:t>Southern PG&amp;E:</w:t>
      </w:r>
      <w:r w:rsidR="3DC27C7F">
        <w:t xml:space="preserve"> </w:t>
      </w:r>
      <w:r w:rsidR="42DD81A8">
        <w:t>Offshore wind</w:t>
      </w:r>
      <w:r w:rsidR="3DC27C7F">
        <w:t xml:space="preserve"> resources trigger this transmission limit exceedance.</w:t>
      </w:r>
      <w:r w:rsidR="3D3E4A5D">
        <w:t xml:space="preserve"> </w:t>
      </w:r>
      <w:r w:rsidR="69B7D0A6">
        <w:t xml:space="preserve">The </w:t>
      </w:r>
      <w:r w:rsidR="3D3E4A5D">
        <w:t>RESOLVE model called for a transmission upgrade in the Carrizo area which corresponds to a 700 MW upgrade with a CAISO estimate</w:t>
      </w:r>
      <w:r w:rsidR="3ADBC0FD">
        <w:t>d</w:t>
      </w:r>
      <w:r w:rsidR="3D3E4A5D">
        <w:t xml:space="preserve"> cost of $53 million</w:t>
      </w:r>
      <w:r w:rsidR="391584C6">
        <w:t>. This upgrade would partially address the exceedance;</w:t>
      </w:r>
      <w:r w:rsidR="3D3E4A5D">
        <w:t xml:space="preserve"> however, the purpose of this portfolio is for CAISO to study the transmission implications of this offshore wind mapping</w:t>
      </w:r>
      <w:r w:rsidR="2C318B8D">
        <w:t>.</w:t>
      </w:r>
    </w:p>
    <w:p w14:paraId="5CE35A8D" w14:textId="733AC30B" w:rsidR="006432AB" w:rsidRDefault="4BD22F81" w:rsidP="00F040BF">
      <w:pPr>
        <w:spacing w:after="120"/>
        <w:ind w:left="0"/>
        <w:rPr>
          <w:rFonts w:eastAsia="Garamond" w:cs="Garamond"/>
          <w:color w:val="000000" w:themeColor="text1"/>
        </w:rPr>
      </w:pPr>
      <w:r>
        <w:t>These exceedances will allow CAISO to identify</w:t>
      </w:r>
      <w:r w:rsidR="00BEFF23">
        <w:t xml:space="preserve"> transmission limit and </w:t>
      </w:r>
      <w:r w:rsidR="71E51F66">
        <w:t xml:space="preserve">upgrade </w:t>
      </w:r>
      <w:r w:rsidR="00BEFF23">
        <w:t>cost information</w:t>
      </w:r>
      <w:r w:rsidR="6BAFD2FA">
        <w:t>,</w:t>
      </w:r>
      <w:r w:rsidR="00BEFF23">
        <w:t xml:space="preserve"> c</w:t>
      </w:r>
      <w:r w:rsidR="7E9CE2B6">
        <w:t>urrently a deficient</w:t>
      </w:r>
      <w:r w:rsidR="00BEFF23">
        <w:t xml:space="preserve"> input </w:t>
      </w:r>
      <w:r w:rsidR="6ED33C63">
        <w:t xml:space="preserve">in </w:t>
      </w:r>
      <w:r w:rsidR="00BEFF23">
        <w:t xml:space="preserve">RESOLVE </w:t>
      </w:r>
      <w:r w:rsidR="72EDB6D8">
        <w:t>for these specific areas</w:t>
      </w:r>
      <w:r w:rsidR="22D170A1">
        <w:t>,</w:t>
      </w:r>
      <w:r w:rsidR="72EDB6D8">
        <w:t xml:space="preserve"> which </w:t>
      </w:r>
      <w:r w:rsidR="33832DAA">
        <w:t xml:space="preserve">CPUC staff </w:t>
      </w:r>
      <w:r w:rsidR="39F259F0">
        <w:t>is seeking</w:t>
      </w:r>
      <w:r w:rsidR="33832DAA">
        <w:t xml:space="preserve"> to improve.</w:t>
      </w:r>
      <w:r w:rsidR="72EDB6D8">
        <w:t xml:space="preserve"> </w:t>
      </w:r>
      <w:r w:rsidR="5BE5B3FF">
        <w:t xml:space="preserve">By transmitting this portfolio for study in TPP, the CPUC is not making offshore wind-specific policy. </w:t>
      </w:r>
      <w:r w:rsidR="6D0FDF01">
        <w:t xml:space="preserve">For example, the </w:t>
      </w:r>
      <w:r w:rsidR="321B5A97">
        <w:t xml:space="preserve">CPUC is not requesting that </w:t>
      </w:r>
      <w:r w:rsidR="6D0FDF01">
        <w:t xml:space="preserve">CAISO </w:t>
      </w:r>
      <w:r w:rsidR="5BD77AE5">
        <w:t xml:space="preserve">conduct the studies with an assumption </w:t>
      </w:r>
      <w:r w:rsidR="6D0FDF01">
        <w:t>that offshore wind has preferred access to the transmission deliverability that will eventually become available after the retirement of Diabl</w:t>
      </w:r>
      <w:r w:rsidR="52C8E7FE">
        <w:t>o Canyon Power Plant.</w:t>
      </w:r>
      <w:r w:rsidR="1418474E">
        <w:t xml:space="preserve"> This matter, and other policy considerations associated with the development of offshore wind</w:t>
      </w:r>
      <w:r w:rsidR="5B51E33F">
        <w:t xml:space="preserve">, are outside the objectives and scope of this </w:t>
      </w:r>
      <w:r w:rsidR="0A0B4261">
        <w:t xml:space="preserve">specific </w:t>
      </w:r>
      <w:r w:rsidR="5B51E33F">
        <w:t>study.</w:t>
      </w:r>
    </w:p>
    <w:p w14:paraId="01A0BD07" w14:textId="00B6E9F7" w:rsidR="006432AB" w:rsidRDefault="7EA98AD5" w:rsidP="00EF236D">
      <w:pPr>
        <w:ind w:left="0"/>
      </w:pPr>
      <w:r>
        <w:t xml:space="preserve">The CAISO will use the </w:t>
      </w:r>
      <w:r w:rsidR="003F1631">
        <w:t xml:space="preserve">transmitted offshore wind policy-driven sensitivity </w:t>
      </w:r>
      <w:r>
        <w:t xml:space="preserve">portfolio to conduct the policy-driven sensitivity assessments including a power flow study, deliverability assessment, and production cost modeling of the sensitivity portfolio including 8.3 GW of offshore wind resources (Humboldt, Diablo Canyon and Morro Bay). </w:t>
      </w:r>
    </w:p>
    <w:p w14:paraId="043A6859" w14:textId="4FC1D9FA" w:rsidR="003F1631" w:rsidRDefault="003F1631" w:rsidP="00EF236D">
      <w:pPr>
        <w:ind w:left="0"/>
      </w:pPr>
    </w:p>
    <w:p w14:paraId="170D3FAB" w14:textId="054DC7E5" w:rsidR="003F1631" w:rsidRDefault="003F1631" w:rsidP="003F1631">
      <w:pPr>
        <w:ind w:left="0"/>
      </w:pPr>
      <w:r>
        <w:t>The expected product is an updated transmission capability limits and upgrade cost estimate table, including:</w:t>
      </w:r>
    </w:p>
    <w:p w14:paraId="7250304D" w14:textId="77777777" w:rsidR="003F1631" w:rsidRDefault="003F1631" w:rsidP="003F1631">
      <w:pPr>
        <w:pStyle w:val="ListParagraph"/>
        <w:numPr>
          <w:ilvl w:val="0"/>
          <w:numId w:val="92"/>
        </w:numPr>
        <w:ind w:left="360"/>
        <w:contextualSpacing/>
      </w:pPr>
      <w:r>
        <w:t>Updated transmission capability available in existing transmission zones.</w:t>
      </w:r>
    </w:p>
    <w:p w14:paraId="0959E81F" w14:textId="77777777" w:rsidR="003F1631" w:rsidRDefault="003F1631" w:rsidP="003F1631">
      <w:pPr>
        <w:pStyle w:val="ListParagraph"/>
        <w:numPr>
          <w:ilvl w:val="0"/>
          <w:numId w:val="92"/>
        </w:numPr>
        <w:ind w:left="360"/>
        <w:contextualSpacing/>
      </w:pPr>
      <w:r>
        <w:t xml:space="preserve">New transmission zones where appropriate and transmission capability estimates for the new transmission zones. </w:t>
      </w:r>
    </w:p>
    <w:p w14:paraId="4A2DCAF1" w14:textId="707EB4C4" w:rsidR="00EF236D" w:rsidRDefault="003F1631" w:rsidP="00A24A87">
      <w:pPr>
        <w:pStyle w:val="ListParagraph"/>
        <w:numPr>
          <w:ilvl w:val="0"/>
          <w:numId w:val="92"/>
        </w:numPr>
        <w:spacing w:after="120"/>
        <w:ind w:left="360"/>
        <w:contextualSpacing/>
      </w:pPr>
      <w:r>
        <w:lastRenderedPageBreak/>
        <w:t xml:space="preserve">The cost of upgrading transmission to accommodate the 8.3 GW in the </w:t>
      </w:r>
      <w:r w:rsidR="50ADE3CA">
        <w:t>Offshore wind</w:t>
      </w:r>
      <w:r>
        <w:t xml:space="preserve"> portfolio with the potential to increase to up to 21.1 GW offshore wind capacity as a part of the outlook assessment.</w:t>
      </w:r>
    </w:p>
    <w:p w14:paraId="09D08E4D" w14:textId="5ABCE15E" w:rsidR="006432AB" w:rsidRDefault="7EA98AD5" w:rsidP="00A24A87">
      <w:pPr>
        <w:spacing w:after="120"/>
        <w:ind w:left="0"/>
      </w:pPr>
      <w:r>
        <w:t xml:space="preserve">In addition to the sensitivity assessment, the CAISO will conduct an “outlook” assessment focusing on a longer timeframe to accommodate the remaining offshore wind resource potential including 6.2 GW at Cape Mendocino and 6.6 GW at Del Norte, totaling 21.1 GW. This outlook assessment will aim to ensure that transmission development for early offshore wind resources is “least regrets”. The objective is to identify how transmission development can be planned within the 2031 timeframe to accommodate further potential offshore wind development in the 2045 timeframe. </w:t>
      </w:r>
    </w:p>
    <w:p w14:paraId="23A48B7A" w14:textId="2BB0FAD5" w:rsidR="00AB35E5" w:rsidRDefault="006432AB" w:rsidP="00BB63C7">
      <w:pPr>
        <w:spacing w:after="120"/>
        <w:ind w:left="0"/>
      </w:pPr>
      <w:r>
        <w:t xml:space="preserve">Load forecasts and generation beyond 2031, the tenth study year, are more uncertain and outside of the scope of the 2021-2022 TPP. For this reason, the outlook assessment will not include deliverability assessment or production cost modeling. In order to identify a “least regrets” transmission plan for offshore wind, it will be important to ensure that transmission development to accommodate early offshore wind resources is not undersized for future offshore wind development. Although the Central Coast will be included in the outlook </w:t>
      </w:r>
      <w:r w:rsidR="52DD1C3D">
        <w:t>assessment</w:t>
      </w:r>
      <w:r>
        <w:t xml:space="preserve">, the North Coast is expected to be the focus due to the inability of the existing transmission system to deliver the significant offshore wind resources there to CAISO’s main load centers. </w:t>
      </w:r>
    </w:p>
    <w:p w14:paraId="14A4A35F" w14:textId="3F937FB1" w:rsidR="006856C8" w:rsidRPr="001D72D3" w:rsidRDefault="0DAE5427" w:rsidP="000115B3">
      <w:pPr>
        <w:pStyle w:val="Heading3"/>
      </w:pPr>
      <w:bookmarkStart w:id="81" w:name="_Toc63669613"/>
      <w:r w:rsidRPr="000115B3">
        <w:t>Busbar Mapping</w:t>
      </w:r>
      <w:r w:rsidR="184F51AE" w:rsidRPr="000115B3">
        <w:t xml:space="preserve"> for </w:t>
      </w:r>
      <w:r w:rsidR="14DB97E9" w:rsidRPr="000115B3">
        <w:t>202</w:t>
      </w:r>
      <w:r w:rsidR="60D4C262" w:rsidRPr="0034444B">
        <w:t>2</w:t>
      </w:r>
      <w:r w:rsidR="14DB97E9" w:rsidRPr="0034444B">
        <w:t>-2</w:t>
      </w:r>
      <w:r w:rsidR="4AB09383" w:rsidRPr="00C94E39">
        <w:t>3</w:t>
      </w:r>
      <w:r w:rsidR="694EE229" w:rsidRPr="001D72D3">
        <w:t xml:space="preserve"> TPP</w:t>
      </w:r>
      <w:r w:rsidR="184F51AE" w:rsidRPr="001D72D3">
        <w:t xml:space="preserve"> and Future Cycles</w:t>
      </w:r>
      <w:bookmarkEnd w:id="81"/>
    </w:p>
    <w:p w14:paraId="58A874EB" w14:textId="5F2AF7E2" w:rsidR="00CB2B7B" w:rsidRDefault="00CB2B7B" w:rsidP="00BB63C7">
      <w:pPr>
        <w:spacing w:after="120"/>
        <w:ind w:left="0"/>
      </w:pPr>
      <w:r>
        <w:t xml:space="preserve">Staff appreciates the suggestions from stakeholders in response to the questions posed in the </w:t>
      </w:r>
      <w:r w:rsidR="236AA2DF">
        <w:t xml:space="preserve">October 2020 </w:t>
      </w:r>
      <w:r w:rsidR="00A12BEE">
        <w:t>r</w:t>
      </w:r>
      <w:r w:rsidR="236AA2DF">
        <w:t>uling</w:t>
      </w:r>
      <w:r w:rsidR="155FED8B">
        <w:t xml:space="preserve"> as well as the comments submitted in response to the January </w:t>
      </w:r>
      <w:r w:rsidR="00646B3C">
        <w:t>2021</w:t>
      </w:r>
      <w:r w:rsidR="155FED8B">
        <w:t xml:space="preserve"> Proposed Decision</w:t>
      </w:r>
      <w:r w:rsidDel="00A24A87">
        <w:t>.</w:t>
      </w:r>
      <w:r>
        <w:t xml:space="preserve"> </w:t>
      </w:r>
      <w:r w:rsidR="2E4BBBE8">
        <w:t xml:space="preserve">Anything not already addressed </w:t>
      </w:r>
      <w:r w:rsidR="00A24A87">
        <w:t>in the transmittal for the</w:t>
      </w:r>
      <w:r w:rsidR="2E4BBBE8">
        <w:t xml:space="preserve"> 2021-2022 TPP</w:t>
      </w:r>
      <w:r w:rsidR="00C14DB8">
        <w:t xml:space="preserve"> </w:t>
      </w:r>
      <w:r w:rsidR="7F3974A8">
        <w:t xml:space="preserve">will be </w:t>
      </w:r>
      <w:r w:rsidR="00C14DB8">
        <w:t>a priorit</w:t>
      </w:r>
      <w:r w:rsidR="634F9F62">
        <w:t>y</w:t>
      </w:r>
      <w:r w:rsidR="00C14DB8">
        <w:t xml:space="preserve"> for consideration in the draft workplan for </w:t>
      </w:r>
      <w:r w:rsidR="00750293">
        <w:t>202</w:t>
      </w:r>
      <w:r w:rsidR="4D322D2A">
        <w:t>2</w:t>
      </w:r>
      <w:r w:rsidR="00750293">
        <w:t>-2</w:t>
      </w:r>
      <w:r w:rsidR="0204C6CE">
        <w:t>3</w:t>
      </w:r>
      <w:r w:rsidR="00750293">
        <w:t xml:space="preserve"> TPP </w:t>
      </w:r>
      <w:r w:rsidR="00C14DB8">
        <w:t>busbar mapping</w:t>
      </w:r>
      <w:r w:rsidR="00341F54">
        <w:t>.</w:t>
      </w:r>
      <w:r w:rsidR="503CE8A3">
        <w:t xml:space="preserve"> Furthermore, CPUC staff will </w:t>
      </w:r>
      <w:r w:rsidR="115DCAD5">
        <w:t>strive</w:t>
      </w:r>
      <w:r w:rsidR="503CE8A3">
        <w:t xml:space="preserve"> to resolve the process alignment</w:t>
      </w:r>
      <w:r w:rsidR="00A24A87">
        <w:t xml:space="preserve"> and timing</w:t>
      </w:r>
      <w:r w:rsidR="503CE8A3">
        <w:t xml:space="preserve"> issues that make it challenging to </w:t>
      </w:r>
      <w:r w:rsidR="23C5A44F">
        <w:t xml:space="preserve">inform resource </w:t>
      </w:r>
      <w:r w:rsidR="00A24A87">
        <w:t xml:space="preserve">busbar mapping for an upcoming TPP with the results of the ongoing TPP. </w:t>
      </w:r>
      <w:r w:rsidR="23C5A44F">
        <w:t xml:space="preserve"> </w:t>
      </w:r>
    </w:p>
    <w:p w14:paraId="050DB197" w14:textId="07FAD733" w:rsidR="00C14DB8" w:rsidRDefault="00C14DB8" w:rsidP="00BB63C7">
      <w:pPr>
        <w:spacing w:after="120"/>
        <w:ind w:left="0"/>
      </w:pPr>
    </w:p>
    <w:p w14:paraId="338A3A11" w14:textId="3D1E7135" w:rsidR="00C819DD" w:rsidRDefault="00C819DD" w:rsidP="00A24A87">
      <w:pPr>
        <w:spacing w:after="160" w:line="259" w:lineRule="auto"/>
        <w:ind w:left="0"/>
      </w:pPr>
      <w:r>
        <w:br w:type="page"/>
      </w:r>
    </w:p>
    <w:p w14:paraId="1AD500B0" w14:textId="07F30C0D" w:rsidR="00AF5E65" w:rsidRDefault="00AF5E65" w:rsidP="00DD54CE">
      <w:pPr>
        <w:pStyle w:val="Heading2"/>
      </w:pPr>
      <w:bookmarkStart w:id="82" w:name="_Ref59649402"/>
      <w:bookmarkStart w:id="83" w:name="_Ref59649423"/>
      <w:bookmarkStart w:id="84" w:name="_Toc63669614"/>
      <w:bookmarkStart w:id="85" w:name="_Hlk33080741"/>
      <w:r>
        <w:lastRenderedPageBreak/>
        <w:t>Appendices</w:t>
      </w:r>
      <w:bookmarkEnd w:id="82"/>
      <w:bookmarkEnd w:id="83"/>
      <w:bookmarkEnd w:id="84"/>
    </w:p>
    <w:p w14:paraId="12220101" w14:textId="6A699A1A" w:rsidR="00AF5E65" w:rsidRDefault="3D76AECE" w:rsidP="005169DA">
      <w:pPr>
        <w:pStyle w:val="Heading5"/>
      </w:pPr>
      <w:bookmarkStart w:id="86" w:name="_Ref59457393"/>
      <w:bookmarkStart w:id="87" w:name="_Ref32585864"/>
      <w:bookmarkStart w:id="88" w:name="_Ref32586241"/>
      <w:bookmarkStart w:id="89" w:name="_Hlk32938200"/>
      <w:r>
        <w:t>Methodology</w:t>
      </w:r>
      <w:r w:rsidR="006D2CF0">
        <w:t xml:space="preserve"> for Resource-to</w:t>
      </w:r>
      <w:r w:rsidR="00486BB4">
        <w:t>-Busbar Mapping &amp; Assumption for the 2021-2022 TPP</w:t>
      </w:r>
      <w:bookmarkEnd w:id="86"/>
      <w:r w:rsidR="00102D2F">
        <w:t xml:space="preserve"> </w:t>
      </w:r>
      <w:bookmarkEnd w:id="87"/>
      <w:bookmarkEnd w:id="88"/>
    </w:p>
    <w:bookmarkEnd w:id="89"/>
    <w:p w14:paraId="0D88ED18" w14:textId="00C41DE7" w:rsidR="00590484" w:rsidRPr="00590484" w:rsidRDefault="579DC00C" w:rsidP="00590484">
      <w:pPr>
        <w:ind w:left="1080"/>
      </w:pPr>
      <w:r>
        <w:t>A</w:t>
      </w:r>
      <w:r w:rsidR="00231B9B">
        <w:t xml:space="preserve">vailable at </w:t>
      </w:r>
      <w:r w:rsidR="00FE4CB4">
        <w:t xml:space="preserve">the CPUC’s </w:t>
      </w:r>
      <w:r w:rsidR="002C57A2">
        <w:t>“</w:t>
      </w:r>
      <w:r w:rsidR="00590484">
        <w:t>Portfolios &amp; Modeling Assumptions for the 2021-2022 Transmission Planning Process</w:t>
      </w:r>
      <w:r w:rsidR="002C57A2">
        <w:t xml:space="preserve">” </w:t>
      </w:r>
    </w:p>
    <w:p w14:paraId="083AA1AE" w14:textId="526456CD" w:rsidR="00E53D04" w:rsidRDefault="007E2359" w:rsidP="00C35D6F">
      <w:pPr>
        <w:ind w:left="1080"/>
      </w:pPr>
      <w:r>
        <w:t>webpage</w:t>
      </w:r>
      <w:r w:rsidR="00231B9B">
        <w:t xml:space="preserve">: </w:t>
      </w:r>
      <w:hyperlink r:id="rId41" w:history="1">
        <w:r w:rsidR="00FB2D56" w:rsidRPr="4F992AFA">
          <w:rPr>
            <w:rStyle w:val="Hyperlink"/>
          </w:rPr>
          <w:t>https://www.cpuc.ca.gov/General.aspx?id=6442466555</w:t>
        </w:r>
      </w:hyperlink>
      <w:r w:rsidR="548F2401">
        <w:t xml:space="preserve"> </w:t>
      </w:r>
      <w:r w:rsidR="00FB2D56">
        <w:t xml:space="preserve"> </w:t>
      </w:r>
    </w:p>
    <w:p w14:paraId="64D5E008" w14:textId="04569263" w:rsidR="00732627" w:rsidRDefault="00732627" w:rsidP="000E015A">
      <w:pPr>
        <w:ind w:left="1080"/>
      </w:pPr>
    </w:p>
    <w:p w14:paraId="23A1E577" w14:textId="4E90F21B" w:rsidR="00AF5E65" w:rsidRDefault="1E27F94F" w:rsidP="003B2FA8">
      <w:pPr>
        <w:pStyle w:val="Heading5"/>
      </w:pPr>
      <w:bookmarkStart w:id="90" w:name="_Ref32839915"/>
      <w:bookmarkStart w:id="91" w:name="_Ref33081787"/>
      <w:bookmarkStart w:id="92" w:name="_Hlk32938280"/>
      <w:r>
        <w:t xml:space="preserve">CEC Busbar Mapping Results for </w:t>
      </w:r>
      <w:r w:rsidR="652AEBA1">
        <w:t>Non-Battery</w:t>
      </w:r>
      <w:r w:rsidR="690751DA">
        <w:t xml:space="preserve"> Resources</w:t>
      </w:r>
      <w:r w:rsidR="062D3F94">
        <w:t xml:space="preserve"> – </w:t>
      </w:r>
      <w:r w:rsidR="34C0FDC6">
        <w:t>46 MMT</w:t>
      </w:r>
      <w:r w:rsidR="224BC0C7">
        <w:t xml:space="preserve"> with 2019 IEPR base case</w:t>
      </w:r>
      <w:r w:rsidR="31589FD1">
        <w:t xml:space="preserve"> portfolio</w:t>
      </w:r>
      <w:r w:rsidR="7B0E31AC">
        <w:t xml:space="preserve">, </w:t>
      </w:r>
      <w:r w:rsidR="204B3EF9">
        <w:t xml:space="preserve">38 MMT with 2019 IEPR </w:t>
      </w:r>
      <w:r w:rsidR="74A11668">
        <w:t xml:space="preserve">policy-driven sensitivity </w:t>
      </w:r>
      <w:r w:rsidR="046217C4">
        <w:t>p</w:t>
      </w:r>
      <w:r w:rsidR="204B3EF9">
        <w:t xml:space="preserve">ortfolio, Offshore </w:t>
      </w:r>
      <w:r w:rsidR="618E5FA9">
        <w:t>w</w:t>
      </w:r>
      <w:r w:rsidR="204B3EF9">
        <w:t xml:space="preserve">ind </w:t>
      </w:r>
      <w:r w:rsidR="3A6732B8">
        <w:t xml:space="preserve">policy-driven </w:t>
      </w:r>
      <w:r w:rsidR="53E00FBB">
        <w:t>s</w:t>
      </w:r>
      <w:r w:rsidR="204B3EF9">
        <w:t xml:space="preserve">ensitivity </w:t>
      </w:r>
      <w:r w:rsidR="3317F177">
        <w:t>portfolio</w:t>
      </w:r>
      <w:bookmarkEnd w:id="90"/>
      <w:bookmarkEnd w:id="91"/>
    </w:p>
    <w:bookmarkEnd w:id="92"/>
    <w:p w14:paraId="7385DFB7" w14:textId="53F88BDC" w:rsidR="008E670F" w:rsidRPr="008E670F" w:rsidRDefault="008E670F">
      <w:pPr>
        <w:ind w:left="1080"/>
      </w:pPr>
      <w:r>
        <w:t xml:space="preserve">Data Basin link to Excel </w:t>
      </w:r>
      <w:r w:rsidR="00EA4B6C">
        <w:t>file</w:t>
      </w:r>
      <w:r w:rsidR="00D978F4">
        <w:t>s</w:t>
      </w:r>
      <w:r>
        <w:t>:</w:t>
      </w:r>
      <w:r w:rsidR="59C0CF78">
        <w:t xml:space="preserve"> </w:t>
      </w:r>
      <w:r w:rsidR="7D70416A">
        <w:t xml:space="preserve"> </w:t>
      </w:r>
      <w:hyperlink r:id="rId42" w:anchor="expand=208848" w:history="1">
        <w:r w:rsidR="7D70416A" w:rsidRPr="4F992AFA">
          <w:rPr>
            <w:rStyle w:val="Hyperlink"/>
          </w:rPr>
          <w:t>https://caenergy.databasin.org/galleries/eab0ce3a5be447ce928a310e80c65c8d#expand=208848</w:t>
        </w:r>
      </w:hyperlink>
      <w:r w:rsidR="7D70416A">
        <w:t xml:space="preserve"> </w:t>
      </w:r>
    </w:p>
    <w:p w14:paraId="1F5A7AE5" w14:textId="77777777" w:rsidR="00732627" w:rsidRPr="00732627" w:rsidRDefault="00732627" w:rsidP="00732627">
      <w:bookmarkStart w:id="93" w:name="_Ref36208465"/>
    </w:p>
    <w:p w14:paraId="3002F9E3" w14:textId="0B08E7B9" w:rsidR="00CD2824" w:rsidRDefault="0642D13C" w:rsidP="003B2FA8">
      <w:pPr>
        <w:pStyle w:val="Heading5"/>
      </w:pPr>
      <w:bookmarkStart w:id="94" w:name="_Ref59457313"/>
      <w:bookmarkStart w:id="95" w:name="_Hlk32938399"/>
      <w:bookmarkEnd w:id="93"/>
      <w:r>
        <w:t>Busbar</w:t>
      </w:r>
      <w:r w:rsidR="371F9968">
        <w:t xml:space="preserve"> </w:t>
      </w:r>
      <w:r w:rsidR="3C0100FA">
        <w:t>Mapping Results</w:t>
      </w:r>
      <w:r w:rsidR="33D233ED">
        <w:t xml:space="preserve"> </w:t>
      </w:r>
      <w:r w:rsidR="74224D76">
        <w:t>for Battery Storage</w:t>
      </w:r>
      <w:r w:rsidR="2FE69CF5">
        <w:t xml:space="preserve"> </w:t>
      </w:r>
      <w:r w:rsidR="581D7461">
        <w:t xml:space="preserve">– </w:t>
      </w:r>
      <w:r w:rsidR="1EA90EC7">
        <w:t>46 MMT with 2019 IEPR base case portfolio</w:t>
      </w:r>
      <w:r w:rsidR="1B986A8B">
        <w:t>, 38 MMT with 2019 IEPR policy-driven sensitivity portfolio, Offshore wind policy-driven sensitivity portfolio</w:t>
      </w:r>
      <w:bookmarkEnd w:id="94"/>
    </w:p>
    <w:p w14:paraId="2EFBB4FC" w14:textId="5832D964" w:rsidR="003F57DC" w:rsidRPr="00590484" w:rsidRDefault="24E0A455" w:rsidP="003F57DC">
      <w:pPr>
        <w:ind w:left="1080"/>
      </w:pPr>
      <w:r>
        <w:t>W</w:t>
      </w:r>
      <w:r w:rsidR="3E862332">
        <w:t xml:space="preserve">orkbook </w:t>
      </w:r>
      <w:r w:rsidR="003F57DC">
        <w:t xml:space="preserve">available at the CPUC’s “Portfolios &amp; Modeling Assumptions for the 2021-2022 Transmission Planning Process” </w:t>
      </w:r>
    </w:p>
    <w:p w14:paraId="095AF913" w14:textId="5AF0BC63" w:rsidR="003F57DC" w:rsidRDefault="003F57DC" w:rsidP="003F57DC">
      <w:pPr>
        <w:ind w:left="1080"/>
      </w:pPr>
      <w:r>
        <w:t xml:space="preserve">webpage: </w:t>
      </w:r>
      <w:hyperlink r:id="rId43" w:history="1">
        <w:r w:rsidRPr="4F992AFA">
          <w:rPr>
            <w:rStyle w:val="Hyperlink"/>
          </w:rPr>
          <w:t>https://www.cpuc.ca.gov/General.aspx?id=6442466555</w:t>
        </w:r>
      </w:hyperlink>
      <w:r w:rsidR="1A5E147D">
        <w:t xml:space="preserve"> </w:t>
      </w:r>
      <w:r>
        <w:t xml:space="preserve"> </w:t>
      </w:r>
    </w:p>
    <w:p w14:paraId="14086451" w14:textId="7E05C59F" w:rsidR="002517B4" w:rsidRPr="00C819DD" w:rsidRDefault="002517B4" w:rsidP="5CA33C60">
      <w:pPr>
        <w:ind w:left="1080"/>
      </w:pPr>
    </w:p>
    <w:p w14:paraId="5EAA696F" w14:textId="53E9C223" w:rsidR="00645418" w:rsidRDefault="690751DA" w:rsidP="003B2FA8">
      <w:pPr>
        <w:pStyle w:val="Heading5"/>
      </w:pPr>
      <w:bookmarkStart w:id="96" w:name="_Ref36122216"/>
      <w:r>
        <w:t xml:space="preserve">Busbar Mapping </w:t>
      </w:r>
      <w:r w:rsidR="2E0F9BF7">
        <w:t xml:space="preserve">Dashboard </w:t>
      </w:r>
      <w:r w:rsidR="1B361F74">
        <w:t xml:space="preserve">workbook </w:t>
      </w:r>
      <w:r w:rsidR="5AD8E9D7">
        <w:t>–</w:t>
      </w:r>
      <w:r w:rsidR="062D3F94">
        <w:t xml:space="preserve"> </w:t>
      </w:r>
      <w:r w:rsidR="39BB675D">
        <w:t>46 MMT with 2019 IEPR base case</w:t>
      </w:r>
      <w:r w:rsidR="005D72D3">
        <w:t xml:space="preserve"> portfolio</w:t>
      </w:r>
      <w:bookmarkEnd w:id="96"/>
    </w:p>
    <w:bookmarkEnd w:id="95"/>
    <w:p w14:paraId="78BCB562" w14:textId="11627FCB" w:rsidR="278ACE02" w:rsidRDefault="278ACE02" w:rsidP="5CA33C60">
      <w:pPr>
        <w:ind w:left="1080"/>
      </w:pPr>
      <w:r>
        <w:t xml:space="preserve">Workbook available at the CPUC’s “Portfolios &amp; Modeling Assumptions for the 2021-2022 Transmission Planning Process” </w:t>
      </w:r>
    </w:p>
    <w:p w14:paraId="212F0AD7" w14:textId="0E2608F0" w:rsidR="278ACE02" w:rsidRDefault="278ACE02" w:rsidP="5CA33C60">
      <w:pPr>
        <w:ind w:left="1080"/>
      </w:pPr>
      <w:r>
        <w:t xml:space="preserve">webpage: </w:t>
      </w:r>
      <w:hyperlink r:id="rId44" w:history="1">
        <w:r w:rsidRPr="4F992AFA">
          <w:rPr>
            <w:rStyle w:val="Hyperlink"/>
          </w:rPr>
          <w:t>https://www.cpuc.ca.gov/General.aspx?id=6442466555</w:t>
        </w:r>
      </w:hyperlink>
      <w:r w:rsidR="68A47751">
        <w:t xml:space="preserve"> </w:t>
      </w:r>
    </w:p>
    <w:p w14:paraId="6FA21AB5" w14:textId="689EA421" w:rsidR="00577970" w:rsidRDefault="00577970" w:rsidP="00784E87">
      <w:pPr>
        <w:ind w:left="0"/>
      </w:pPr>
    </w:p>
    <w:p w14:paraId="18A26B2C" w14:textId="5849BDC1" w:rsidR="006D02BE" w:rsidRDefault="5AD8E9D7" w:rsidP="003B2FA8">
      <w:pPr>
        <w:pStyle w:val="Heading5"/>
      </w:pPr>
      <w:bookmarkStart w:id="97" w:name="_Ref36123900"/>
      <w:bookmarkStart w:id="98" w:name="_Ref33081977"/>
      <w:bookmarkStart w:id="99" w:name="_Ref32586162"/>
      <w:r>
        <w:t xml:space="preserve">Busbar Mapping Dashboard workbook – </w:t>
      </w:r>
      <w:r w:rsidR="574756D0">
        <w:t>38 MMT with 2019 IEPR Portfolio</w:t>
      </w:r>
      <w:bookmarkEnd w:id="97"/>
    </w:p>
    <w:p w14:paraId="0D2D3CA5" w14:textId="700CDB4F" w:rsidR="64B1DE6D" w:rsidRDefault="64B1DE6D" w:rsidP="5CA33C60">
      <w:pPr>
        <w:ind w:left="1080"/>
      </w:pPr>
      <w:r>
        <w:t xml:space="preserve">Workbook available at the CPUC’s “Portfolios &amp; Modeling Assumptions for the 2021-2022 Transmission Planning Process” </w:t>
      </w:r>
    </w:p>
    <w:p w14:paraId="7D47A957" w14:textId="280FE7DC" w:rsidR="64B1DE6D" w:rsidRDefault="64B1DE6D" w:rsidP="5CA33C60">
      <w:pPr>
        <w:ind w:left="1080"/>
      </w:pPr>
      <w:r>
        <w:t xml:space="preserve">webpage: </w:t>
      </w:r>
      <w:hyperlink r:id="rId45" w:history="1">
        <w:r w:rsidRPr="4F992AFA">
          <w:rPr>
            <w:rStyle w:val="Hyperlink"/>
          </w:rPr>
          <w:t>https://www.cpuc.ca.gov/General.aspx?id=6442466555</w:t>
        </w:r>
      </w:hyperlink>
      <w:r w:rsidR="7E001870">
        <w:t xml:space="preserve"> </w:t>
      </w:r>
    </w:p>
    <w:p w14:paraId="266F9FDC" w14:textId="76897E56" w:rsidR="7956503B" w:rsidRDefault="7956503B" w:rsidP="00784E87">
      <w:pPr>
        <w:ind w:left="0"/>
      </w:pPr>
    </w:p>
    <w:p w14:paraId="32B9F988" w14:textId="38465318" w:rsidR="6D3B076D" w:rsidRDefault="6D3B076D">
      <w:pPr>
        <w:pStyle w:val="Heading5"/>
      </w:pPr>
      <w:bookmarkStart w:id="100" w:name="_Ref60744033"/>
      <w:bookmarkStart w:id="101" w:name="_Ref60660542"/>
      <w:r>
        <w:t xml:space="preserve">Busbar Mapping Dashboard Workbook </w:t>
      </w:r>
      <w:r w:rsidR="005D72D3">
        <w:t xml:space="preserve">– </w:t>
      </w:r>
      <w:r>
        <w:t>Offshore Wind Sensitivity Portfolio</w:t>
      </w:r>
      <w:bookmarkEnd w:id="100"/>
      <w:r>
        <w:t xml:space="preserve"> </w:t>
      </w:r>
      <w:bookmarkEnd w:id="101"/>
    </w:p>
    <w:p w14:paraId="4BBD5CAE" w14:textId="69A547B0" w:rsidR="7D0D868B" w:rsidRDefault="7D0D868B" w:rsidP="5CA33C60">
      <w:pPr>
        <w:ind w:left="1080"/>
      </w:pPr>
      <w:r>
        <w:t xml:space="preserve">Workbook available at the CPUC’s “Portfolios &amp; Modeling Assumptions for the 2021-2022 Transmission Planning Process” </w:t>
      </w:r>
    </w:p>
    <w:p w14:paraId="0CB5BDA8" w14:textId="794BB24E" w:rsidR="7D0D868B" w:rsidRDefault="7D0D868B" w:rsidP="5CA33C60">
      <w:pPr>
        <w:ind w:left="1080"/>
      </w:pPr>
      <w:r>
        <w:t xml:space="preserve">webpage: </w:t>
      </w:r>
      <w:hyperlink r:id="rId46" w:history="1">
        <w:r w:rsidRPr="4F992AFA">
          <w:rPr>
            <w:rStyle w:val="Hyperlink"/>
          </w:rPr>
          <w:t>https://www.cpuc.ca.gov/General.aspx?id=6442466555</w:t>
        </w:r>
      </w:hyperlink>
      <w:r w:rsidR="1B1349D9">
        <w:t xml:space="preserve"> </w:t>
      </w:r>
    </w:p>
    <w:p w14:paraId="549CA63E" w14:textId="77777777" w:rsidR="006D02BE" w:rsidRDefault="006D02BE" w:rsidP="00784E87">
      <w:pPr>
        <w:ind w:left="0"/>
      </w:pPr>
    </w:p>
    <w:p w14:paraId="524AF42A" w14:textId="2EB0ED55" w:rsidR="005A48DC" w:rsidRDefault="463AEE15" w:rsidP="003B2FA8">
      <w:pPr>
        <w:pStyle w:val="Heading5"/>
      </w:pPr>
      <w:bookmarkStart w:id="102" w:name="_Ref36486898"/>
      <w:r>
        <w:t>20</w:t>
      </w:r>
      <w:r w:rsidR="62A59675">
        <w:t>20</w:t>
      </w:r>
      <w:r w:rsidR="62BA1C30">
        <w:t xml:space="preserve"> IRP Baseline</w:t>
      </w:r>
      <w:r w:rsidR="4D1D188E">
        <w:t xml:space="preserve"> Reconciliation</w:t>
      </w:r>
      <w:r w:rsidR="63132C97">
        <w:t xml:space="preserve"> (</w:t>
      </w:r>
      <w:r w:rsidR="3B6A00E6">
        <w:t xml:space="preserve">for </w:t>
      </w:r>
      <w:r w:rsidR="63132C97">
        <w:t>non-</w:t>
      </w:r>
      <w:r w:rsidR="161A54AF">
        <w:t xml:space="preserve">battery </w:t>
      </w:r>
      <w:r w:rsidR="5545B987">
        <w:t xml:space="preserve">and battery mapped </w:t>
      </w:r>
      <w:r w:rsidR="63132C97">
        <w:t>resources)</w:t>
      </w:r>
      <w:bookmarkEnd w:id="98"/>
      <w:bookmarkEnd w:id="102"/>
    </w:p>
    <w:p w14:paraId="1D39A53B" w14:textId="317F8184" w:rsidR="003C6781" w:rsidRDefault="6DC0DEF4" w:rsidP="003C6781">
      <w:pPr>
        <w:ind w:left="1080"/>
      </w:pPr>
      <w:r>
        <w:t xml:space="preserve">Workbook </w:t>
      </w:r>
      <w:r w:rsidR="5EF24036">
        <w:t>available at the CPUC’s “Portfolios &amp; Modeling Assumptions for the 2021-2022 Transmission Planning Process”</w:t>
      </w:r>
      <w:r w:rsidR="003C6781">
        <w:t xml:space="preserve"> </w:t>
      </w:r>
      <w:r w:rsidR="5EF24036">
        <w:t xml:space="preserve">webpage: </w:t>
      </w:r>
      <w:hyperlink r:id="rId47" w:history="1">
        <w:r w:rsidR="003C6781" w:rsidRPr="4F992AFA">
          <w:rPr>
            <w:rStyle w:val="Hyperlink"/>
          </w:rPr>
          <w:t>https://www.cpuc.ca.gov/General.aspx?id=6442466555</w:t>
        </w:r>
      </w:hyperlink>
    </w:p>
    <w:p w14:paraId="62AD5D74" w14:textId="77777777" w:rsidR="00B22EF1" w:rsidRDefault="00B22EF1" w:rsidP="000E015A">
      <w:pPr>
        <w:ind w:left="1080"/>
      </w:pPr>
    </w:p>
    <w:p w14:paraId="0FEC23FD" w14:textId="77777777" w:rsidR="00B22EF1" w:rsidRDefault="00B22EF1" w:rsidP="00B22EF1">
      <w:pPr>
        <w:pStyle w:val="Heading5"/>
      </w:pPr>
      <w:bookmarkStart w:id="103" w:name="_Ref59457563"/>
      <w:bookmarkEnd w:id="99"/>
      <w:r>
        <w:t>Retirement List for the Offshore Wind Policy-Driven Sensitivity Portfolio</w:t>
      </w:r>
      <w:bookmarkEnd w:id="103"/>
    </w:p>
    <w:p w14:paraId="6B673814" w14:textId="65BA56A8" w:rsidR="00B22EF1" w:rsidRDefault="3A11F416" w:rsidP="00A24A87">
      <w:pPr>
        <w:ind w:left="1080"/>
      </w:pPr>
      <w:r>
        <w:t xml:space="preserve">Excel file available at the CPUC’s “Portfolios &amp; Modeling Assumptions for the 2021-2022 Transmission Planning Process” </w:t>
      </w:r>
    </w:p>
    <w:p w14:paraId="4C3323AC" w14:textId="0837521C" w:rsidR="4F992AFA" w:rsidRDefault="3A11F416" w:rsidP="6EADE052">
      <w:pPr>
        <w:ind w:left="1080"/>
      </w:pPr>
      <w:r>
        <w:t xml:space="preserve">webpage: </w:t>
      </w:r>
      <w:hyperlink r:id="rId48" w:history="1">
        <w:r w:rsidR="003C6781" w:rsidRPr="4F992AFA">
          <w:rPr>
            <w:rStyle w:val="Hyperlink"/>
          </w:rPr>
          <w:t>https://www.cpuc.ca.gov/General.aspx?id=6442466555</w:t>
        </w:r>
      </w:hyperlink>
    </w:p>
    <w:p w14:paraId="31D7AD43" w14:textId="77777777" w:rsidR="00940580" w:rsidRDefault="00940580" w:rsidP="00A15EE6"/>
    <w:p w14:paraId="45D6DBB5" w14:textId="7038EEE8" w:rsidR="00940580" w:rsidRDefault="28DCE335" w:rsidP="003B2FA8">
      <w:pPr>
        <w:pStyle w:val="Heading5"/>
      </w:pPr>
      <w:bookmarkStart w:id="104" w:name="_Ref32585759"/>
      <w:bookmarkStart w:id="105" w:name="_Ref32585824"/>
      <w:bookmarkStart w:id="106" w:name="_Ref35789371"/>
      <w:bookmarkStart w:id="107" w:name="_Ref35797769"/>
      <w:r>
        <w:lastRenderedPageBreak/>
        <w:t xml:space="preserve">Solar </w:t>
      </w:r>
      <w:r w:rsidR="43C6B089">
        <w:t>Cost Sensitivity Modeling</w:t>
      </w:r>
      <w:r w:rsidR="690751DA">
        <w:t xml:space="preserve"> slides</w:t>
      </w:r>
      <w:bookmarkEnd w:id="104"/>
      <w:bookmarkEnd w:id="105"/>
      <w:bookmarkEnd w:id="106"/>
      <w:bookmarkEnd w:id="107"/>
    </w:p>
    <w:p w14:paraId="45A58327" w14:textId="2BC7770B" w:rsidR="00895FCC" w:rsidRDefault="003C6781" w:rsidP="000E015A">
      <w:pPr>
        <w:pStyle w:val="ListParagraph"/>
        <w:ind w:left="1080"/>
      </w:pPr>
      <w:r>
        <w:t>Available at</w:t>
      </w:r>
      <w:r w:rsidR="00895FCC">
        <w:t>:</w:t>
      </w:r>
    </w:p>
    <w:p w14:paraId="567B518D" w14:textId="6DA7855E" w:rsidR="00895FCC" w:rsidRDefault="00F02B49" w:rsidP="000E015A">
      <w:pPr>
        <w:pStyle w:val="ListParagraph"/>
        <w:ind w:left="1080"/>
      </w:pPr>
      <w:hyperlink r:id="rId49">
        <w:r w:rsidR="00895FCC" w:rsidRPr="6EADE052">
          <w:rPr>
            <w:rStyle w:val="Hyperlink"/>
          </w:rPr>
          <w:t>https://www.cpuc.ca.gov/uploadedFiles/CPUCWebsite/Content/UtilitiesIndustries/Energy/EnergyPrograms/ElectPowerProcurementGeneration/irp/2019/2020-02-Solar_Cost_Sensitivity_Modeling-slides-V1.0.pdf</w:t>
        </w:r>
      </w:hyperlink>
      <w:r w:rsidR="00895FCC">
        <w:t xml:space="preserve"> </w:t>
      </w:r>
    </w:p>
    <w:p w14:paraId="6ADC6942" w14:textId="01B922E8" w:rsidR="6EADE052" w:rsidRDefault="6EADE052" w:rsidP="6EADE052">
      <w:pPr>
        <w:pStyle w:val="ListParagraph"/>
        <w:ind w:left="1080"/>
      </w:pPr>
    </w:p>
    <w:p w14:paraId="239599AF" w14:textId="6AB5FE9E" w:rsidR="1286EB0D" w:rsidRPr="003C6781" w:rsidRDefault="1286EB0D" w:rsidP="003C6781">
      <w:pPr>
        <w:pStyle w:val="Heading5"/>
        <w:rPr>
          <w:rFonts w:ascii="Garamond" w:hAnsi="Garamond"/>
          <w:color w:val="000000" w:themeColor="text1"/>
        </w:rPr>
      </w:pPr>
      <w:r>
        <w:t>SERVM Analysis of IRP 46 MMT Portfolio for Us</w:t>
      </w:r>
      <w:r w:rsidR="4EA5A688">
        <w:t>e in the 2021-2022 TPP</w:t>
      </w:r>
      <w:r>
        <w:br/>
      </w:r>
      <w:r w:rsidR="64D85B95" w:rsidRPr="003C6781">
        <w:rPr>
          <w:rFonts w:ascii="Garamond" w:hAnsi="Garamond"/>
          <w:color w:val="000000" w:themeColor="text1"/>
        </w:rPr>
        <w:t>Slide deck</w:t>
      </w:r>
      <w:r w:rsidRPr="003C6781">
        <w:rPr>
          <w:rFonts w:ascii="Garamond" w:hAnsi="Garamond"/>
          <w:color w:val="000000" w:themeColor="text1"/>
        </w:rPr>
        <w:t xml:space="preserve"> available at the CPUC’s “Portfolios &amp; Modeling Assumptions for the 2021-2022 Transmission Planning Process”</w:t>
      </w:r>
      <w:r w:rsidRPr="003C6781">
        <w:rPr>
          <w:color w:val="000000" w:themeColor="text1"/>
        </w:rPr>
        <w:t xml:space="preserve"> </w:t>
      </w:r>
      <w:r w:rsidRPr="003C6781">
        <w:rPr>
          <w:rFonts w:ascii="Garamond" w:hAnsi="Garamond"/>
          <w:color w:val="000000" w:themeColor="text1"/>
        </w:rPr>
        <w:t>webpage:</w:t>
      </w:r>
      <w:r w:rsidR="003C6781">
        <w:rPr>
          <w:rFonts w:ascii="Garamond" w:hAnsi="Garamond"/>
          <w:color w:val="000000" w:themeColor="text1"/>
        </w:rPr>
        <w:t xml:space="preserve"> </w:t>
      </w:r>
      <w:hyperlink r:id="rId50" w:history="1">
        <w:r w:rsidR="003C6781" w:rsidRPr="00395419">
          <w:rPr>
            <w:rStyle w:val="Hyperlink"/>
            <w:rFonts w:ascii="Garamond" w:hAnsi="Garamond"/>
          </w:rPr>
          <w:t>https://www.cpuc.ca.gov/General.aspx?id=6442466555</w:t>
        </w:r>
      </w:hyperlink>
    </w:p>
    <w:p w14:paraId="053FF976" w14:textId="7D9705DD" w:rsidR="6EADE052" w:rsidRDefault="6EADE052" w:rsidP="6EADE052">
      <w:pPr>
        <w:pStyle w:val="ListParagraph"/>
        <w:ind w:left="1080"/>
      </w:pPr>
    </w:p>
    <w:p w14:paraId="318BDC33" w14:textId="77777777" w:rsidR="00DB63CE" w:rsidRDefault="00DB63CE" w:rsidP="000E015A">
      <w:pPr>
        <w:pStyle w:val="ListParagraph"/>
        <w:ind w:left="1080"/>
      </w:pPr>
    </w:p>
    <w:p w14:paraId="7022ADC4" w14:textId="30EFE423" w:rsidR="00DB63CE" w:rsidRDefault="00DB63CE" w:rsidP="4F992AFA">
      <w:pPr>
        <w:pStyle w:val="Heading5"/>
        <w:numPr>
          <w:ilvl w:val="0"/>
          <w:numId w:val="0"/>
        </w:numPr>
      </w:pPr>
    </w:p>
    <w:bookmarkEnd w:id="85"/>
    <w:p w14:paraId="17DC6F64" w14:textId="77777777" w:rsidR="00577970" w:rsidRDefault="00577970" w:rsidP="00D313DB">
      <w:pPr>
        <w:ind w:left="0"/>
      </w:pPr>
    </w:p>
    <w:p w14:paraId="071BADD6" w14:textId="77777777" w:rsidR="00EF0B2D" w:rsidRPr="00732627" w:rsidRDefault="00EF0B2D" w:rsidP="00732627"/>
    <w:p w14:paraId="58E658E2" w14:textId="77777777" w:rsidR="009A4977" w:rsidRPr="008F0A68" w:rsidRDefault="009A4977" w:rsidP="00A86A77">
      <w:pPr>
        <w:ind w:left="0"/>
      </w:pPr>
    </w:p>
    <w:p w14:paraId="7280FE6A" w14:textId="2F68E3B7" w:rsidR="00C13AF1" w:rsidRDefault="00E74231" w:rsidP="00584F5F">
      <w:pPr>
        <w:ind w:left="0"/>
        <w:jc w:val="center"/>
      </w:pPr>
      <w:r>
        <w:t>---- DOCUMENT ENDS ----</w:t>
      </w:r>
    </w:p>
    <w:sectPr w:rsidR="00C13A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ED780" w14:textId="77777777" w:rsidR="00CA1BBF" w:rsidRDefault="00CA1BBF">
      <w:r>
        <w:separator/>
      </w:r>
    </w:p>
  </w:endnote>
  <w:endnote w:type="continuationSeparator" w:id="0">
    <w:p w14:paraId="08448E16" w14:textId="77777777" w:rsidR="00CA1BBF" w:rsidRDefault="00CA1BBF">
      <w:r>
        <w:continuationSeparator/>
      </w:r>
    </w:p>
  </w:endnote>
  <w:endnote w:type="continuationNotice" w:id="1">
    <w:p w14:paraId="5CED9FB2" w14:textId="77777777" w:rsidR="00CA1BBF" w:rsidRDefault="00CA1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mon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A8CAB" w14:textId="41E9D455" w:rsidR="00DD54CE" w:rsidRPr="005169DA" w:rsidRDefault="00DD54CE">
    <w:pPr>
      <w:pStyle w:val="Footer"/>
      <w:jc w:val="right"/>
      <w:rPr>
        <w:sz w:val="20"/>
        <w:szCs w:val="18"/>
      </w:rPr>
    </w:pPr>
    <w:r w:rsidRPr="005169DA">
      <w:rPr>
        <w:sz w:val="20"/>
        <w:szCs w:val="18"/>
      </w:rPr>
      <w:t>02-09-2021</w:t>
    </w:r>
    <w:r w:rsidRPr="005169DA">
      <w:rPr>
        <w:sz w:val="20"/>
        <w:szCs w:val="18"/>
      </w:rPr>
      <w:tab/>
    </w:r>
    <w:r w:rsidRPr="005169DA">
      <w:rPr>
        <w:sz w:val="20"/>
        <w:szCs w:val="18"/>
      </w:rPr>
      <w:tab/>
    </w:r>
    <w:sdt>
      <w:sdtPr>
        <w:rPr>
          <w:sz w:val="20"/>
          <w:szCs w:val="18"/>
        </w:rPr>
        <w:id w:val="-112364642"/>
        <w:docPartObj>
          <w:docPartGallery w:val="Page Numbers (Bottom of Page)"/>
          <w:docPartUnique/>
        </w:docPartObj>
      </w:sdtPr>
      <w:sdtEndPr>
        <w:rPr>
          <w:noProof/>
        </w:rPr>
      </w:sdtEndPr>
      <w:sdtContent>
        <w:r w:rsidRPr="005169DA">
          <w:rPr>
            <w:sz w:val="20"/>
            <w:szCs w:val="18"/>
          </w:rPr>
          <w:fldChar w:fldCharType="begin"/>
        </w:r>
        <w:r w:rsidRPr="005169DA">
          <w:rPr>
            <w:sz w:val="20"/>
            <w:szCs w:val="18"/>
          </w:rPr>
          <w:instrText xml:space="preserve"> PAGE   \* MERGEFORMAT </w:instrText>
        </w:r>
        <w:r w:rsidRPr="005169DA">
          <w:rPr>
            <w:sz w:val="20"/>
            <w:szCs w:val="18"/>
          </w:rPr>
          <w:fldChar w:fldCharType="separate"/>
        </w:r>
        <w:r w:rsidRPr="005169DA">
          <w:rPr>
            <w:noProof/>
            <w:sz w:val="20"/>
            <w:szCs w:val="18"/>
          </w:rPr>
          <w:t>2</w:t>
        </w:r>
        <w:r w:rsidRPr="005169DA">
          <w:rPr>
            <w:noProof/>
            <w:sz w:val="20"/>
            <w:szCs w:val="18"/>
          </w:rPr>
          <w:fldChar w:fldCharType="end"/>
        </w:r>
      </w:sdtContent>
    </w:sdt>
  </w:p>
  <w:p w14:paraId="5EE949A7" w14:textId="3E1889B7" w:rsidR="00DD54CE" w:rsidRDefault="00DD5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D551B" w14:textId="77777777" w:rsidR="00CA1BBF" w:rsidRDefault="00CA1BBF">
      <w:r>
        <w:separator/>
      </w:r>
    </w:p>
  </w:footnote>
  <w:footnote w:type="continuationSeparator" w:id="0">
    <w:p w14:paraId="6E8AE98B" w14:textId="77777777" w:rsidR="00CA1BBF" w:rsidRDefault="00CA1BBF">
      <w:r>
        <w:continuationSeparator/>
      </w:r>
    </w:p>
  </w:footnote>
  <w:footnote w:type="continuationNotice" w:id="1">
    <w:p w14:paraId="2BA39DEA" w14:textId="77777777" w:rsidR="00CA1BBF" w:rsidRDefault="00CA1BBF"/>
  </w:footnote>
  <w:footnote w:id="2">
    <w:p w14:paraId="1FBBAD62" w14:textId="3A787E5E" w:rsidR="00405104" w:rsidRDefault="00405104">
      <w:pPr>
        <w:pStyle w:val="FootnoteText"/>
      </w:pPr>
      <w:r>
        <w:rPr>
          <w:rStyle w:val="FootnoteReference"/>
        </w:rPr>
        <w:footnoteRef/>
      </w:r>
      <w:r>
        <w:t xml:space="preserve"> </w:t>
      </w:r>
      <w:r w:rsidRPr="00405104">
        <w:t xml:space="preserve">Note: </w:t>
      </w:r>
      <w:r>
        <w:t>Out-of-state (</w:t>
      </w:r>
      <w:r w:rsidRPr="00405104">
        <w:t>OOS</w:t>
      </w:r>
      <w:r>
        <w:t>)</w:t>
      </w:r>
      <w:r w:rsidRPr="00405104">
        <w:t xml:space="preserve"> </w:t>
      </w:r>
      <w:r>
        <w:t>w</w:t>
      </w:r>
      <w:r w:rsidRPr="00405104">
        <w:t xml:space="preserve">ind resources are shown at their point of interconnection with the CAISO. Pumped </w:t>
      </w:r>
      <w:r>
        <w:t>s</w:t>
      </w:r>
      <w:r w:rsidRPr="00405104">
        <w:t xml:space="preserve">torage </w:t>
      </w:r>
      <w:r>
        <w:t xml:space="preserve">hydro </w:t>
      </w:r>
      <w:r w:rsidRPr="00405104">
        <w:t>resources mapped to the Lake Elsinore area are not shown due to unavailability of proposed interconnection substation coordinates.</w:t>
      </w:r>
    </w:p>
  </w:footnote>
  <w:footnote w:id="3">
    <w:p w14:paraId="2BAE12F7" w14:textId="60A589B4" w:rsidR="00405104" w:rsidRDefault="00405104">
      <w:pPr>
        <w:pStyle w:val="FootnoteText"/>
      </w:pPr>
      <w:r>
        <w:rPr>
          <w:rStyle w:val="FootnoteReference"/>
        </w:rPr>
        <w:footnoteRef/>
      </w:r>
      <w:r>
        <w:t xml:space="preserve"> </w:t>
      </w:r>
      <w:r w:rsidRPr="00405104">
        <w:t xml:space="preserve">Note: OOS </w:t>
      </w:r>
      <w:r>
        <w:t>w</w:t>
      </w:r>
      <w:r w:rsidRPr="00405104">
        <w:t xml:space="preserve">ind resources are shown at their point of interconnection with the CAISO. Pumped </w:t>
      </w:r>
      <w:r>
        <w:t>s</w:t>
      </w:r>
      <w:r w:rsidRPr="00405104">
        <w:t xml:space="preserve">torage </w:t>
      </w:r>
      <w:r>
        <w:t xml:space="preserve">hydro </w:t>
      </w:r>
      <w:r w:rsidRPr="00405104">
        <w:t>resources mapped to the Lake Elsinore area are not shown due to unavailability of proposed interconnection substation coordinates.</w:t>
      </w:r>
    </w:p>
  </w:footnote>
  <w:footnote w:id="4">
    <w:p w14:paraId="6523E362" w14:textId="1A90A877" w:rsidR="00405104" w:rsidRDefault="00405104">
      <w:pPr>
        <w:pStyle w:val="FootnoteText"/>
      </w:pPr>
      <w:r>
        <w:rPr>
          <w:rStyle w:val="FootnoteReference"/>
        </w:rPr>
        <w:footnoteRef/>
      </w:r>
      <w:r>
        <w:t xml:space="preserve"> </w:t>
      </w:r>
      <w:r w:rsidRPr="00405104">
        <w:t xml:space="preserve">Note: OOS </w:t>
      </w:r>
      <w:r>
        <w:t>w</w:t>
      </w:r>
      <w:r w:rsidRPr="00405104">
        <w:t xml:space="preserve">ind resources are shown at their point of interconnection with the CAISO. Pumped </w:t>
      </w:r>
      <w:r>
        <w:t>s</w:t>
      </w:r>
      <w:r w:rsidRPr="00405104">
        <w:t xml:space="preserve">torage </w:t>
      </w:r>
      <w:r>
        <w:t xml:space="preserve">hydro </w:t>
      </w:r>
      <w:r w:rsidRPr="00405104">
        <w:t>resources mapped to the Lake Elsinore area are not shown due to unavailability of proposed interconnection substation coordinates.</w:t>
      </w:r>
    </w:p>
  </w:footnote>
  <w:footnote w:id="5">
    <w:p w14:paraId="62644C6A" w14:textId="77777777" w:rsidR="00DD54CE" w:rsidRPr="00F47987" w:rsidRDefault="00DD54CE" w:rsidP="00FF4910">
      <w:pPr>
        <w:pStyle w:val="FootnoteText"/>
      </w:pPr>
      <w:r w:rsidRPr="00A24A87">
        <w:rPr>
          <w:rStyle w:val="FootnoteReference"/>
        </w:rPr>
        <w:footnoteRef/>
      </w:r>
      <w:r w:rsidRPr="00F47987">
        <w:t xml:space="preserve"> Referring</w:t>
      </w:r>
      <w:r w:rsidRPr="00812669">
        <w:t xml:space="preserve"> to the </w:t>
      </w:r>
      <w:r w:rsidRPr="00F47987">
        <w:t xml:space="preserve">Integrated Energy Policy Report (IEPR) prepared by the California Energy Commission. </w:t>
      </w:r>
    </w:p>
    <w:p w14:paraId="3CD475F2" w14:textId="77777777" w:rsidR="00DD54CE" w:rsidRPr="00F47987" w:rsidRDefault="00DD54CE" w:rsidP="00FF4910">
      <w:pPr>
        <w:pStyle w:val="FootnoteText"/>
      </w:pPr>
    </w:p>
  </w:footnote>
  <w:footnote w:id="6">
    <w:p w14:paraId="530938FF" w14:textId="65D334D6" w:rsidR="00DD54CE" w:rsidRPr="00A1284D" w:rsidRDefault="00DD54CE" w:rsidP="5CA33C60">
      <w:pPr>
        <w:pStyle w:val="FootnoteText"/>
      </w:pPr>
      <w:r w:rsidRPr="00A24A87">
        <w:rPr>
          <w:vertAlign w:val="superscript"/>
        </w:rPr>
        <w:footnoteRef/>
      </w:r>
      <w:r w:rsidRPr="00A1284D">
        <w:t xml:space="preserve"> Referring to the version attached to the 10/2</w:t>
      </w:r>
      <w:r>
        <w:t>0</w:t>
      </w:r>
      <w:r w:rsidRPr="00A1284D">
        <w:t xml:space="preserve">/20 Ruling. Available at:  </w:t>
      </w:r>
      <w:hyperlink r:id="rId1" w:history="1">
        <w:r w:rsidRPr="00F47987">
          <w:rPr>
            <w:rStyle w:val="Hyperlink"/>
            <w:color w:val="auto"/>
            <w:u w:val="none"/>
          </w:rPr>
          <w:t>https://docs.cpuc.ca.gov/PublishedDocs/Efile/G000/M348/K816/348816247.PDF</w:t>
        </w:r>
      </w:hyperlink>
      <w:r>
        <w:rPr>
          <w:rStyle w:val="Hyperlink"/>
          <w:color w:val="auto"/>
          <w:u w:val="none"/>
        </w:rPr>
        <w:t xml:space="preserve"> </w:t>
      </w:r>
      <w:r w:rsidRPr="00F47987">
        <w:t xml:space="preserve"> </w:t>
      </w:r>
    </w:p>
  </w:footnote>
  <w:footnote w:id="7">
    <w:p w14:paraId="7559BA11" w14:textId="77777777" w:rsidR="00DD54CE" w:rsidRDefault="00DD54CE" w:rsidP="5CA33C60">
      <w:pPr>
        <w:pStyle w:val="FootnoteText"/>
      </w:pPr>
      <w:r w:rsidRPr="00A24A87">
        <w:rPr>
          <w:rStyle w:val="FootnoteReference"/>
        </w:rPr>
        <w:footnoteRef/>
      </w:r>
      <w:r w:rsidRPr="00A1284D">
        <w:t xml:space="preserve"> </w:t>
      </w:r>
      <w:r w:rsidRPr="00F47987">
        <w:t xml:space="preserve">Decision 20-03-028, </w:t>
      </w:r>
      <w:hyperlink r:id="rId2">
        <w:r w:rsidRPr="00A1284D">
          <w:rPr>
            <w:rStyle w:val="Hyperlink"/>
            <w:color w:val="auto"/>
            <w:u w:val="none"/>
          </w:rPr>
          <w:t>https://docs.cpuc.ca.gov/PublishedDocs/Published/G000/M331/K772/331772681.PDF</w:t>
        </w:r>
      </w:hyperlink>
    </w:p>
  </w:footnote>
  <w:footnote w:id="8">
    <w:p w14:paraId="7212231A" w14:textId="2A2D21D5" w:rsidR="00DD54CE" w:rsidRDefault="00DD54CE" w:rsidP="2A825700">
      <w:pPr>
        <w:pStyle w:val="FootnoteText"/>
      </w:pPr>
      <w:r w:rsidRPr="00A24A87">
        <w:rPr>
          <w:rStyle w:val="FootnoteReference"/>
        </w:rPr>
        <w:footnoteRef/>
      </w:r>
      <w:r>
        <w:t xml:space="preserve"> E3 updated its RESHAPE model to produce updated space heating and water heating building electrification load shapes and used the CEC California IOU Electricity Load Shapes Report (</w:t>
      </w:r>
      <w:hyperlink r:id="rId3">
        <w:r w:rsidRPr="00F47987">
          <w:rPr>
            <w:rStyle w:val="Hyperlink"/>
            <w:color w:val="auto"/>
            <w:u w:val="none"/>
          </w:rPr>
          <w:t>https://ww2.energy.ca.gov/2019publications/CEC-500-2019-046/CEC-500-2019-046.pdf</w:t>
        </w:r>
      </w:hyperlink>
      <w:r>
        <w:t>) for cooking and clothes drying loads. These shapes only apply to the PATHWAYS-based loads modeled in 2045, since the 2019 IEPR contains no explicit building electrification loads. Per the 2019-20 IRP Inputs and Assumptions, the previous assumptions used an older version of RESHAPE for space heating loads and relied on E3 PATHWAYS’ load shapes for water heating, cooking, and clothes drying.</w:t>
      </w:r>
    </w:p>
  </w:footnote>
  <w:footnote w:id="9">
    <w:p w14:paraId="2D6B94AC" w14:textId="77777777" w:rsidR="00DD54CE" w:rsidRDefault="00DD54CE" w:rsidP="2A825700">
      <w:pPr>
        <w:pStyle w:val="FootnoteText"/>
      </w:pPr>
      <w:r w:rsidRPr="00A24A87">
        <w:rPr>
          <w:rStyle w:val="FootnoteReference"/>
        </w:rPr>
        <w:footnoteRef/>
      </w:r>
      <w:r>
        <w:t xml:space="preserve"> </w:t>
      </w:r>
    </w:p>
    <w:p w14:paraId="256A85A5" w14:textId="77777777" w:rsidR="00DD54CE" w:rsidRDefault="00F02B49" w:rsidP="2A825700">
      <w:pPr>
        <w:pStyle w:val="FootnoteText"/>
      </w:pPr>
      <w:hyperlink r:id="rId4">
        <w:r w:rsidR="00DD54CE" w:rsidRPr="00F47987">
          <w:rPr>
            <w:rStyle w:val="Hyperlink"/>
            <w:color w:val="auto"/>
            <w:u w:val="none"/>
          </w:rPr>
          <w:t>https://www.energy.ca.gov/programs-and-topics/topics/energy-assessment/natural-gas-burner-tip-prices-california-and-western</w:t>
        </w:r>
      </w:hyperlink>
      <w:r w:rsidR="00DD54CE">
        <w:t xml:space="preserve"> </w:t>
      </w:r>
    </w:p>
  </w:footnote>
  <w:footnote w:id="10">
    <w:p w14:paraId="7BF64156" w14:textId="149CA285" w:rsidR="00DD54CE" w:rsidRDefault="00DD54CE">
      <w:r w:rsidRPr="00E651FC">
        <w:rPr>
          <w:vertAlign w:val="superscript"/>
        </w:rPr>
        <w:footnoteRef/>
      </w:r>
      <w:r>
        <w:t xml:space="preserve"> </w:t>
      </w:r>
      <w:r w:rsidRPr="00E651FC">
        <w:rPr>
          <w:sz w:val="20"/>
          <w:szCs w:val="20"/>
        </w:rPr>
        <w:t>http://www.caiso.com/Documents/WhitePaper-TransmissionCapabilityEstimates-InputtoCPUCIntegratedResourcePlanPortfolioDevelopment.pdf</w:t>
      </w:r>
    </w:p>
  </w:footnote>
  <w:footnote w:id="11">
    <w:p w14:paraId="714E6FBD" w14:textId="77777777" w:rsidR="00DD54CE" w:rsidRDefault="00DD54CE" w:rsidP="2A825700">
      <w:pPr>
        <w:pStyle w:val="FootnoteText"/>
      </w:pPr>
      <w:r w:rsidRPr="00A24A87">
        <w:rPr>
          <w:rStyle w:val="FootnoteReference"/>
        </w:rPr>
        <w:footnoteRef/>
      </w:r>
      <w:r>
        <w:t xml:space="preserve"> These include re-adding 22 MW of Riverside East and Palm Springs wind left out of the RPS supply curve, properly assigning the transmission zone for Mountain Pass / El Dorado solar PV, and other minor updates.</w:t>
      </w:r>
    </w:p>
  </w:footnote>
  <w:footnote w:id="12">
    <w:p w14:paraId="61E25EA3" w14:textId="77777777" w:rsidR="00DD54CE" w:rsidRPr="00FE4232" w:rsidRDefault="00DD54CE" w:rsidP="00CF65E5">
      <w:pPr>
        <w:pStyle w:val="FootnoteText"/>
      </w:pPr>
      <w:r w:rsidRPr="00FE4232">
        <w:rPr>
          <w:rStyle w:val="FootnoteReference"/>
        </w:rPr>
        <w:footnoteRef/>
      </w:r>
      <w:r w:rsidRPr="00FE4232">
        <w:t xml:space="preserve"> Extrapolated from a 46 MMT</w:t>
      </w:r>
      <w:r>
        <w:t xml:space="preserve"> by</w:t>
      </w:r>
      <w:r w:rsidRPr="00FE4232">
        <w:t xml:space="preserve"> 2030 </w:t>
      </w:r>
      <w:r>
        <w:t xml:space="preserve">target </w:t>
      </w:r>
      <w:r w:rsidRPr="00FE4232">
        <w:t xml:space="preserve">using </w:t>
      </w:r>
      <w:r>
        <w:t>the same assumptions that were used for i</w:t>
      </w:r>
      <w:r w:rsidRPr="00FE4232">
        <w:t>ncorporating post-2030 years into select modeling runs to reflect achievement of the Senate Bill (SB) 100 (DeLeón, 2018) 2045 goals</w:t>
      </w:r>
      <w:r>
        <w:t xml:space="preserve"> in the development of the 2019 RSP.</w:t>
      </w:r>
    </w:p>
    <w:p w14:paraId="44557718" w14:textId="77777777" w:rsidR="00DD54CE" w:rsidRDefault="00DD54CE" w:rsidP="00CF65E5">
      <w:pPr>
        <w:pStyle w:val="FootnoteText"/>
      </w:pPr>
    </w:p>
  </w:footnote>
  <w:footnote w:id="13">
    <w:p w14:paraId="6328112C" w14:textId="77777777" w:rsidR="00DD54CE" w:rsidRPr="00F47987" w:rsidRDefault="00DD54CE" w:rsidP="00F47987">
      <w:pPr>
        <w:pStyle w:val="FootnoteText"/>
      </w:pPr>
      <w:r w:rsidRPr="00D95DCB">
        <w:rPr>
          <w:rStyle w:val="FootnoteReference"/>
        </w:rPr>
        <w:footnoteRef/>
      </w:r>
      <w:r w:rsidRPr="00F47987">
        <w:t xml:space="preserve"> Extrapolated from a 38</w:t>
      </w:r>
      <w:r w:rsidRPr="00812669">
        <w:t xml:space="preserve"> MMT by 2030 target </w:t>
      </w:r>
      <w:r w:rsidRPr="00741E22">
        <w:t>using the same assumptions that were used for i</w:t>
      </w:r>
      <w:r w:rsidRPr="00F47987">
        <w:t>ncorporating post-2030 years into select modeling runs to reflect achievement of the Senate Bill (SB) 100 (DeLeón, 2018) 2045 goals in the development of the 2019 RSP.</w:t>
      </w:r>
    </w:p>
    <w:p w14:paraId="1327AD23" w14:textId="77777777" w:rsidR="00DD54CE" w:rsidRDefault="00DD54CE" w:rsidP="003E1DD1">
      <w:pPr>
        <w:pStyle w:val="FootnoteText"/>
      </w:pPr>
    </w:p>
  </w:footnote>
  <w:footnote w:id="14">
    <w:p w14:paraId="216BF762" w14:textId="77777777" w:rsidR="00DD54CE" w:rsidRPr="00812669" w:rsidRDefault="00DD54CE">
      <w:pPr>
        <w:pStyle w:val="FootnoteText"/>
      </w:pPr>
      <w:r w:rsidRPr="00A24A87">
        <w:rPr>
          <w:rStyle w:val="FootnoteReference"/>
        </w:rPr>
        <w:footnoteRef/>
      </w:r>
      <w:r w:rsidRPr="00F47987">
        <w:t xml:space="preserve"> </w:t>
      </w:r>
      <w:r w:rsidRPr="00812669">
        <w:t xml:space="preserve">Relevant MAG webinar slides found here: </w:t>
      </w:r>
      <w:hyperlink r:id="rId5" w:history="1">
        <w:r w:rsidRPr="00DA0DD0">
          <w:rPr>
            <w:rStyle w:val="Hyperlink"/>
            <w:color w:val="auto"/>
            <w:u w:val="none"/>
          </w:rPr>
          <w:t>ftp://ftp.cpuc.ca.gov/energy/modeling/2020-08-Offshore_Wind-MAG-Slides-Energy_Division.pdf</w:t>
        </w:r>
      </w:hyperlink>
      <w:r w:rsidRPr="00F47987">
        <w:t xml:space="preserve">; and here </w:t>
      </w:r>
      <w:hyperlink r:id="rId6" w:history="1">
        <w:r w:rsidRPr="00DA0DD0">
          <w:rPr>
            <w:rStyle w:val="Hyperlink"/>
            <w:color w:val="auto"/>
            <w:u w:val="none"/>
          </w:rPr>
          <w:t>ftp://ftp.cpuc.ca.gov/energy/modeling/200827_MAG%20webinar_NREL.pdf</w:t>
        </w:r>
      </w:hyperlink>
      <w:r w:rsidRPr="00F47987">
        <w:t xml:space="preserve"> </w:t>
      </w:r>
    </w:p>
  </w:footnote>
  <w:footnote w:id="15">
    <w:p w14:paraId="45FE232C" w14:textId="77777777" w:rsidR="00DD54CE" w:rsidRPr="00812669" w:rsidRDefault="00DD54CE">
      <w:pPr>
        <w:pStyle w:val="FootnoteText"/>
      </w:pPr>
      <w:r w:rsidRPr="00A24A87">
        <w:rPr>
          <w:rStyle w:val="FootnoteReference"/>
        </w:rPr>
        <w:footnoteRef/>
      </w:r>
      <w:r w:rsidRPr="00F47987">
        <w:t xml:space="preserve"> </w:t>
      </w:r>
      <w:hyperlink r:id="rId7" w:history="1">
        <w:r w:rsidRPr="00DA0DD0">
          <w:rPr>
            <w:rStyle w:val="Hyperlink"/>
            <w:color w:val="auto"/>
            <w:u w:val="none"/>
          </w:rPr>
          <w:t>http://www.caiso.com/Documents/WhitePaper-TransmissionCapabilityEstimates-InputtoCPUCIntegratedResourcePlanPortfolioDevelopment.pdf</w:t>
        </w:r>
      </w:hyperlink>
      <w:r w:rsidRPr="00F47987">
        <w:t xml:space="preserve"> </w:t>
      </w:r>
    </w:p>
  </w:footnote>
  <w:footnote w:id="16">
    <w:p w14:paraId="41982E25" w14:textId="77777777" w:rsidR="00DD54CE" w:rsidRPr="00546D77" w:rsidRDefault="00DD54CE">
      <w:pPr>
        <w:pStyle w:val="FootnoteText"/>
      </w:pPr>
      <w:r w:rsidRPr="00A24A87">
        <w:rPr>
          <w:rStyle w:val="FootnoteReference"/>
        </w:rPr>
        <w:footnoteRef/>
      </w:r>
      <w:r w:rsidRPr="00F47987">
        <w:t xml:space="preserve"> Inputs &amp; Assumptions, 2019-2020 Integrated Resource Planning, November 2019 </w:t>
      </w:r>
      <w:hyperlink r:id="rId8" w:history="1">
        <w:r w:rsidRPr="00DA0DD0">
          <w:rPr>
            <w:rStyle w:val="Hyperlink"/>
            <w:color w:val="auto"/>
            <w:u w:val="none"/>
          </w:rPr>
          <w:t>ftp://ftp.cpuc.ca.gov/energy/modeling/Inputs%20%20Assumptions%202019-2020%20CPUC%20IRP%202020-02-27.pdf</w:t>
        </w:r>
      </w:hyperlink>
      <w:r w:rsidRPr="00DA0DD0">
        <w:rPr>
          <w:rStyle w:val="Hyperlink"/>
          <w:color w:val="auto"/>
          <w:u w:val="none"/>
        </w:rPr>
        <w:t xml:space="preserve"> </w:t>
      </w:r>
      <w:r w:rsidRPr="00F47987">
        <w:t xml:space="preserve"> </w:t>
      </w:r>
    </w:p>
  </w:footnote>
  <w:footnote w:id="17">
    <w:p w14:paraId="3527341D" w14:textId="2EF2DCB9" w:rsidR="00DD54CE" w:rsidRDefault="00DD54CE">
      <w:pPr>
        <w:pStyle w:val="FootnoteText"/>
      </w:pPr>
      <w:r>
        <w:rPr>
          <w:rStyle w:val="FootnoteReference"/>
        </w:rPr>
        <w:footnoteRef/>
      </w:r>
      <w:r>
        <w:t xml:space="preserve"> This is not a change in the approach to develop this portfolio, but rather a correction to Attachment B of the October 20, 2020 Ruling Seeking Comments on Portfolios to be Used in the 2021-22 TPP</w:t>
      </w:r>
    </w:p>
  </w:footnote>
  <w:footnote w:id="18">
    <w:p w14:paraId="30FE3D7F" w14:textId="4B2627A0" w:rsidR="00DD54CE" w:rsidRDefault="00DD54CE">
      <w:pPr>
        <w:pStyle w:val="FootnoteText"/>
      </w:pPr>
      <w:r>
        <w:rPr>
          <w:rStyle w:val="FootnoteReference"/>
        </w:rPr>
        <w:footnoteRef/>
      </w:r>
      <w:r>
        <w:t xml:space="preserve"> Although CPUC staff refers to Wyoming wind here, CPUC staff acknowledges that various resource types from various states may inject at this substation. This mapping is not intended to indicate a preference for Wyoming Wind.</w:t>
      </w:r>
    </w:p>
  </w:footnote>
  <w:footnote w:id="19">
    <w:p w14:paraId="75AAD92B" w14:textId="3A32F360" w:rsidR="00DD54CE" w:rsidRDefault="00DD54CE">
      <w:pPr>
        <w:pStyle w:val="FootnoteText"/>
      </w:pPr>
      <w:r>
        <w:rPr>
          <w:rStyle w:val="FootnoteReference"/>
        </w:rPr>
        <w:footnoteRef/>
      </w:r>
      <w:r>
        <w:t>Preliminary results available at:</w:t>
      </w:r>
      <w:hyperlink r:id="rId9" w:history="1">
        <w:r w:rsidRPr="00E651FC">
          <w:rPr>
            <w:rStyle w:val="Hyperlink"/>
          </w:rPr>
          <w:t xml:space="preserve"> http://www.caiso.com/Documents/Presentation-2020-2021TransmissionPlanningProcess-Nov172020.pdf</w:t>
        </w:r>
      </w:hyperlink>
    </w:p>
  </w:footnote>
  <w:footnote w:id="20">
    <w:p w14:paraId="6F9EAFAB" w14:textId="52779F03" w:rsidR="00DD54CE" w:rsidRDefault="00DD54CE" w:rsidP="7CF97DD6">
      <w:pPr>
        <w:rPr>
          <w:rStyle w:val="Hyperlink"/>
          <w:color w:val="auto"/>
          <w:sz w:val="20"/>
          <w:szCs w:val="20"/>
          <w:u w:val="none"/>
        </w:rPr>
      </w:pPr>
      <w:r w:rsidRPr="0043717C">
        <w:rPr>
          <w:vertAlign w:val="superscript"/>
        </w:rPr>
        <w:footnoteRef/>
      </w:r>
      <w:r>
        <w:t xml:space="preserve"> </w:t>
      </w:r>
      <w:r w:rsidRPr="00E651FC">
        <w:rPr>
          <w:rStyle w:val="Hyperlink"/>
          <w:color w:val="auto"/>
          <w:sz w:val="20"/>
          <w:szCs w:val="20"/>
          <w:u w:val="none"/>
        </w:rPr>
        <w:t xml:space="preserve">Draft 2020-2021 Transmission Plan, CAISO, p212, Feb. 1, 2021, </w:t>
      </w:r>
      <w:hyperlink r:id="rId10" w:history="1">
        <w:r w:rsidRPr="00C42699">
          <w:rPr>
            <w:rStyle w:val="Hyperlink"/>
            <w:sz w:val="20"/>
            <w:szCs w:val="20"/>
          </w:rPr>
          <w:t>http://www.caiso.com/Documents/Draft2020-2021TransmissionPlan.pdf</w:t>
        </w:r>
      </w:hyperlink>
    </w:p>
    <w:p w14:paraId="2EEC111D" w14:textId="77777777" w:rsidR="00DD54CE" w:rsidRDefault="00DD54CE" w:rsidP="7CF97DD6">
      <w:pPr>
        <w:rPr>
          <w:rStyle w:val="Hyperlink"/>
          <w:color w:val="auto"/>
          <w:sz w:val="20"/>
          <w:szCs w:val="20"/>
          <w:u w:val="none"/>
        </w:rPr>
      </w:pPr>
    </w:p>
  </w:footnote>
  <w:footnote w:id="21">
    <w:p w14:paraId="5FDD5300" w14:textId="6D52440D" w:rsidR="00405104" w:rsidRDefault="00405104">
      <w:pPr>
        <w:pStyle w:val="FootnoteText"/>
      </w:pPr>
      <w:r>
        <w:rPr>
          <w:rStyle w:val="FootnoteReference"/>
        </w:rPr>
        <w:footnoteRef/>
      </w:r>
      <w:r>
        <w:t xml:space="preserve"> </w:t>
      </w:r>
      <w:r w:rsidRPr="00405104">
        <w:t xml:space="preserve">Note: OOS </w:t>
      </w:r>
      <w:r>
        <w:t>w</w:t>
      </w:r>
      <w:r w:rsidRPr="00405104">
        <w:t xml:space="preserve">ind resources are shown at their point of interconnection with the CAISO. Pumped </w:t>
      </w:r>
      <w:r>
        <w:t>s</w:t>
      </w:r>
      <w:r w:rsidRPr="00405104">
        <w:t xml:space="preserve">torage </w:t>
      </w:r>
      <w:r>
        <w:t xml:space="preserve">hydro </w:t>
      </w:r>
      <w:r w:rsidRPr="00405104">
        <w:t>resources mapped to the Lake Elsinore area are not shown due to unavailability of proposed interconnection substation coordinates.</w:t>
      </w:r>
    </w:p>
  </w:footnote>
  <w:footnote w:id="22">
    <w:p w14:paraId="797DC2AD" w14:textId="36531C7F" w:rsidR="00DD54CE" w:rsidRDefault="00DD54CE" w:rsidP="00A24A87">
      <w:pPr>
        <w:pStyle w:val="FootnoteText"/>
      </w:pPr>
      <w:r>
        <w:footnoteRef/>
      </w:r>
      <w:r>
        <w:t xml:space="preserve"> </w:t>
      </w:r>
      <w:r w:rsidRPr="19E74324">
        <w:t xml:space="preserve">CAISO’s May 2019 White Paper “Transmission Capability Estimates as an input to the CPUC Integrated Resource Plan Portfolio </w:t>
      </w:r>
    </w:p>
  </w:footnote>
  <w:footnote w:id="23">
    <w:p w14:paraId="3019ADF0" w14:textId="48B62955" w:rsidR="00405104" w:rsidRDefault="00405104">
      <w:pPr>
        <w:pStyle w:val="FootnoteText"/>
      </w:pPr>
      <w:r>
        <w:rPr>
          <w:rStyle w:val="FootnoteReference"/>
        </w:rPr>
        <w:footnoteRef/>
      </w:r>
      <w:r>
        <w:t xml:space="preserve"> </w:t>
      </w:r>
      <w:r w:rsidRPr="00405104">
        <w:t xml:space="preserve">Note: OOS </w:t>
      </w:r>
      <w:r>
        <w:t>w</w:t>
      </w:r>
      <w:r w:rsidRPr="00405104">
        <w:t xml:space="preserve">ind resources are shown at their point of interconnection with the CAISO. Pumped </w:t>
      </w:r>
      <w:r>
        <w:t>s</w:t>
      </w:r>
      <w:r w:rsidRPr="00405104">
        <w:t xml:space="preserve">torage </w:t>
      </w:r>
      <w:r>
        <w:t xml:space="preserve">hydro </w:t>
      </w:r>
      <w:r w:rsidRPr="00405104">
        <w:t>resources mapped to the Lake Elsinore area are not shown due to unavailability of proposed interconnection substation coordinates.</w:t>
      </w:r>
    </w:p>
  </w:footnote>
  <w:footnote w:id="24">
    <w:p w14:paraId="56020A87" w14:textId="0C236B0D" w:rsidR="00405104" w:rsidRDefault="00405104">
      <w:pPr>
        <w:pStyle w:val="FootnoteText"/>
      </w:pPr>
      <w:r>
        <w:rPr>
          <w:rStyle w:val="FootnoteReference"/>
        </w:rPr>
        <w:footnoteRef/>
      </w:r>
      <w:r>
        <w:t xml:space="preserve"> </w:t>
      </w:r>
      <w:r w:rsidRPr="00405104">
        <w:t xml:space="preserve">Note: OOS </w:t>
      </w:r>
      <w:r>
        <w:t>w</w:t>
      </w:r>
      <w:r w:rsidRPr="00405104">
        <w:t xml:space="preserve">ind resources are shown at their point of interconnection with the CAISO. Pumped </w:t>
      </w:r>
      <w:r>
        <w:t>s</w:t>
      </w:r>
      <w:r w:rsidRPr="00405104">
        <w:t xml:space="preserve">torage </w:t>
      </w:r>
      <w:r>
        <w:t xml:space="preserve">hydro </w:t>
      </w:r>
      <w:r w:rsidRPr="00405104">
        <w:t>resources mapped to the Lake Elsinore area are not shown due to unavailability of proposed interconnection substation coordinates.</w:t>
      </w:r>
    </w:p>
  </w:footnote>
  <w:footnote w:id="25">
    <w:p w14:paraId="2DDDFD36" w14:textId="364D40FA" w:rsidR="00DD54CE" w:rsidRDefault="00DD54CE" w:rsidP="00E651FC">
      <w:pPr>
        <w:pStyle w:val="FootnoteText"/>
      </w:pPr>
      <w:r>
        <w:footnoteRef/>
      </w:r>
      <w:r>
        <w:t xml:space="preserve"> D. 08-04-060 in R. 07-01-041, “Decision Adopting Protocols for Estimating Demand Response Load Impacts. LIP Final Reports are filed annual on April 1.</w:t>
      </w:r>
    </w:p>
  </w:footnote>
  <w:footnote w:id="26">
    <w:p w14:paraId="17A724AA" w14:textId="2B4397EE" w:rsidR="00DD54CE" w:rsidRDefault="00DD54CE">
      <w:pPr>
        <w:pStyle w:val="FootnoteText"/>
      </w:pPr>
      <w:r>
        <w:rPr>
          <w:rStyle w:val="FootnoteReference"/>
        </w:rPr>
        <w:footnoteRef/>
      </w:r>
      <w:r>
        <w:t xml:space="preserve"> This flexibility in busbar mapping of a resource for a TPP base case is an exception and CPUC staff does not perceive it as precedent setting.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DD54CE" w14:paraId="58EDC7DF" w14:textId="77777777" w:rsidTr="0774BBAD">
      <w:tc>
        <w:tcPr>
          <w:tcW w:w="3120" w:type="dxa"/>
        </w:tcPr>
        <w:p w14:paraId="4A16C843" w14:textId="686A9CB6" w:rsidR="00DD54CE" w:rsidRDefault="00DD54CE" w:rsidP="000B656F">
          <w:pPr>
            <w:pStyle w:val="Header"/>
            <w:ind w:left="-115"/>
          </w:pPr>
        </w:p>
      </w:tc>
      <w:tc>
        <w:tcPr>
          <w:tcW w:w="3120" w:type="dxa"/>
        </w:tcPr>
        <w:p w14:paraId="121C2556" w14:textId="51FA6AF7" w:rsidR="00DD54CE" w:rsidRDefault="00DD54CE" w:rsidP="000B656F">
          <w:pPr>
            <w:pStyle w:val="Header"/>
            <w:jc w:val="center"/>
          </w:pPr>
        </w:p>
      </w:tc>
      <w:tc>
        <w:tcPr>
          <w:tcW w:w="3120" w:type="dxa"/>
        </w:tcPr>
        <w:p w14:paraId="3FA89E8A" w14:textId="03677F82" w:rsidR="00DD54CE" w:rsidRDefault="00DD54CE" w:rsidP="000B656F">
          <w:pPr>
            <w:pStyle w:val="Header"/>
            <w:ind w:right="-115"/>
            <w:jc w:val="right"/>
          </w:pPr>
        </w:p>
      </w:tc>
    </w:tr>
  </w:tbl>
  <w:p w14:paraId="30D2451B" w14:textId="2458233B" w:rsidR="00DD54CE" w:rsidRDefault="00DD54CE" w:rsidP="00957612">
    <w:pPr>
      <w:pStyle w:val="Header"/>
    </w:pPr>
  </w:p>
</w:hdr>
</file>

<file path=word/intelligence.xml><?xml version="1.0" encoding="utf-8"?>
<int:Intelligence xmlns:int="http://schemas.microsoft.com/office/intelligence/2019/intelligence">
  <int:IntelligenceSettings/>
  <int:Manifest>
    <int:WordHash hashCode="m/D4/19di8v/ud" id="7ExsmlAM"/>
    <int:WordHash hashCode="fG9aogHwWVTxO9" id="07RcKCdy"/>
    <int:WordHash hashCode="ZanletI6wlweVG" id="jFIwXL9j"/>
    <int:WordHash hashCode="itfSHHGwSbcAO6" id="XD1bjGcE"/>
    <int:WordHash hashCode="SMFwPIHakRGYAb" id="gbybJYOU"/>
    <int:WordHash hashCode="XPf0qibiqx25B8" id="mjWyinXo"/>
    <int:WordHash hashCode="Misg/15vGxeaYP" id="+LPD2axV"/>
  </int:Manifest>
  <int:Observations>
    <int:Content id="7ExsmlAM">
      <int:Rejection type="AugLoop_Text_Critique"/>
    </int:Content>
    <int:Content id="07RcKCdy">
      <int:Rejection type="AugLoop_Text_Critique"/>
    </int:Content>
    <int:Content id="jFIwXL9j">
      <int:Rejection type="AugLoop_Text_Critique"/>
    </int:Content>
    <int:Content id="XD1bjGcE">
      <int:Rejection type="AugLoop_Text_Critique"/>
    </int:Content>
    <int:Content id="gbybJYOU">
      <int:Rejection type="AugLoop_Text_Critique"/>
    </int:Content>
    <int:Content id="mjWyinXo">
      <int:Rejection type="AugLoop_Text_Critique"/>
    </int:Content>
    <int:Content id="+LPD2axV">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05085"/>
    <w:multiLevelType w:val="hybridMultilevel"/>
    <w:tmpl w:val="6EB810C8"/>
    <w:lvl w:ilvl="0" w:tplc="11E87490">
      <w:start w:val="1"/>
      <w:numFmt w:val="bullet"/>
      <w:lvlText w:val=""/>
      <w:lvlJc w:val="left"/>
      <w:pPr>
        <w:ind w:left="720" w:hanging="360"/>
      </w:pPr>
      <w:rPr>
        <w:rFonts w:ascii="Symbol" w:hAnsi="Symbol" w:hint="default"/>
      </w:rPr>
    </w:lvl>
    <w:lvl w:ilvl="1" w:tplc="4B66FAA0">
      <w:start w:val="1"/>
      <w:numFmt w:val="bullet"/>
      <w:lvlText w:val=""/>
      <w:lvlJc w:val="left"/>
      <w:pPr>
        <w:ind w:left="1440" w:hanging="360"/>
      </w:pPr>
      <w:rPr>
        <w:rFonts w:ascii="Symbol" w:hAnsi="Symbol" w:hint="default"/>
      </w:rPr>
    </w:lvl>
    <w:lvl w:ilvl="2" w:tplc="984C2A90">
      <w:start w:val="1"/>
      <w:numFmt w:val="bullet"/>
      <w:lvlText w:val=""/>
      <w:lvlJc w:val="left"/>
      <w:pPr>
        <w:ind w:left="2160" w:hanging="360"/>
      </w:pPr>
      <w:rPr>
        <w:rFonts w:ascii="Wingdings" w:hAnsi="Wingdings" w:hint="default"/>
      </w:rPr>
    </w:lvl>
    <w:lvl w:ilvl="3" w:tplc="1D521B22">
      <w:start w:val="1"/>
      <w:numFmt w:val="bullet"/>
      <w:lvlText w:val=""/>
      <w:lvlJc w:val="left"/>
      <w:pPr>
        <w:ind w:left="2880" w:hanging="360"/>
      </w:pPr>
      <w:rPr>
        <w:rFonts w:ascii="Symbol" w:hAnsi="Symbol" w:hint="default"/>
      </w:rPr>
    </w:lvl>
    <w:lvl w:ilvl="4" w:tplc="459E4200">
      <w:start w:val="1"/>
      <w:numFmt w:val="bullet"/>
      <w:lvlText w:val="o"/>
      <w:lvlJc w:val="left"/>
      <w:pPr>
        <w:ind w:left="3600" w:hanging="360"/>
      </w:pPr>
      <w:rPr>
        <w:rFonts w:ascii="Courier New" w:hAnsi="Courier New" w:hint="default"/>
      </w:rPr>
    </w:lvl>
    <w:lvl w:ilvl="5" w:tplc="622810DC">
      <w:start w:val="1"/>
      <w:numFmt w:val="bullet"/>
      <w:lvlText w:val=""/>
      <w:lvlJc w:val="left"/>
      <w:pPr>
        <w:ind w:left="4320" w:hanging="360"/>
      </w:pPr>
      <w:rPr>
        <w:rFonts w:ascii="Wingdings" w:hAnsi="Wingdings" w:hint="default"/>
      </w:rPr>
    </w:lvl>
    <w:lvl w:ilvl="6" w:tplc="27EA916C">
      <w:start w:val="1"/>
      <w:numFmt w:val="bullet"/>
      <w:lvlText w:val=""/>
      <w:lvlJc w:val="left"/>
      <w:pPr>
        <w:ind w:left="5040" w:hanging="360"/>
      </w:pPr>
      <w:rPr>
        <w:rFonts w:ascii="Symbol" w:hAnsi="Symbol" w:hint="default"/>
      </w:rPr>
    </w:lvl>
    <w:lvl w:ilvl="7" w:tplc="4B9AEBA6">
      <w:start w:val="1"/>
      <w:numFmt w:val="bullet"/>
      <w:lvlText w:val="o"/>
      <w:lvlJc w:val="left"/>
      <w:pPr>
        <w:ind w:left="5760" w:hanging="360"/>
      </w:pPr>
      <w:rPr>
        <w:rFonts w:ascii="Courier New" w:hAnsi="Courier New" w:hint="default"/>
      </w:rPr>
    </w:lvl>
    <w:lvl w:ilvl="8" w:tplc="D34EEA88">
      <w:start w:val="1"/>
      <w:numFmt w:val="bullet"/>
      <w:lvlText w:val=""/>
      <w:lvlJc w:val="left"/>
      <w:pPr>
        <w:ind w:left="6480" w:hanging="360"/>
      </w:pPr>
      <w:rPr>
        <w:rFonts w:ascii="Wingdings" w:hAnsi="Wingdings" w:hint="default"/>
      </w:rPr>
    </w:lvl>
  </w:abstractNum>
  <w:abstractNum w:abstractNumId="1" w15:restartNumberingAfterBreak="0">
    <w:nsid w:val="0324315C"/>
    <w:multiLevelType w:val="hybridMultilevel"/>
    <w:tmpl w:val="CB5ABA5C"/>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6C03DB"/>
    <w:multiLevelType w:val="hybridMultilevel"/>
    <w:tmpl w:val="154E99E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4573871"/>
    <w:multiLevelType w:val="hybridMultilevel"/>
    <w:tmpl w:val="04AC7F24"/>
    <w:lvl w:ilvl="0" w:tplc="AEA6B02C">
      <w:start w:val="1"/>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22418"/>
    <w:multiLevelType w:val="hybridMultilevel"/>
    <w:tmpl w:val="C19C12A0"/>
    <w:lvl w:ilvl="0" w:tplc="031ED894">
      <w:start w:val="1"/>
      <w:numFmt w:val="bullet"/>
      <w:lvlText w:val="o"/>
      <w:lvlJc w:val="left"/>
      <w:pPr>
        <w:ind w:left="1080" w:hanging="360"/>
      </w:pPr>
      <w:rPr>
        <w:rFonts w:ascii="Courier New" w:hAnsi="Courier New" w:hint="default"/>
      </w:rPr>
    </w:lvl>
    <w:lvl w:ilvl="1" w:tplc="225693F4">
      <w:start w:val="1"/>
      <w:numFmt w:val="bullet"/>
      <w:lvlText w:val="o"/>
      <w:lvlJc w:val="left"/>
      <w:pPr>
        <w:ind w:left="1800" w:hanging="360"/>
      </w:pPr>
      <w:rPr>
        <w:rFonts w:ascii="Courier New" w:hAnsi="Courier New" w:hint="default"/>
      </w:rPr>
    </w:lvl>
    <w:lvl w:ilvl="2" w:tplc="9320A462">
      <w:start w:val="1"/>
      <w:numFmt w:val="bullet"/>
      <w:lvlText w:val=""/>
      <w:lvlJc w:val="left"/>
      <w:pPr>
        <w:ind w:left="2520" w:hanging="360"/>
      </w:pPr>
      <w:rPr>
        <w:rFonts w:ascii="Wingdings" w:hAnsi="Wingdings" w:hint="default"/>
      </w:rPr>
    </w:lvl>
    <w:lvl w:ilvl="3" w:tplc="E5741518">
      <w:start w:val="1"/>
      <w:numFmt w:val="bullet"/>
      <w:lvlText w:val=""/>
      <w:lvlJc w:val="left"/>
      <w:pPr>
        <w:ind w:left="3240" w:hanging="360"/>
      </w:pPr>
      <w:rPr>
        <w:rFonts w:ascii="Symbol" w:hAnsi="Symbol" w:hint="default"/>
      </w:rPr>
    </w:lvl>
    <w:lvl w:ilvl="4" w:tplc="77CE9C44">
      <w:start w:val="1"/>
      <w:numFmt w:val="bullet"/>
      <w:lvlText w:val="o"/>
      <w:lvlJc w:val="left"/>
      <w:pPr>
        <w:ind w:left="3960" w:hanging="360"/>
      </w:pPr>
      <w:rPr>
        <w:rFonts w:ascii="Courier New" w:hAnsi="Courier New" w:hint="default"/>
      </w:rPr>
    </w:lvl>
    <w:lvl w:ilvl="5" w:tplc="46DCDCA8">
      <w:start w:val="1"/>
      <w:numFmt w:val="bullet"/>
      <w:lvlText w:val=""/>
      <w:lvlJc w:val="left"/>
      <w:pPr>
        <w:ind w:left="4680" w:hanging="360"/>
      </w:pPr>
      <w:rPr>
        <w:rFonts w:ascii="Wingdings" w:hAnsi="Wingdings" w:hint="default"/>
      </w:rPr>
    </w:lvl>
    <w:lvl w:ilvl="6" w:tplc="B6DA5ED6">
      <w:start w:val="1"/>
      <w:numFmt w:val="bullet"/>
      <w:lvlText w:val=""/>
      <w:lvlJc w:val="left"/>
      <w:pPr>
        <w:ind w:left="5400" w:hanging="360"/>
      </w:pPr>
      <w:rPr>
        <w:rFonts w:ascii="Symbol" w:hAnsi="Symbol" w:hint="default"/>
      </w:rPr>
    </w:lvl>
    <w:lvl w:ilvl="7" w:tplc="8C88E4B6">
      <w:start w:val="1"/>
      <w:numFmt w:val="bullet"/>
      <w:lvlText w:val="o"/>
      <w:lvlJc w:val="left"/>
      <w:pPr>
        <w:ind w:left="6120" w:hanging="360"/>
      </w:pPr>
      <w:rPr>
        <w:rFonts w:ascii="Courier New" w:hAnsi="Courier New" w:hint="default"/>
      </w:rPr>
    </w:lvl>
    <w:lvl w:ilvl="8" w:tplc="D50E1F9E">
      <w:start w:val="1"/>
      <w:numFmt w:val="bullet"/>
      <w:lvlText w:val=""/>
      <w:lvlJc w:val="left"/>
      <w:pPr>
        <w:ind w:left="6840" w:hanging="360"/>
      </w:pPr>
      <w:rPr>
        <w:rFonts w:ascii="Wingdings" w:hAnsi="Wingdings" w:hint="default"/>
      </w:rPr>
    </w:lvl>
  </w:abstractNum>
  <w:abstractNum w:abstractNumId="5" w15:restartNumberingAfterBreak="0">
    <w:nsid w:val="067617D3"/>
    <w:multiLevelType w:val="hybridMultilevel"/>
    <w:tmpl w:val="4858E362"/>
    <w:lvl w:ilvl="0" w:tplc="A99659D4">
      <w:start w:val="1"/>
      <w:numFmt w:val="bullet"/>
      <w:lvlText w:val=""/>
      <w:lvlJc w:val="left"/>
      <w:pPr>
        <w:ind w:left="720" w:hanging="360"/>
      </w:pPr>
      <w:rPr>
        <w:rFonts w:ascii="Symbol" w:hAnsi="Symbol" w:hint="default"/>
      </w:rPr>
    </w:lvl>
    <w:lvl w:ilvl="1" w:tplc="7AF0E382">
      <w:start w:val="1"/>
      <w:numFmt w:val="bullet"/>
      <w:lvlText w:val="o"/>
      <w:lvlJc w:val="left"/>
      <w:pPr>
        <w:ind w:left="1440" w:hanging="360"/>
      </w:pPr>
      <w:rPr>
        <w:rFonts w:ascii="Courier New" w:hAnsi="Courier New" w:hint="default"/>
      </w:rPr>
    </w:lvl>
    <w:lvl w:ilvl="2" w:tplc="8C4852E4">
      <w:start w:val="1"/>
      <w:numFmt w:val="bullet"/>
      <w:lvlText w:val=""/>
      <w:lvlJc w:val="left"/>
      <w:pPr>
        <w:ind w:left="2160" w:hanging="360"/>
      </w:pPr>
      <w:rPr>
        <w:rFonts w:ascii="Wingdings" w:hAnsi="Wingdings" w:hint="default"/>
      </w:rPr>
    </w:lvl>
    <w:lvl w:ilvl="3" w:tplc="4C4EB23E">
      <w:start w:val="1"/>
      <w:numFmt w:val="bullet"/>
      <w:lvlText w:val=""/>
      <w:lvlJc w:val="left"/>
      <w:pPr>
        <w:ind w:left="2880" w:hanging="360"/>
      </w:pPr>
      <w:rPr>
        <w:rFonts w:ascii="Symbol" w:hAnsi="Symbol" w:hint="default"/>
      </w:rPr>
    </w:lvl>
    <w:lvl w:ilvl="4" w:tplc="612079E8">
      <w:start w:val="1"/>
      <w:numFmt w:val="bullet"/>
      <w:lvlText w:val="o"/>
      <w:lvlJc w:val="left"/>
      <w:pPr>
        <w:ind w:left="3600" w:hanging="360"/>
      </w:pPr>
      <w:rPr>
        <w:rFonts w:ascii="Courier New" w:hAnsi="Courier New" w:hint="default"/>
      </w:rPr>
    </w:lvl>
    <w:lvl w:ilvl="5" w:tplc="44C81E62">
      <w:start w:val="1"/>
      <w:numFmt w:val="bullet"/>
      <w:lvlText w:val=""/>
      <w:lvlJc w:val="left"/>
      <w:pPr>
        <w:ind w:left="4320" w:hanging="360"/>
      </w:pPr>
      <w:rPr>
        <w:rFonts w:ascii="Wingdings" w:hAnsi="Wingdings" w:hint="default"/>
      </w:rPr>
    </w:lvl>
    <w:lvl w:ilvl="6" w:tplc="F54271E6">
      <w:start w:val="1"/>
      <w:numFmt w:val="bullet"/>
      <w:lvlText w:val=""/>
      <w:lvlJc w:val="left"/>
      <w:pPr>
        <w:ind w:left="5040" w:hanging="360"/>
      </w:pPr>
      <w:rPr>
        <w:rFonts w:ascii="Symbol" w:hAnsi="Symbol" w:hint="default"/>
      </w:rPr>
    </w:lvl>
    <w:lvl w:ilvl="7" w:tplc="04BC201A">
      <w:start w:val="1"/>
      <w:numFmt w:val="bullet"/>
      <w:lvlText w:val="o"/>
      <w:lvlJc w:val="left"/>
      <w:pPr>
        <w:ind w:left="5760" w:hanging="360"/>
      </w:pPr>
      <w:rPr>
        <w:rFonts w:ascii="Courier New" w:hAnsi="Courier New" w:hint="default"/>
      </w:rPr>
    </w:lvl>
    <w:lvl w:ilvl="8" w:tplc="E70EBE14">
      <w:start w:val="1"/>
      <w:numFmt w:val="bullet"/>
      <w:lvlText w:val=""/>
      <w:lvlJc w:val="left"/>
      <w:pPr>
        <w:ind w:left="6480" w:hanging="360"/>
      </w:pPr>
      <w:rPr>
        <w:rFonts w:ascii="Wingdings" w:hAnsi="Wingdings" w:hint="default"/>
      </w:rPr>
    </w:lvl>
  </w:abstractNum>
  <w:abstractNum w:abstractNumId="6" w15:restartNumberingAfterBreak="0">
    <w:nsid w:val="073A6CA6"/>
    <w:multiLevelType w:val="hybridMultilevel"/>
    <w:tmpl w:val="FFFFFFFF"/>
    <w:lvl w:ilvl="0" w:tplc="DCB24F86">
      <w:start w:val="1"/>
      <w:numFmt w:val="bullet"/>
      <w:lvlText w:val=""/>
      <w:lvlJc w:val="left"/>
      <w:pPr>
        <w:ind w:left="720" w:hanging="360"/>
      </w:pPr>
      <w:rPr>
        <w:rFonts w:ascii="Symbol" w:hAnsi="Symbol" w:hint="default"/>
      </w:rPr>
    </w:lvl>
    <w:lvl w:ilvl="1" w:tplc="5FF6F854">
      <w:start w:val="1"/>
      <w:numFmt w:val="bullet"/>
      <w:lvlText w:val="o"/>
      <w:lvlJc w:val="left"/>
      <w:pPr>
        <w:ind w:left="1440" w:hanging="360"/>
      </w:pPr>
      <w:rPr>
        <w:rFonts w:ascii="Courier New" w:hAnsi="Courier New" w:hint="default"/>
      </w:rPr>
    </w:lvl>
    <w:lvl w:ilvl="2" w:tplc="4A841040">
      <w:start w:val="1"/>
      <w:numFmt w:val="bullet"/>
      <w:lvlText w:val=""/>
      <w:lvlJc w:val="left"/>
      <w:pPr>
        <w:ind w:left="2160" w:hanging="360"/>
      </w:pPr>
      <w:rPr>
        <w:rFonts w:ascii="Wingdings" w:hAnsi="Wingdings" w:hint="default"/>
      </w:rPr>
    </w:lvl>
    <w:lvl w:ilvl="3" w:tplc="CD109186">
      <w:start w:val="1"/>
      <w:numFmt w:val="bullet"/>
      <w:lvlText w:val=""/>
      <w:lvlJc w:val="left"/>
      <w:pPr>
        <w:ind w:left="2880" w:hanging="360"/>
      </w:pPr>
      <w:rPr>
        <w:rFonts w:ascii="Symbol" w:hAnsi="Symbol" w:hint="default"/>
      </w:rPr>
    </w:lvl>
    <w:lvl w:ilvl="4" w:tplc="6D40A72C">
      <w:start w:val="1"/>
      <w:numFmt w:val="bullet"/>
      <w:lvlText w:val="o"/>
      <w:lvlJc w:val="left"/>
      <w:pPr>
        <w:ind w:left="3600" w:hanging="360"/>
      </w:pPr>
      <w:rPr>
        <w:rFonts w:ascii="Courier New" w:hAnsi="Courier New" w:hint="default"/>
      </w:rPr>
    </w:lvl>
    <w:lvl w:ilvl="5" w:tplc="D638B352">
      <w:start w:val="1"/>
      <w:numFmt w:val="bullet"/>
      <w:lvlText w:val=""/>
      <w:lvlJc w:val="left"/>
      <w:pPr>
        <w:ind w:left="4320" w:hanging="360"/>
      </w:pPr>
      <w:rPr>
        <w:rFonts w:ascii="Wingdings" w:hAnsi="Wingdings" w:hint="default"/>
      </w:rPr>
    </w:lvl>
    <w:lvl w:ilvl="6" w:tplc="C85AC35A">
      <w:start w:val="1"/>
      <w:numFmt w:val="bullet"/>
      <w:lvlText w:val=""/>
      <w:lvlJc w:val="left"/>
      <w:pPr>
        <w:ind w:left="5040" w:hanging="360"/>
      </w:pPr>
      <w:rPr>
        <w:rFonts w:ascii="Symbol" w:hAnsi="Symbol" w:hint="default"/>
      </w:rPr>
    </w:lvl>
    <w:lvl w:ilvl="7" w:tplc="081215D4">
      <w:start w:val="1"/>
      <w:numFmt w:val="bullet"/>
      <w:lvlText w:val="o"/>
      <w:lvlJc w:val="left"/>
      <w:pPr>
        <w:ind w:left="5760" w:hanging="360"/>
      </w:pPr>
      <w:rPr>
        <w:rFonts w:ascii="Courier New" w:hAnsi="Courier New" w:hint="default"/>
      </w:rPr>
    </w:lvl>
    <w:lvl w:ilvl="8" w:tplc="EC366B44">
      <w:start w:val="1"/>
      <w:numFmt w:val="bullet"/>
      <w:lvlText w:val=""/>
      <w:lvlJc w:val="left"/>
      <w:pPr>
        <w:ind w:left="6480" w:hanging="360"/>
      </w:pPr>
      <w:rPr>
        <w:rFonts w:ascii="Wingdings" w:hAnsi="Wingdings" w:hint="default"/>
      </w:rPr>
    </w:lvl>
  </w:abstractNum>
  <w:abstractNum w:abstractNumId="7" w15:restartNumberingAfterBreak="0">
    <w:nsid w:val="08EC678F"/>
    <w:multiLevelType w:val="hybridMultilevel"/>
    <w:tmpl w:val="3092A254"/>
    <w:lvl w:ilvl="0" w:tplc="FB708CFE">
      <w:start w:val="1"/>
      <w:numFmt w:val="bullet"/>
      <w:lvlText w:val=""/>
      <w:lvlJc w:val="left"/>
      <w:pPr>
        <w:ind w:left="720" w:hanging="360"/>
      </w:pPr>
      <w:rPr>
        <w:rFonts w:ascii="Symbol" w:hAnsi="Symbol" w:hint="default"/>
      </w:rPr>
    </w:lvl>
    <w:lvl w:ilvl="1" w:tplc="6C683F06">
      <w:start w:val="1"/>
      <w:numFmt w:val="bullet"/>
      <w:lvlText w:val="o"/>
      <w:lvlJc w:val="left"/>
      <w:pPr>
        <w:ind w:left="1440" w:hanging="360"/>
      </w:pPr>
      <w:rPr>
        <w:rFonts w:ascii="Courier New" w:hAnsi="Courier New" w:hint="default"/>
      </w:rPr>
    </w:lvl>
    <w:lvl w:ilvl="2" w:tplc="52F6062A">
      <w:start w:val="1"/>
      <w:numFmt w:val="bullet"/>
      <w:lvlText w:val=""/>
      <w:lvlJc w:val="left"/>
      <w:pPr>
        <w:ind w:left="2160" w:hanging="360"/>
      </w:pPr>
      <w:rPr>
        <w:rFonts w:ascii="Wingdings" w:hAnsi="Wingdings" w:hint="default"/>
      </w:rPr>
    </w:lvl>
    <w:lvl w:ilvl="3" w:tplc="DA6E5BAE">
      <w:start w:val="1"/>
      <w:numFmt w:val="bullet"/>
      <w:lvlText w:val=""/>
      <w:lvlJc w:val="left"/>
      <w:pPr>
        <w:ind w:left="2880" w:hanging="360"/>
      </w:pPr>
      <w:rPr>
        <w:rFonts w:ascii="Symbol" w:hAnsi="Symbol" w:hint="default"/>
      </w:rPr>
    </w:lvl>
    <w:lvl w:ilvl="4" w:tplc="B8F4FA02">
      <w:start w:val="1"/>
      <w:numFmt w:val="bullet"/>
      <w:lvlText w:val="o"/>
      <w:lvlJc w:val="left"/>
      <w:pPr>
        <w:ind w:left="3600" w:hanging="360"/>
      </w:pPr>
      <w:rPr>
        <w:rFonts w:ascii="Courier New" w:hAnsi="Courier New" w:hint="default"/>
      </w:rPr>
    </w:lvl>
    <w:lvl w:ilvl="5" w:tplc="A15CEAE8">
      <w:start w:val="1"/>
      <w:numFmt w:val="bullet"/>
      <w:lvlText w:val=""/>
      <w:lvlJc w:val="left"/>
      <w:pPr>
        <w:ind w:left="4320" w:hanging="360"/>
      </w:pPr>
      <w:rPr>
        <w:rFonts w:ascii="Wingdings" w:hAnsi="Wingdings" w:hint="default"/>
      </w:rPr>
    </w:lvl>
    <w:lvl w:ilvl="6" w:tplc="4B64979C">
      <w:start w:val="1"/>
      <w:numFmt w:val="bullet"/>
      <w:lvlText w:val=""/>
      <w:lvlJc w:val="left"/>
      <w:pPr>
        <w:ind w:left="5040" w:hanging="360"/>
      </w:pPr>
      <w:rPr>
        <w:rFonts w:ascii="Symbol" w:hAnsi="Symbol" w:hint="default"/>
      </w:rPr>
    </w:lvl>
    <w:lvl w:ilvl="7" w:tplc="A2BCB504">
      <w:start w:val="1"/>
      <w:numFmt w:val="bullet"/>
      <w:lvlText w:val="o"/>
      <w:lvlJc w:val="left"/>
      <w:pPr>
        <w:ind w:left="5760" w:hanging="360"/>
      </w:pPr>
      <w:rPr>
        <w:rFonts w:ascii="Courier New" w:hAnsi="Courier New" w:hint="default"/>
      </w:rPr>
    </w:lvl>
    <w:lvl w:ilvl="8" w:tplc="C728F226">
      <w:start w:val="1"/>
      <w:numFmt w:val="bullet"/>
      <w:lvlText w:val=""/>
      <w:lvlJc w:val="left"/>
      <w:pPr>
        <w:ind w:left="6480" w:hanging="360"/>
      </w:pPr>
      <w:rPr>
        <w:rFonts w:ascii="Wingdings" w:hAnsi="Wingdings" w:hint="default"/>
      </w:rPr>
    </w:lvl>
  </w:abstractNum>
  <w:abstractNum w:abstractNumId="8" w15:restartNumberingAfterBreak="0">
    <w:nsid w:val="08EE5590"/>
    <w:multiLevelType w:val="hybridMultilevel"/>
    <w:tmpl w:val="74566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34029"/>
    <w:multiLevelType w:val="hybridMultilevel"/>
    <w:tmpl w:val="FFFFFFFF"/>
    <w:lvl w:ilvl="0" w:tplc="57304CBE">
      <w:start w:val="1"/>
      <w:numFmt w:val="bullet"/>
      <w:lvlText w:val=""/>
      <w:lvlJc w:val="left"/>
      <w:pPr>
        <w:ind w:left="1080" w:hanging="360"/>
      </w:pPr>
      <w:rPr>
        <w:rFonts w:ascii="Symbol" w:hAnsi="Symbol" w:hint="default"/>
      </w:rPr>
    </w:lvl>
    <w:lvl w:ilvl="1" w:tplc="6B7E30E2">
      <w:start w:val="1"/>
      <w:numFmt w:val="bullet"/>
      <w:lvlText w:val="o"/>
      <w:lvlJc w:val="left"/>
      <w:pPr>
        <w:ind w:left="1800" w:hanging="360"/>
      </w:pPr>
      <w:rPr>
        <w:rFonts w:ascii="Courier New" w:hAnsi="Courier New" w:hint="default"/>
      </w:rPr>
    </w:lvl>
    <w:lvl w:ilvl="2" w:tplc="D1A08ED6">
      <w:start w:val="1"/>
      <w:numFmt w:val="bullet"/>
      <w:lvlText w:val=""/>
      <w:lvlJc w:val="left"/>
      <w:pPr>
        <w:ind w:left="2520" w:hanging="360"/>
      </w:pPr>
      <w:rPr>
        <w:rFonts w:ascii="Wingdings" w:hAnsi="Wingdings" w:hint="default"/>
      </w:rPr>
    </w:lvl>
    <w:lvl w:ilvl="3" w:tplc="130C2BFA">
      <w:start w:val="1"/>
      <w:numFmt w:val="bullet"/>
      <w:lvlText w:val=""/>
      <w:lvlJc w:val="left"/>
      <w:pPr>
        <w:ind w:left="3240" w:hanging="360"/>
      </w:pPr>
      <w:rPr>
        <w:rFonts w:ascii="Symbol" w:hAnsi="Symbol" w:hint="default"/>
      </w:rPr>
    </w:lvl>
    <w:lvl w:ilvl="4" w:tplc="9F6A3A64">
      <w:start w:val="1"/>
      <w:numFmt w:val="bullet"/>
      <w:lvlText w:val="o"/>
      <w:lvlJc w:val="left"/>
      <w:pPr>
        <w:ind w:left="3960" w:hanging="360"/>
      </w:pPr>
      <w:rPr>
        <w:rFonts w:ascii="Courier New" w:hAnsi="Courier New" w:hint="default"/>
      </w:rPr>
    </w:lvl>
    <w:lvl w:ilvl="5" w:tplc="6C383B86">
      <w:start w:val="1"/>
      <w:numFmt w:val="bullet"/>
      <w:lvlText w:val=""/>
      <w:lvlJc w:val="left"/>
      <w:pPr>
        <w:ind w:left="4680" w:hanging="360"/>
      </w:pPr>
      <w:rPr>
        <w:rFonts w:ascii="Wingdings" w:hAnsi="Wingdings" w:hint="default"/>
      </w:rPr>
    </w:lvl>
    <w:lvl w:ilvl="6" w:tplc="D43C9520">
      <w:start w:val="1"/>
      <w:numFmt w:val="bullet"/>
      <w:lvlText w:val=""/>
      <w:lvlJc w:val="left"/>
      <w:pPr>
        <w:ind w:left="5400" w:hanging="360"/>
      </w:pPr>
      <w:rPr>
        <w:rFonts w:ascii="Symbol" w:hAnsi="Symbol" w:hint="default"/>
      </w:rPr>
    </w:lvl>
    <w:lvl w:ilvl="7" w:tplc="994809C4">
      <w:start w:val="1"/>
      <w:numFmt w:val="bullet"/>
      <w:lvlText w:val="o"/>
      <w:lvlJc w:val="left"/>
      <w:pPr>
        <w:ind w:left="6120" w:hanging="360"/>
      </w:pPr>
      <w:rPr>
        <w:rFonts w:ascii="Courier New" w:hAnsi="Courier New" w:hint="default"/>
      </w:rPr>
    </w:lvl>
    <w:lvl w:ilvl="8" w:tplc="28048EE8">
      <w:start w:val="1"/>
      <w:numFmt w:val="bullet"/>
      <w:lvlText w:val=""/>
      <w:lvlJc w:val="left"/>
      <w:pPr>
        <w:ind w:left="6840" w:hanging="360"/>
      </w:pPr>
      <w:rPr>
        <w:rFonts w:ascii="Wingdings" w:hAnsi="Wingdings" w:hint="default"/>
      </w:rPr>
    </w:lvl>
  </w:abstractNum>
  <w:abstractNum w:abstractNumId="10" w15:restartNumberingAfterBreak="0">
    <w:nsid w:val="0A785CC0"/>
    <w:multiLevelType w:val="hybridMultilevel"/>
    <w:tmpl w:val="DE5E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1E38B3"/>
    <w:multiLevelType w:val="hybridMultilevel"/>
    <w:tmpl w:val="F9F01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45395"/>
    <w:multiLevelType w:val="hybridMultilevel"/>
    <w:tmpl w:val="FFFFFFFF"/>
    <w:lvl w:ilvl="0" w:tplc="95627444">
      <w:start w:val="1"/>
      <w:numFmt w:val="bullet"/>
      <w:lvlText w:val=""/>
      <w:lvlJc w:val="left"/>
      <w:pPr>
        <w:ind w:left="1080" w:hanging="360"/>
      </w:pPr>
      <w:rPr>
        <w:rFonts w:ascii="Symbol" w:hAnsi="Symbol" w:hint="default"/>
      </w:rPr>
    </w:lvl>
    <w:lvl w:ilvl="1" w:tplc="E83E5A94">
      <w:start w:val="1"/>
      <w:numFmt w:val="bullet"/>
      <w:lvlText w:val="o"/>
      <w:lvlJc w:val="left"/>
      <w:pPr>
        <w:ind w:left="1800" w:hanging="360"/>
      </w:pPr>
      <w:rPr>
        <w:rFonts w:ascii="Courier New" w:hAnsi="Courier New" w:hint="default"/>
      </w:rPr>
    </w:lvl>
    <w:lvl w:ilvl="2" w:tplc="53485BF8">
      <w:start w:val="1"/>
      <w:numFmt w:val="bullet"/>
      <w:lvlText w:val=""/>
      <w:lvlJc w:val="left"/>
      <w:pPr>
        <w:ind w:left="2520" w:hanging="360"/>
      </w:pPr>
      <w:rPr>
        <w:rFonts w:ascii="Wingdings" w:hAnsi="Wingdings" w:hint="default"/>
      </w:rPr>
    </w:lvl>
    <w:lvl w:ilvl="3" w:tplc="8C2E5A30">
      <w:start w:val="1"/>
      <w:numFmt w:val="bullet"/>
      <w:lvlText w:val=""/>
      <w:lvlJc w:val="left"/>
      <w:pPr>
        <w:ind w:left="3240" w:hanging="360"/>
      </w:pPr>
      <w:rPr>
        <w:rFonts w:ascii="Symbol" w:hAnsi="Symbol" w:hint="default"/>
      </w:rPr>
    </w:lvl>
    <w:lvl w:ilvl="4" w:tplc="4E1049D0">
      <w:start w:val="1"/>
      <w:numFmt w:val="bullet"/>
      <w:lvlText w:val="o"/>
      <w:lvlJc w:val="left"/>
      <w:pPr>
        <w:ind w:left="3960" w:hanging="360"/>
      </w:pPr>
      <w:rPr>
        <w:rFonts w:ascii="Courier New" w:hAnsi="Courier New" w:hint="default"/>
      </w:rPr>
    </w:lvl>
    <w:lvl w:ilvl="5" w:tplc="4804144A">
      <w:start w:val="1"/>
      <w:numFmt w:val="bullet"/>
      <w:lvlText w:val=""/>
      <w:lvlJc w:val="left"/>
      <w:pPr>
        <w:ind w:left="4680" w:hanging="360"/>
      </w:pPr>
      <w:rPr>
        <w:rFonts w:ascii="Wingdings" w:hAnsi="Wingdings" w:hint="default"/>
      </w:rPr>
    </w:lvl>
    <w:lvl w:ilvl="6" w:tplc="BE264EA6">
      <w:start w:val="1"/>
      <w:numFmt w:val="bullet"/>
      <w:lvlText w:val=""/>
      <w:lvlJc w:val="left"/>
      <w:pPr>
        <w:ind w:left="5400" w:hanging="360"/>
      </w:pPr>
      <w:rPr>
        <w:rFonts w:ascii="Symbol" w:hAnsi="Symbol" w:hint="default"/>
      </w:rPr>
    </w:lvl>
    <w:lvl w:ilvl="7" w:tplc="8F82136C">
      <w:start w:val="1"/>
      <w:numFmt w:val="bullet"/>
      <w:lvlText w:val="o"/>
      <w:lvlJc w:val="left"/>
      <w:pPr>
        <w:ind w:left="6120" w:hanging="360"/>
      </w:pPr>
      <w:rPr>
        <w:rFonts w:ascii="Courier New" w:hAnsi="Courier New" w:hint="default"/>
      </w:rPr>
    </w:lvl>
    <w:lvl w:ilvl="8" w:tplc="968015B4">
      <w:start w:val="1"/>
      <w:numFmt w:val="bullet"/>
      <w:lvlText w:val=""/>
      <w:lvlJc w:val="left"/>
      <w:pPr>
        <w:ind w:left="6840" w:hanging="360"/>
      </w:pPr>
      <w:rPr>
        <w:rFonts w:ascii="Wingdings" w:hAnsi="Wingdings" w:hint="default"/>
      </w:rPr>
    </w:lvl>
  </w:abstractNum>
  <w:abstractNum w:abstractNumId="13" w15:restartNumberingAfterBreak="0">
    <w:nsid w:val="0CA07B05"/>
    <w:multiLevelType w:val="hybridMultilevel"/>
    <w:tmpl w:val="6EC8929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FC4175"/>
    <w:multiLevelType w:val="hybridMultilevel"/>
    <w:tmpl w:val="A92C9BB4"/>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5" w15:restartNumberingAfterBreak="0">
    <w:nsid w:val="0DC852EB"/>
    <w:multiLevelType w:val="hybridMultilevel"/>
    <w:tmpl w:val="9DB6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7E211D"/>
    <w:multiLevelType w:val="hybridMultilevel"/>
    <w:tmpl w:val="324CDE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EA05552"/>
    <w:multiLevelType w:val="hybridMultilevel"/>
    <w:tmpl w:val="EB4EBCAC"/>
    <w:lvl w:ilvl="0" w:tplc="CBBA4978">
      <w:start w:val="1"/>
      <w:numFmt w:val="decimal"/>
      <w:lvlText w:val="%1."/>
      <w:lvlJc w:val="left"/>
      <w:pPr>
        <w:ind w:left="360" w:hanging="360"/>
      </w:pPr>
      <w:rPr>
        <w:rFonts w:ascii="Garamond" w:hAnsi="Garamond" w:hint="default"/>
        <w:b w:val="0"/>
        <w:bCs w:val="0"/>
      </w:rPr>
    </w:lvl>
    <w:lvl w:ilvl="1" w:tplc="CC7653A0">
      <w:start w:val="1"/>
      <w:numFmt w:val="decimal"/>
      <w:lvlText w:val="%1.%2."/>
      <w:lvlJc w:val="left"/>
      <w:pPr>
        <w:ind w:left="1080" w:hanging="360"/>
      </w:pPr>
      <w:rPr>
        <w:rFonts w:hint="default"/>
        <w:i w:val="0"/>
      </w:rPr>
    </w:lvl>
    <w:lvl w:ilvl="2" w:tplc="A4501B6C">
      <w:start w:val="1"/>
      <w:numFmt w:val="lowerRoman"/>
      <w:lvlText w:val="%3."/>
      <w:lvlJc w:val="right"/>
      <w:pPr>
        <w:ind w:left="1800" w:hanging="180"/>
      </w:pPr>
      <w:rPr>
        <w:rFonts w:hint="default"/>
      </w:rPr>
    </w:lvl>
    <w:lvl w:ilvl="3" w:tplc="436CDC16">
      <w:start w:val="1"/>
      <w:numFmt w:val="decimal"/>
      <w:lvlText w:val="%4."/>
      <w:lvlJc w:val="left"/>
      <w:pPr>
        <w:ind w:left="2520" w:hanging="360"/>
      </w:pPr>
      <w:rPr>
        <w:rFonts w:hint="default"/>
      </w:rPr>
    </w:lvl>
    <w:lvl w:ilvl="4" w:tplc="EAE01EB2">
      <w:start w:val="1"/>
      <w:numFmt w:val="lowerLetter"/>
      <w:lvlText w:val="%5."/>
      <w:lvlJc w:val="left"/>
      <w:pPr>
        <w:ind w:left="3240" w:hanging="360"/>
      </w:pPr>
      <w:rPr>
        <w:rFonts w:hint="default"/>
      </w:rPr>
    </w:lvl>
    <w:lvl w:ilvl="5" w:tplc="ED183F32">
      <w:start w:val="1"/>
      <w:numFmt w:val="lowerRoman"/>
      <w:lvlText w:val="%6."/>
      <w:lvlJc w:val="right"/>
      <w:pPr>
        <w:ind w:left="3960" w:hanging="180"/>
      </w:pPr>
      <w:rPr>
        <w:rFonts w:hint="default"/>
      </w:rPr>
    </w:lvl>
    <w:lvl w:ilvl="6" w:tplc="D242CDEA">
      <w:start w:val="1"/>
      <w:numFmt w:val="decimal"/>
      <w:lvlText w:val="%7."/>
      <w:lvlJc w:val="left"/>
      <w:pPr>
        <w:ind w:left="4680" w:hanging="360"/>
      </w:pPr>
      <w:rPr>
        <w:rFonts w:hint="default"/>
      </w:rPr>
    </w:lvl>
    <w:lvl w:ilvl="7" w:tplc="45B2277C">
      <w:start w:val="1"/>
      <w:numFmt w:val="lowerLetter"/>
      <w:lvlText w:val="%8."/>
      <w:lvlJc w:val="left"/>
      <w:pPr>
        <w:ind w:left="5400" w:hanging="360"/>
      </w:pPr>
      <w:rPr>
        <w:rFonts w:hint="default"/>
      </w:rPr>
    </w:lvl>
    <w:lvl w:ilvl="8" w:tplc="3B9C45EE">
      <w:start w:val="1"/>
      <w:numFmt w:val="lowerRoman"/>
      <w:lvlText w:val="%9."/>
      <w:lvlJc w:val="right"/>
      <w:pPr>
        <w:ind w:left="6120" w:hanging="180"/>
      </w:pPr>
      <w:rPr>
        <w:rFonts w:hint="default"/>
      </w:rPr>
    </w:lvl>
  </w:abstractNum>
  <w:abstractNum w:abstractNumId="18" w15:restartNumberingAfterBreak="0">
    <w:nsid w:val="0F08680F"/>
    <w:multiLevelType w:val="hybridMultilevel"/>
    <w:tmpl w:val="73889256"/>
    <w:lvl w:ilvl="0" w:tplc="855A5CF2">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F880B99"/>
    <w:multiLevelType w:val="hybridMultilevel"/>
    <w:tmpl w:val="4F1AF37C"/>
    <w:lvl w:ilvl="0" w:tplc="6C3832F2">
      <w:start w:val="1"/>
      <w:numFmt w:val="lowerLetter"/>
      <w:lvlText w:val="%1."/>
      <w:lvlJc w:val="left"/>
      <w:pPr>
        <w:ind w:left="720" w:hanging="360"/>
      </w:pPr>
    </w:lvl>
    <w:lvl w:ilvl="1" w:tplc="E006DA82">
      <w:start w:val="1"/>
      <w:numFmt w:val="lowerLetter"/>
      <w:lvlText w:val="%2."/>
      <w:lvlJc w:val="left"/>
      <w:pPr>
        <w:ind w:left="1440" w:hanging="360"/>
      </w:pPr>
    </w:lvl>
    <w:lvl w:ilvl="2" w:tplc="56406EF4">
      <w:start w:val="1"/>
      <w:numFmt w:val="lowerRoman"/>
      <w:lvlText w:val="%3."/>
      <w:lvlJc w:val="right"/>
      <w:pPr>
        <w:ind w:left="2160" w:hanging="180"/>
      </w:pPr>
    </w:lvl>
    <w:lvl w:ilvl="3" w:tplc="08088714">
      <w:start w:val="1"/>
      <w:numFmt w:val="decimal"/>
      <w:lvlText w:val="%4."/>
      <w:lvlJc w:val="left"/>
      <w:pPr>
        <w:ind w:left="2880" w:hanging="360"/>
      </w:pPr>
    </w:lvl>
    <w:lvl w:ilvl="4" w:tplc="951AA394">
      <w:start w:val="1"/>
      <w:numFmt w:val="lowerLetter"/>
      <w:lvlText w:val="%5."/>
      <w:lvlJc w:val="left"/>
      <w:pPr>
        <w:ind w:left="3600" w:hanging="360"/>
      </w:pPr>
    </w:lvl>
    <w:lvl w:ilvl="5" w:tplc="E97CDCEE">
      <w:start w:val="1"/>
      <w:numFmt w:val="lowerRoman"/>
      <w:lvlText w:val="%6."/>
      <w:lvlJc w:val="right"/>
      <w:pPr>
        <w:ind w:left="4320" w:hanging="180"/>
      </w:pPr>
    </w:lvl>
    <w:lvl w:ilvl="6" w:tplc="20F00378">
      <w:start w:val="1"/>
      <w:numFmt w:val="decimal"/>
      <w:lvlText w:val="%7."/>
      <w:lvlJc w:val="left"/>
      <w:pPr>
        <w:ind w:left="5040" w:hanging="360"/>
      </w:pPr>
    </w:lvl>
    <w:lvl w:ilvl="7" w:tplc="8D58EEEC">
      <w:start w:val="1"/>
      <w:numFmt w:val="lowerLetter"/>
      <w:lvlText w:val="%8."/>
      <w:lvlJc w:val="left"/>
      <w:pPr>
        <w:ind w:left="5760" w:hanging="360"/>
      </w:pPr>
    </w:lvl>
    <w:lvl w:ilvl="8" w:tplc="99562748">
      <w:start w:val="1"/>
      <w:numFmt w:val="lowerRoman"/>
      <w:lvlText w:val="%9."/>
      <w:lvlJc w:val="right"/>
      <w:pPr>
        <w:ind w:left="6480" w:hanging="180"/>
      </w:pPr>
    </w:lvl>
  </w:abstractNum>
  <w:abstractNum w:abstractNumId="20" w15:restartNumberingAfterBreak="0">
    <w:nsid w:val="10DD1005"/>
    <w:multiLevelType w:val="hybridMultilevel"/>
    <w:tmpl w:val="FFFFFFFF"/>
    <w:lvl w:ilvl="0" w:tplc="FFFFFFFF">
      <w:start w:val="1"/>
      <w:numFmt w:val="bullet"/>
      <w:lvlText w:val=""/>
      <w:lvlJc w:val="left"/>
      <w:pPr>
        <w:ind w:left="720" w:hanging="360"/>
      </w:pPr>
      <w:rPr>
        <w:rFonts w:ascii="Symbol" w:hAnsi="Symbol" w:hint="default"/>
      </w:rPr>
    </w:lvl>
    <w:lvl w:ilvl="1" w:tplc="9F1804E2">
      <w:start w:val="1"/>
      <w:numFmt w:val="bullet"/>
      <w:lvlText w:val=""/>
      <w:lvlJc w:val="left"/>
      <w:pPr>
        <w:ind w:left="1440" w:hanging="360"/>
      </w:pPr>
      <w:rPr>
        <w:rFonts w:ascii="Symbol" w:hAnsi="Symbol" w:hint="default"/>
      </w:rPr>
    </w:lvl>
    <w:lvl w:ilvl="2" w:tplc="C2D2A1FE">
      <w:start w:val="1"/>
      <w:numFmt w:val="bullet"/>
      <w:lvlText w:val=""/>
      <w:lvlJc w:val="left"/>
      <w:pPr>
        <w:ind w:left="2160" w:hanging="360"/>
      </w:pPr>
      <w:rPr>
        <w:rFonts w:ascii="Wingdings" w:hAnsi="Wingdings" w:hint="default"/>
      </w:rPr>
    </w:lvl>
    <w:lvl w:ilvl="3" w:tplc="187EDCFA">
      <w:start w:val="1"/>
      <w:numFmt w:val="bullet"/>
      <w:lvlText w:val=""/>
      <w:lvlJc w:val="left"/>
      <w:pPr>
        <w:ind w:left="2880" w:hanging="360"/>
      </w:pPr>
      <w:rPr>
        <w:rFonts w:ascii="Symbol" w:hAnsi="Symbol" w:hint="default"/>
      </w:rPr>
    </w:lvl>
    <w:lvl w:ilvl="4" w:tplc="006C7206">
      <w:start w:val="1"/>
      <w:numFmt w:val="bullet"/>
      <w:lvlText w:val="o"/>
      <w:lvlJc w:val="left"/>
      <w:pPr>
        <w:ind w:left="3600" w:hanging="360"/>
      </w:pPr>
      <w:rPr>
        <w:rFonts w:ascii="Courier New" w:hAnsi="Courier New" w:hint="default"/>
      </w:rPr>
    </w:lvl>
    <w:lvl w:ilvl="5" w:tplc="C6DA270C">
      <w:start w:val="1"/>
      <w:numFmt w:val="bullet"/>
      <w:lvlText w:val=""/>
      <w:lvlJc w:val="left"/>
      <w:pPr>
        <w:ind w:left="4320" w:hanging="360"/>
      </w:pPr>
      <w:rPr>
        <w:rFonts w:ascii="Wingdings" w:hAnsi="Wingdings" w:hint="default"/>
      </w:rPr>
    </w:lvl>
    <w:lvl w:ilvl="6" w:tplc="77C681A8">
      <w:start w:val="1"/>
      <w:numFmt w:val="bullet"/>
      <w:lvlText w:val=""/>
      <w:lvlJc w:val="left"/>
      <w:pPr>
        <w:ind w:left="5040" w:hanging="360"/>
      </w:pPr>
      <w:rPr>
        <w:rFonts w:ascii="Symbol" w:hAnsi="Symbol" w:hint="default"/>
      </w:rPr>
    </w:lvl>
    <w:lvl w:ilvl="7" w:tplc="9132D200">
      <w:start w:val="1"/>
      <w:numFmt w:val="bullet"/>
      <w:lvlText w:val="o"/>
      <w:lvlJc w:val="left"/>
      <w:pPr>
        <w:ind w:left="5760" w:hanging="360"/>
      </w:pPr>
      <w:rPr>
        <w:rFonts w:ascii="Courier New" w:hAnsi="Courier New" w:hint="default"/>
      </w:rPr>
    </w:lvl>
    <w:lvl w:ilvl="8" w:tplc="E1DC6208">
      <w:start w:val="1"/>
      <w:numFmt w:val="bullet"/>
      <w:lvlText w:val=""/>
      <w:lvlJc w:val="left"/>
      <w:pPr>
        <w:ind w:left="6480" w:hanging="360"/>
      </w:pPr>
      <w:rPr>
        <w:rFonts w:ascii="Wingdings" w:hAnsi="Wingdings" w:hint="default"/>
      </w:rPr>
    </w:lvl>
  </w:abstractNum>
  <w:abstractNum w:abstractNumId="21" w15:restartNumberingAfterBreak="0">
    <w:nsid w:val="115C2A1F"/>
    <w:multiLevelType w:val="hybridMultilevel"/>
    <w:tmpl w:val="52445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5E6DEC"/>
    <w:multiLevelType w:val="hybridMultilevel"/>
    <w:tmpl w:val="830E3952"/>
    <w:lvl w:ilvl="0" w:tplc="81D429E4">
      <w:start w:val="1"/>
      <w:numFmt w:val="lowerLetter"/>
      <w:lvlText w:val="%1."/>
      <w:lvlJc w:val="left"/>
      <w:pPr>
        <w:ind w:left="720" w:hanging="360"/>
      </w:pPr>
    </w:lvl>
    <w:lvl w:ilvl="1" w:tplc="5CAA8410">
      <w:start w:val="1"/>
      <w:numFmt w:val="lowerLetter"/>
      <w:lvlText w:val="%2."/>
      <w:lvlJc w:val="left"/>
      <w:pPr>
        <w:ind w:left="1440" w:hanging="360"/>
      </w:pPr>
    </w:lvl>
    <w:lvl w:ilvl="2" w:tplc="02C81EB6">
      <w:start w:val="1"/>
      <w:numFmt w:val="lowerRoman"/>
      <w:lvlText w:val="%3."/>
      <w:lvlJc w:val="right"/>
      <w:pPr>
        <w:ind w:left="2160" w:hanging="180"/>
      </w:pPr>
    </w:lvl>
    <w:lvl w:ilvl="3" w:tplc="99109CBA">
      <w:start w:val="1"/>
      <w:numFmt w:val="decimal"/>
      <w:lvlText w:val="%4."/>
      <w:lvlJc w:val="left"/>
      <w:pPr>
        <w:ind w:left="2880" w:hanging="360"/>
      </w:pPr>
    </w:lvl>
    <w:lvl w:ilvl="4" w:tplc="179E788C">
      <w:start w:val="1"/>
      <w:numFmt w:val="lowerLetter"/>
      <w:lvlText w:val="%5."/>
      <w:lvlJc w:val="left"/>
      <w:pPr>
        <w:ind w:left="3600" w:hanging="360"/>
      </w:pPr>
    </w:lvl>
    <w:lvl w:ilvl="5" w:tplc="296EE76A">
      <w:start w:val="1"/>
      <w:numFmt w:val="lowerRoman"/>
      <w:lvlText w:val="%6."/>
      <w:lvlJc w:val="right"/>
      <w:pPr>
        <w:ind w:left="4320" w:hanging="180"/>
      </w:pPr>
    </w:lvl>
    <w:lvl w:ilvl="6" w:tplc="7D988D34">
      <w:start w:val="1"/>
      <w:numFmt w:val="decimal"/>
      <w:lvlText w:val="%7."/>
      <w:lvlJc w:val="left"/>
      <w:pPr>
        <w:ind w:left="5040" w:hanging="360"/>
      </w:pPr>
    </w:lvl>
    <w:lvl w:ilvl="7" w:tplc="93F6DEFA">
      <w:start w:val="1"/>
      <w:numFmt w:val="lowerLetter"/>
      <w:lvlText w:val="%8."/>
      <w:lvlJc w:val="left"/>
      <w:pPr>
        <w:ind w:left="5760" w:hanging="360"/>
      </w:pPr>
    </w:lvl>
    <w:lvl w:ilvl="8" w:tplc="BF744750">
      <w:start w:val="1"/>
      <w:numFmt w:val="lowerRoman"/>
      <w:lvlText w:val="%9."/>
      <w:lvlJc w:val="right"/>
      <w:pPr>
        <w:ind w:left="6480" w:hanging="180"/>
      </w:pPr>
    </w:lvl>
  </w:abstractNum>
  <w:abstractNum w:abstractNumId="23" w15:restartNumberingAfterBreak="0">
    <w:nsid w:val="11F92B3F"/>
    <w:multiLevelType w:val="hybridMultilevel"/>
    <w:tmpl w:val="83E69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385720"/>
    <w:multiLevelType w:val="hybridMultilevel"/>
    <w:tmpl w:val="71B49308"/>
    <w:lvl w:ilvl="0" w:tplc="B7B0697E">
      <w:numFmt w:val="bullet"/>
      <w:lvlText w:val="-"/>
      <w:lvlJc w:val="left"/>
      <w:pPr>
        <w:ind w:left="720" w:hanging="360"/>
      </w:pPr>
      <w:rPr>
        <w:rFonts w:ascii="Garamond" w:eastAsiaTheme="minorHAnsi" w:hAnsi="Garamond"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4C3712"/>
    <w:multiLevelType w:val="hybridMultilevel"/>
    <w:tmpl w:val="9BEE7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E2280E"/>
    <w:multiLevelType w:val="hybridMultilevel"/>
    <w:tmpl w:val="D884CCC6"/>
    <w:lvl w:ilvl="0" w:tplc="5DFACEA8">
      <w:start w:val="1"/>
      <w:numFmt w:val="bullet"/>
      <w:lvlText w:val=""/>
      <w:lvlJc w:val="left"/>
      <w:pPr>
        <w:ind w:left="720" w:hanging="360"/>
      </w:pPr>
      <w:rPr>
        <w:rFonts w:ascii="Symbol" w:hAnsi="Symbol" w:hint="default"/>
      </w:rPr>
    </w:lvl>
    <w:lvl w:ilvl="1" w:tplc="A5EE0628">
      <w:start w:val="1"/>
      <w:numFmt w:val="bullet"/>
      <w:lvlText w:val="o"/>
      <w:lvlJc w:val="left"/>
      <w:pPr>
        <w:ind w:left="1440" w:hanging="360"/>
      </w:pPr>
      <w:rPr>
        <w:rFonts w:ascii="Courier New" w:hAnsi="Courier New" w:hint="default"/>
      </w:rPr>
    </w:lvl>
    <w:lvl w:ilvl="2" w:tplc="99C817E6">
      <w:start w:val="1"/>
      <w:numFmt w:val="bullet"/>
      <w:lvlText w:val=""/>
      <w:lvlJc w:val="left"/>
      <w:pPr>
        <w:ind w:left="2160" w:hanging="360"/>
      </w:pPr>
      <w:rPr>
        <w:rFonts w:ascii="Wingdings" w:hAnsi="Wingdings" w:hint="default"/>
      </w:rPr>
    </w:lvl>
    <w:lvl w:ilvl="3" w:tplc="15A23636">
      <w:start w:val="1"/>
      <w:numFmt w:val="bullet"/>
      <w:lvlText w:val=""/>
      <w:lvlJc w:val="left"/>
      <w:pPr>
        <w:ind w:left="2880" w:hanging="360"/>
      </w:pPr>
      <w:rPr>
        <w:rFonts w:ascii="Symbol" w:hAnsi="Symbol" w:hint="default"/>
      </w:rPr>
    </w:lvl>
    <w:lvl w:ilvl="4" w:tplc="2A28AF9C">
      <w:start w:val="1"/>
      <w:numFmt w:val="bullet"/>
      <w:lvlText w:val="o"/>
      <w:lvlJc w:val="left"/>
      <w:pPr>
        <w:ind w:left="3600" w:hanging="360"/>
      </w:pPr>
      <w:rPr>
        <w:rFonts w:ascii="Courier New" w:hAnsi="Courier New" w:hint="default"/>
      </w:rPr>
    </w:lvl>
    <w:lvl w:ilvl="5" w:tplc="A0CC21DC">
      <w:start w:val="1"/>
      <w:numFmt w:val="bullet"/>
      <w:lvlText w:val=""/>
      <w:lvlJc w:val="left"/>
      <w:pPr>
        <w:ind w:left="4320" w:hanging="360"/>
      </w:pPr>
      <w:rPr>
        <w:rFonts w:ascii="Wingdings" w:hAnsi="Wingdings" w:hint="default"/>
      </w:rPr>
    </w:lvl>
    <w:lvl w:ilvl="6" w:tplc="703E8BA0">
      <w:start w:val="1"/>
      <w:numFmt w:val="bullet"/>
      <w:lvlText w:val=""/>
      <w:lvlJc w:val="left"/>
      <w:pPr>
        <w:ind w:left="5040" w:hanging="360"/>
      </w:pPr>
      <w:rPr>
        <w:rFonts w:ascii="Symbol" w:hAnsi="Symbol" w:hint="default"/>
      </w:rPr>
    </w:lvl>
    <w:lvl w:ilvl="7" w:tplc="05526692">
      <w:start w:val="1"/>
      <w:numFmt w:val="bullet"/>
      <w:lvlText w:val="o"/>
      <w:lvlJc w:val="left"/>
      <w:pPr>
        <w:ind w:left="5760" w:hanging="360"/>
      </w:pPr>
      <w:rPr>
        <w:rFonts w:ascii="Courier New" w:hAnsi="Courier New" w:hint="default"/>
      </w:rPr>
    </w:lvl>
    <w:lvl w:ilvl="8" w:tplc="8776641E">
      <w:start w:val="1"/>
      <w:numFmt w:val="bullet"/>
      <w:lvlText w:val=""/>
      <w:lvlJc w:val="left"/>
      <w:pPr>
        <w:ind w:left="6480" w:hanging="360"/>
      </w:pPr>
      <w:rPr>
        <w:rFonts w:ascii="Wingdings" w:hAnsi="Wingdings" w:hint="default"/>
      </w:rPr>
    </w:lvl>
  </w:abstractNum>
  <w:abstractNum w:abstractNumId="27" w15:restartNumberingAfterBreak="0">
    <w:nsid w:val="17D466D6"/>
    <w:multiLevelType w:val="hybridMultilevel"/>
    <w:tmpl w:val="D618D2F4"/>
    <w:lvl w:ilvl="0" w:tplc="92625DEE">
      <w:start w:val="1"/>
      <w:numFmt w:val="decimal"/>
      <w:lvlText w:val="%1."/>
      <w:lvlJc w:val="left"/>
      <w:pPr>
        <w:ind w:left="720" w:hanging="360"/>
      </w:pPr>
    </w:lvl>
    <w:lvl w:ilvl="1" w:tplc="CD62A0FE">
      <w:start w:val="1"/>
      <w:numFmt w:val="lowerLetter"/>
      <w:lvlText w:val="%2."/>
      <w:lvlJc w:val="left"/>
      <w:pPr>
        <w:ind w:left="1440" w:hanging="360"/>
      </w:pPr>
    </w:lvl>
    <w:lvl w:ilvl="2" w:tplc="9AC63312">
      <w:start w:val="1"/>
      <w:numFmt w:val="lowerRoman"/>
      <w:lvlText w:val="%3."/>
      <w:lvlJc w:val="right"/>
      <w:pPr>
        <w:ind w:left="2160" w:hanging="180"/>
      </w:pPr>
    </w:lvl>
    <w:lvl w:ilvl="3" w:tplc="80D86A52">
      <w:start w:val="1"/>
      <w:numFmt w:val="decimal"/>
      <w:lvlText w:val="%4."/>
      <w:lvlJc w:val="left"/>
      <w:pPr>
        <w:ind w:left="2880" w:hanging="360"/>
      </w:pPr>
    </w:lvl>
    <w:lvl w:ilvl="4" w:tplc="3EA83D3C">
      <w:start w:val="1"/>
      <w:numFmt w:val="lowerLetter"/>
      <w:lvlText w:val="%5."/>
      <w:lvlJc w:val="left"/>
      <w:pPr>
        <w:ind w:left="3600" w:hanging="360"/>
      </w:pPr>
    </w:lvl>
    <w:lvl w:ilvl="5" w:tplc="7DD6E344">
      <w:start w:val="1"/>
      <w:numFmt w:val="lowerRoman"/>
      <w:lvlText w:val="%6."/>
      <w:lvlJc w:val="right"/>
      <w:pPr>
        <w:ind w:left="4320" w:hanging="180"/>
      </w:pPr>
    </w:lvl>
    <w:lvl w:ilvl="6" w:tplc="25545506">
      <w:start w:val="1"/>
      <w:numFmt w:val="decimal"/>
      <w:lvlText w:val="%7."/>
      <w:lvlJc w:val="left"/>
      <w:pPr>
        <w:ind w:left="5040" w:hanging="360"/>
      </w:pPr>
    </w:lvl>
    <w:lvl w:ilvl="7" w:tplc="2B44523E">
      <w:start w:val="1"/>
      <w:numFmt w:val="lowerLetter"/>
      <w:lvlText w:val="%8."/>
      <w:lvlJc w:val="left"/>
      <w:pPr>
        <w:ind w:left="5760" w:hanging="360"/>
      </w:pPr>
    </w:lvl>
    <w:lvl w:ilvl="8" w:tplc="88C0C9A8">
      <w:start w:val="1"/>
      <w:numFmt w:val="lowerRoman"/>
      <w:lvlText w:val="%9."/>
      <w:lvlJc w:val="right"/>
      <w:pPr>
        <w:ind w:left="6480" w:hanging="180"/>
      </w:pPr>
    </w:lvl>
  </w:abstractNum>
  <w:abstractNum w:abstractNumId="28" w15:restartNumberingAfterBreak="0">
    <w:nsid w:val="18356CFD"/>
    <w:multiLevelType w:val="hybridMultilevel"/>
    <w:tmpl w:val="0BBCA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5E7CD0"/>
    <w:multiLevelType w:val="hybridMultilevel"/>
    <w:tmpl w:val="0912723E"/>
    <w:lvl w:ilvl="0" w:tplc="488EF514">
      <w:start w:val="1"/>
      <w:numFmt w:val="bullet"/>
      <w:lvlText w:val=""/>
      <w:lvlJc w:val="left"/>
      <w:pPr>
        <w:ind w:left="1080" w:hanging="360"/>
      </w:pPr>
      <w:rPr>
        <w:rFonts w:ascii="Symbol" w:hAnsi="Symbol" w:hint="default"/>
      </w:rPr>
    </w:lvl>
    <w:lvl w:ilvl="1" w:tplc="9AE00910">
      <w:start w:val="1"/>
      <w:numFmt w:val="bullet"/>
      <w:lvlText w:val="o"/>
      <w:lvlJc w:val="left"/>
      <w:pPr>
        <w:ind w:left="1800" w:hanging="360"/>
      </w:pPr>
      <w:rPr>
        <w:rFonts w:ascii="Courier New" w:hAnsi="Courier New" w:hint="default"/>
      </w:rPr>
    </w:lvl>
    <w:lvl w:ilvl="2" w:tplc="1BD05CAA">
      <w:start w:val="1"/>
      <w:numFmt w:val="bullet"/>
      <w:lvlText w:val=""/>
      <w:lvlJc w:val="left"/>
      <w:pPr>
        <w:ind w:left="2520" w:hanging="360"/>
      </w:pPr>
      <w:rPr>
        <w:rFonts w:ascii="Wingdings" w:hAnsi="Wingdings" w:hint="default"/>
      </w:rPr>
    </w:lvl>
    <w:lvl w:ilvl="3" w:tplc="6638EC4A">
      <w:start w:val="1"/>
      <w:numFmt w:val="bullet"/>
      <w:lvlText w:val=""/>
      <w:lvlJc w:val="left"/>
      <w:pPr>
        <w:ind w:left="3240" w:hanging="360"/>
      </w:pPr>
      <w:rPr>
        <w:rFonts w:ascii="Symbol" w:hAnsi="Symbol" w:hint="default"/>
      </w:rPr>
    </w:lvl>
    <w:lvl w:ilvl="4" w:tplc="7750C198">
      <w:start w:val="1"/>
      <w:numFmt w:val="bullet"/>
      <w:lvlText w:val="o"/>
      <w:lvlJc w:val="left"/>
      <w:pPr>
        <w:ind w:left="3960" w:hanging="360"/>
      </w:pPr>
      <w:rPr>
        <w:rFonts w:ascii="Courier New" w:hAnsi="Courier New" w:hint="default"/>
      </w:rPr>
    </w:lvl>
    <w:lvl w:ilvl="5" w:tplc="825222F0">
      <w:start w:val="1"/>
      <w:numFmt w:val="bullet"/>
      <w:lvlText w:val=""/>
      <w:lvlJc w:val="left"/>
      <w:pPr>
        <w:ind w:left="4680" w:hanging="360"/>
      </w:pPr>
      <w:rPr>
        <w:rFonts w:ascii="Wingdings" w:hAnsi="Wingdings" w:hint="default"/>
      </w:rPr>
    </w:lvl>
    <w:lvl w:ilvl="6" w:tplc="A7E69D68">
      <w:start w:val="1"/>
      <w:numFmt w:val="bullet"/>
      <w:lvlText w:val=""/>
      <w:lvlJc w:val="left"/>
      <w:pPr>
        <w:ind w:left="5400" w:hanging="360"/>
      </w:pPr>
      <w:rPr>
        <w:rFonts w:ascii="Symbol" w:hAnsi="Symbol" w:hint="default"/>
      </w:rPr>
    </w:lvl>
    <w:lvl w:ilvl="7" w:tplc="2C18E8E6">
      <w:start w:val="1"/>
      <w:numFmt w:val="bullet"/>
      <w:lvlText w:val="o"/>
      <w:lvlJc w:val="left"/>
      <w:pPr>
        <w:ind w:left="6120" w:hanging="360"/>
      </w:pPr>
      <w:rPr>
        <w:rFonts w:ascii="Courier New" w:hAnsi="Courier New" w:hint="default"/>
      </w:rPr>
    </w:lvl>
    <w:lvl w:ilvl="8" w:tplc="7DDCCE04">
      <w:start w:val="1"/>
      <w:numFmt w:val="bullet"/>
      <w:lvlText w:val=""/>
      <w:lvlJc w:val="left"/>
      <w:pPr>
        <w:ind w:left="6840" w:hanging="360"/>
      </w:pPr>
      <w:rPr>
        <w:rFonts w:ascii="Wingdings" w:hAnsi="Wingdings" w:hint="default"/>
      </w:rPr>
    </w:lvl>
  </w:abstractNum>
  <w:abstractNum w:abstractNumId="30" w15:restartNumberingAfterBreak="0">
    <w:nsid w:val="1A11295E"/>
    <w:multiLevelType w:val="multilevel"/>
    <w:tmpl w:val="43743072"/>
    <w:lvl w:ilvl="0">
      <w:start w:val="1"/>
      <w:numFmt w:val="decimal"/>
      <w:pStyle w:val="Heading2"/>
      <w:lvlText w:val="%1."/>
      <w:lvlJc w:val="left"/>
      <w:pPr>
        <w:ind w:left="720" w:hanging="360"/>
      </w:pPr>
      <w:rPr>
        <w:rFonts w:hint="default"/>
      </w:rPr>
    </w:lvl>
    <w:lvl w:ilvl="1">
      <w:start w:val="1"/>
      <w:numFmt w:val="decimal"/>
      <w:pStyle w:val="Heading3"/>
      <w:lvlText w:val="%1.%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B082F04"/>
    <w:multiLevelType w:val="hybridMultilevel"/>
    <w:tmpl w:val="EF8680C4"/>
    <w:lvl w:ilvl="0" w:tplc="4A3C5DBE">
      <w:start w:val="1"/>
      <w:numFmt w:val="bullet"/>
      <w:lvlText w:val=""/>
      <w:lvlJc w:val="left"/>
      <w:pPr>
        <w:ind w:left="720" w:hanging="360"/>
      </w:pPr>
      <w:rPr>
        <w:rFonts w:ascii="Symbol" w:hAnsi="Symbol" w:hint="default"/>
      </w:rPr>
    </w:lvl>
    <w:lvl w:ilvl="1" w:tplc="95266F16">
      <w:start w:val="1"/>
      <w:numFmt w:val="bullet"/>
      <w:lvlText w:val="o"/>
      <w:lvlJc w:val="left"/>
      <w:pPr>
        <w:ind w:left="1440" w:hanging="360"/>
      </w:pPr>
      <w:rPr>
        <w:rFonts w:ascii="Courier New" w:hAnsi="Courier New" w:hint="default"/>
      </w:rPr>
    </w:lvl>
    <w:lvl w:ilvl="2" w:tplc="212AC9D4">
      <w:start w:val="1"/>
      <w:numFmt w:val="bullet"/>
      <w:lvlText w:val=""/>
      <w:lvlJc w:val="left"/>
      <w:pPr>
        <w:ind w:left="2160" w:hanging="360"/>
      </w:pPr>
      <w:rPr>
        <w:rFonts w:ascii="Wingdings" w:hAnsi="Wingdings" w:hint="default"/>
      </w:rPr>
    </w:lvl>
    <w:lvl w:ilvl="3" w:tplc="6B6A5462">
      <w:start w:val="1"/>
      <w:numFmt w:val="bullet"/>
      <w:lvlText w:val=""/>
      <w:lvlJc w:val="left"/>
      <w:pPr>
        <w:ind w:left="2880" w:hanging="360"/>
      </w:pPr>
      <w:rPr>
        <w:rFonts w:ascii="Symbol" w:hAnsi="Symbol" w:hint="default"/>
      </w:rPr>
    </w:lvl>
    <w:lvl w:ilvl="4" w:tplc="B30C878A">
      <w:start w:val="1"/>
      <w:numFmt w:val="bullet"/>
      <w:lvlText w:val="o"/>
      <w:lvlJc w:val="left"/>
      <w:pPr>
        <w:ind w:left="3600" w:hanging="360"/>
      </w:pPr>
      <w:rPr>
        <w:rFonts w:ascii="Courier New" w:hAnsi="Courier New" w:hint="default"/>
      </w:rPr>
    </w:lvl>
    <w:lvl w:ilvl="5" w:tplc="461E7CD4">
      <w:start w:val="1"/>
      <w:numFmt w:val="bullet"/>
      <w:lvlText w:val=""/>
      <w:lvlJc w:val="left"/>
      <w:pPr>
        <w:ind w:left="4320" w:hanging="360"/>
      </w:pPr>
      <w:rPr>
        <w:rFonts w:ascii="Wingdings" w:hAnsi="Wingdings" w:hint="default"/>
      </w:rPr>
    </w:lvl>
    <w:lvl w:ilvl="6" w:tplc="312CC518">
      <w:start w:val="1"/>
      <w:numFmt w:val="bullet"/>
      <w:lvlText w:val=""/>
      <w:lvlJc w:val="left"/>
      <w:pPr>
        <w:ind w:left="5040" w:hanging="360"/>
      </w:pPr>
      <w:rPr>
        <w:rFonts w:ascii="Symbol" w:hAnsi="Symbol" w:hint="default"/>
      </w:rPr>
    </w:lvl>
    <w:lvl w:ilvl="7" w:tplc="B6E4D37C">
      <w:start w:val="1"/>
      <w:numFmt w:val="bullet"/>
      <w:lvlText w:val="o"/>
      <w:lvlJc w:val="left"/>
      <w:pPr>
        <w:ind w:left="5760" w:hanging="360"/>
      </w:pPr>
      <w:rPr>
        <w:rFonts w:ascii="Courier New" w:hAnsi="Courier New" w:hint="default"/>
      </w:rPr>
    </w:lvl>
    <w:lvl w:ilvl="8" w:tplc="F7DAEB86">
      <w:start w:val="1"/>
      <w:numFmt w:val="bullet"/>
      <w:lvlText w:val=""/>
      <w:lvlJc w:val="left"/>
      <w:pPr>
        <w:ind w:left="6480" w:hanging="360"/>
      </w:pPr>
      <w:rPr>
        <w:rFonts w:ascii="Wingdings" w:hAnsi="Wingdings" w:hint="default"/>
      </w:rPr>
    </w:lvl>
  </w:abstractNum>
  <w:abstractNum w:abstractNumId="32" w15:restartNumberingAfterBreak="0">
    <w:nsid w:val="1B216CEF"/>
    <w:multiLevelType w:val="hybridMultilevel"/>
    <w:tmpl w:val="FFFFFFFF"/>
    <w:lvl w:ilvl="0" w:tplc="D87CA51E">
      <w:start w:val="1"/>
      <w:numFmt w:val="bullet"/>
      <w:lvlText w:val=""/>
      <w:lvlJc w:val="left"/>
      <w:pPr>
        <w:ind w:left="720" w:hanging="360"/>
      </w:pPr>
      <w:rPr>
        <w:rFonts w:ascii="Symbol" w:hAnsi="Symbol" w:hint="default"/>
      </w:rPr>
    </w:lvl>
    <w:lvl w:ilvl="1" w:tplc="FA868E5A">
      <w:start w:val="1"/>
      <w:numFmt w:val="bullet"/>
      <w:lvlText w:val="o"/>
      <w:lvlJc w:val="left"/>
      <w:pPr>
        <w:ind w:left="1440" w:hanging="360"/>
      </w:pPr>
      <w:rPr>
        <w:rFonts w:ascii="Courier New" w:hAnsi="Courier New" w:hint="default"/>
      </w:rPr>
    </w:lvl>
    <w:lvl w:ilvl="2" w:tplc="837498AC">
      <w:start w:val="1"/>
      <w:numFmt w:val="bullet"/>
      <w:lvlText w:val=""/>
      <w:lvlJc w:val="left"/>
      <w:pPr>
        <w:ind w:left="2160" w:hanging="360"/>
      </w:pPr>
      <w:rPr>
        <w:rFonts w:ascii="Wingdings" w:hAnsi="Wingdings" w:hint="default"/>
      </w:rPr>
    </w:lvl>
    <w:lvl w:ilvl="3" w:tplc="A538F6A2">
      <w:start w:val="1"/>
      <w:numFmt w:val="bullet"/>
      <w:lvlText w:val=""/>
      <w:lvlJc w:val="left"/>
      <w:pPr>
        <w:ind w:left="2880" w:hanging="360"/>
      </w:pPr>
      <w:rPr>
        <w:rFonts w:ascii="Symbol" w:hAnsi="Symbol" w:hint="default"/>
      </w:rPr>
    </w:lvl>
    <w:lvl w:ilvl="4" w:tplc="3CECB662">
      <w:start w:val="1"/>
      <w:numFmt w:val="bullet"/>
      <w:lvlText w:val="o"/>
      <w:lvlJc w:val="left"/>
      <w:pPr>
        <w:ind w:left="3600" w:hanging="360"/>
      </w:pPr>
      <w:rPr>
        <w:rFonts w:ascii="Courier New" w:hAnsi="Courier New" w:hint="default"/>
      </w:rPr>
    </w:lvl>
    <w:lvl w:ilvl="5" w:tplc="5E9ABC22">
      <w:start w:val="1"/>
      <w:numFmt w:val="bullet"/>
      <w:lvlText w:val=""/>
      <w:lvlJc w:val="left"/>
      <w:pPr>
        <w:ind w:left="4320" w:hanging="360"/>
      </w:pPr>
      <w:rPr>
        <w:rFonts w:ascii="Wingdings" w:hAnsi="Wingdings" w:hint="default"/>
      </w:rPr>
    </w:lvl>
    <w:lvl w:ilvl="6" w:tplc="12F45ED6">
      <w:start w:val="1"/>
      <w:numFmt w:val="bullet"/>
      <w:lvlText w:val=""/>
      <w:lvlJc w:val="left"/>
      <w:pPr>
        <w:ind w:left="5040" w:hanging="360"/>
      </w:pPr>
      <w:rPr>
        <w:rFonts w:ascii="Symbol" w:hAnsi="Symbol" w:hint="default"/>
      </w:rPr>
    </w:lvl>
    <w:lvl w:ilvl="7" w:tplc="B45809D8">
      <w:start w:val="1"/>
      <w:numFmt w:val="bullet"/>
      <w:lvlText w:val="o"/>
      <w:lvlJc w:val="left"/>
      <w:pPr>
        <w:ind w:left="5760" w:hanging="360"/>
      </w:pPr>
      <w:rPr>
        <w:rFonts w:ascii="Courier New" w:hAnsi="Courier New" w:hint="default"/>
      </w:rPr>
    </w:lvl>
    <w:lvl w:ilvl="8" w:tplc="204204B6">
      <w:start w:val="1"/>
      <w:numFmt w:val="bullet"/>
      <w:lvlText w:val=""/>
      <w:lvlJc w:val="left"/>
      <w:pPr>
        <w:ind w:left="6480" w:hanging="360"/>
      </w:pPr>
      <w:rPr>
        <w:rFonts w:ascii="Wingdings" w:hAnsi="Wingdings" w:hint="default"/>
      </w:rPr>
    </w:lvl>
  </w:abstractNum>
  <w:abstractNum w:abstractNumId="33" w15:restartNumberingAfterBreak="0">
    <w:nsid w:val="1BD61A96"/>
    <w:multiLevelType w:val="hybridMultilevel"/>
    <w:tmpl w:val="262CB4D0"/>
    <w:lvl w:ilvl="0" w:tplc="41969E24">
      <w:start w:val="1"/>
      <w:numFmt w:val="lowerLetter"/>
      <w:lvlText w:val="%1."/>
      <w:lvlJc w:val="left"/>
      <w:pPr>
        <w:ind w:left="720" w:hanging="360"/>
      </w:pPr>
    </w:lvl>
    <w:lvl w:ilvl="1" w:tplc="35F8FA74">
      <w:start w:val="1"/>
      <w:numFmt w:val="lowerLetter"/>
      <w:lvlText w:val="%2."/>
      <w:lvlJc w:val="left"/>
      <w:pPr>
        <w:ind w:left="1440" w:hanging="360"/>
      </w:pPr>
    </w:lvl>
    <w:lvl w:ilvl="2" w:tplc="D7E86D8E">
      <w:start w:val="1"/>
      <w:numFmt w:val="lowerRoman"/>
      <w:lvlText w:val="%3."/>
      <w:lvlJc w:val="right"/>
      <w:pPr>
        <w:ind w:left="2160" w:hanging="180"/>
      </w:pPr>
    </w:lvl>
    <w:lvl w:ilvl="3" w:tplc="603A30B4">
      <w:start w:val="1"/>
      <w:numFmt w:val="decimal"/>
      <w:lvlText w:val="%4."/>
      <w:lvlJc w:val="left"/>
      <w:pPr>
        <w:ind w:left="2880" w:hanging="360"/>
      </w:pPr>
    </w:lvl>
    <w:lvl w:ilvl="4" w:tplc="E7FA0072">
      <w:start w:val="1"/>
      <w:numFmt w:val="lowerLetter"/>
      <w:lvlText w:val="%5."/>
      <w:lvlJc w:val="left"/>
      <w:pPr>
        <w:ind w:left="3600" w:hanging="360"/>
      </w:pPr>
    </w:lvl>
    <w:lvl w:ilvl="5" w:tplc="8348EEDC">
      <w:start w:val="1"/>
      <w:numFmt w:val="lowerRoman"/>
      <w:lvlText w:val="%6."/>
      <w:lvlJc w:val="right"/>
      <w:pPr>
        <w:ind w:left="4320" w:hanging="180"/>
      </w:pPr>
    </w:lvl>
    <w:lvl w:ilvl="6" w:tplc="1626F0BC">
      <w:start w:val="1"/>
      <w:numFmt w:val="decimal"/>
      <w:lvlText w:val="%7."/>
      <w:lvlJc w:val="left"/>
      <w:pPr>
        <w:ind w:left="5040" w:hanging="360"/>
      </w:pPr>
    </w:lvl>
    <w:lvl w:ilvl="7" w:tplc="1AF2171A">
      <w:start w:val="1"/>
      <w:numFmt w:val="lowerLetter"/>
      <w:lvlText w:val="%8."/>
      <w:lvlJc w:val="left"/>
      <w:pPr>
        <w:ind w:left="5760" w:hanging="360"/>
      </w:pPr>
    </w:lvl>
    <w:lvl w:ilvl="8" w:tplc="A276F954">
      <w:start w:val="1"/>
      <w:numFmt w:val="lowerRoman"/>
      <w:lvlText w:val="%9."/>
      <w:lvlJc w:val="right"/>
      <w:pPr>
        <w:ind w:left="6480" w:hanging="180"/>
      </w:pPr>
    </w:lvl>
  </w:abstractNum>
  <w:abstractNum w:abstractNumId="34" w15:restartNumberingAfterBreak="0">
    <w:nsid w:val="1CA63E7F"/>
    <w:multiLevelType w:val="hybridMultilevel"/>
    <w:tmpl w:val="8DDCBBAA"/>
    <w:lvl w:ilvl="0" w:tplc="EF787808">
      <w:start w:val="3"/>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993AA5"/>
    <w:multiLevelType w:val="hybridMultilevel"/>
    <w:tmpl w:val="FFFFFFFF"/>
    <w:lvl w:ilvl="0" w:tplc="F9C8F298">
      <w:start w:val="1"/>
      <w:numFmt w:val="decimal"/>
      <w:lvlText w:val="%1."/>
      <w:lvlJc w:val="left"/>
      <w:pPr>
        <w:ind w:left="720" w:hanging="360"/>
      </w:pPr>
    </w:lvl>
    <w:lvl w:ilvl="1" w:tplc="66A2DFBA">
      <w:start w:val="1"/>
      <w:numFmt w:val="lowerLetter"/>
      <w:lvlText w:val="%2."/>
      <w:lvlJc w:val="left"/>
      <w:pPr>
        <w:ind w:left="1440" w:hanging="360"/>
      </w:pPr>
    </w:lvl>
    <w:lvl w:ilvl="2" w:tplc="83062226">
      <w:start w:val="1"/>
      <w:numFmt w:val="lowerRoman"/>
      <w:lvlText w:val="%3."/>
      <w:lvlJc w:val="right"/>
      <w:pPr>
        <w:ind w:left="2160" w:hanging="180"/>
      </w:pPr>
    </w:lvl>
    <w:lvl w:ilvl="3" w:tplc="7CFC6080">
      <w:start w:val="1"/>
      <w:numFmt w:val="decimal"/>
      <w:lvlText w:val="%4."/>
      <w:lvlJc w:val="left"/>
      <w:pPr>
        <w:ind w:left="2880" w:hanging="360"/>
      </w:pPr>
    </w:lvl>
    <w:lvl w:ilvl="4" w:tplc="7BA4C752">
      <w:start w:val="1"/>
      <w:numFmt w:val="lowerLetter"/>
      <w:lvlText w:val="%5."/>
      <w:lvlJc w:val="left"/>
      <w:pPr>
        <w:ind w:left="3600" w:hanging="360"/>
      </w:pPr>
    </w:lvl>
    <w:lvl w:ilvl="5" w:tplc="1DE093C4">
      <w:start w:val="1"/>
      <w:numFmt w:val="lowerRoman"/>
      <w:lvlText w:val="%6."/>
      <w:lvlJc w:val="right"/>
      <w:pPr>
        <w:ind w:left="4320" w:hanging="180"/>
      </w:pPr>
    </w:lvl>
    <w:lvl w:ilvl="6" w:tplc="5880BFA6">
      <w:start w:val="1"/>
      <w:numFmt w:val="decimal"/>
      <w:lvlText w:val="%7."/>
      <w:lvlJc w:val="left"/>
      <w:pPr>
        <w:ind w:left="5040" w:hanging="360"/>
      </w:pPr>
    </w:lvl>
    <w:lvl w:ilvl="7" w:tplc="DC487034">
      <w:start w:val="1"/>
      <w:numFmt w:val="lowerLetter"/>
      <w:lvlText w:val="%8."/>
      <w:lvlJc w:val="left"/>
      <w:pPr>
        <w:ind w:left="5760" w:hanging="360"/>
      </w:pPr>
    </w:lvl>
    <w:lvl w:ilvl="8" w:tplc="DCF08F66">
      <w:start w:val="1"/>
      <w:numFmt w:val="lowerRoman"/>
      <w:lvlText w:val="%9."/>
      <w:lvlJc w:val="right"/>
      <w:pPr>
        <w:ind w:left="6480" w:hanging="180"/>
      </w:pPr>
    </w:lvl>
  </w:abstractNum>
  <w:abstractNum w:abstractNumId="36" w15:restartNumberingAfterBreak="0">
    <w:nsid w:val="1DEA46AC"/>
    <w:multiLevelType w:val="hybridMultilevel"/>
    <w:tmpl w:val="7242BEDE"/>
    <w:lvl w:ilvl="0" w:tplc="16806EC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E985975"/>
    <w:multiLevelType w:val="hybridMultilevel"/>
    <w:tmpl w:val="FFFFFFFF"/>
    <w:lvl w:ilvl="0" w:tplc="3AA89542">
      <w:start w:val="1"/>
      <w:numFmt w:val="bullet"/>
      <w:lvlText w:val=""/>
      <w:lvlJc w:val="left"/>
      <w:pPr>
        <w:ind w:left="720" w:hanging="360"/>
      </w:pPr>
      <w:rPr>
        <w:rFonts w:ascii="Symbol" w:hAnsi="Symbol" w:hint="default"/>
      </w:rPr>
    </w:lvl>
    <w:lvl w:ilvl="1" w:tplc="A43074CA">
      <w:start w:val="1"/>
      <w:numFmt w:val="bullet"/>
      <w:lvlText w:val="o"/>
      <w:lvlJc w:val="left"/>
      <w:pPr>
        <w:ind w:left="1440" w:hanging="360"/>
      </w:pPr>
      <w:rPr>
        <w:rFonts w:ascii="Courier New" w:hAnsi="Courier New" w:hint="default"/>
      </w:rPr>
    </w:lvl>
    <w:lvl w:ilvl="2" w:tplc="F36C2B16">
      <w:start w:val="1"/>
      <w:numFmt w:val="bullet"/>
      <w:lvlText w:val=""/>
      <w:lvlJc w:val="left"/>
      <w:pPr>
        <w:ind w:left="2160" w:hanging="360"/>
      </w:pPr>
      <w:rPr>
        <w:rFonts w:ascii="Wingdings" w:hAnsi="Wingdings" w:hint="default"/>
      </w:rPr>
    </w:lvl>
    <w:lvl w:ilvl="3" w:tplc="7AAEF574">
      <w:start w:val="1"/>
      <w:numFmt w:val="bullet"/>
      <w:lvlText w:val=""/>
      <w:lvlJc w:val="left"/>
      <w:pPr>
        <w:ind w:left="2880" w:hanging="360"/>
      </w:pPr>
      <w:rPr>
        <w:rFonts w:ascii="Symbol" w:hAnsi="Symbol" w:hint="default"/>
      </w:rPr>
    </w:lvl>
    <w:lvl w:ilvl="4" w:tplc="13BC9226">
      <w:start w:val="1"/>
      <w:numFmt w:val="bullet"/>
      <w:lvlText w:val="o"/>
      <w:lvlJc w:val="left"/>
      <w:pPr>
        <w:ind w:left="3600" w:hanging="360"/>
      </w:pPr>
      <w:rPr>
        <w:rFonts w:ascii="Courier New" w:hAnsi="Courier New" w:hint="default"/>
      </w:rPr>
    </w:lvl>
    <w:lvl w:ilvl="5" w:tplc="32CE86A0">
      <w:start w:val="1"/>
      <w:numFmt w:val="bullet"/>
      <w:lvlText w:val=""/>
      <w:lvlJc w:val="left"/>
      <w:pPr>
        <w:ind w:left="4320" w:hanging="360"/>
      </w:pPr>
      <w:rPr>
        <w:rFonts w:ascii="Wingdings" w:hAnsi="Wingdings" w:hint="default"/>
      </w:rPr>
    </w:lvl>
    <w:lvl w:ilvl="6" w:tplc="2D662C72">
      <w:start w:val="1"/>
      <w:numFmt w:val="bullet"/>
      <w:lvlText w:val=""/>
      <w:lvlJc w:val="left"/>
      <w:pPr>
        <w:ind w:left="5040" w:hanging="360"/>
      </w:pPr>
      <w:rPr>
        <w:rFonts w:ascii="Symbol" w:hAnsi="Symbol" w:hint="default"/>
      </w:rPr>
    </w:lvl>
    <w:lvl w:ilvl="7" w:tplc="9C4C7ACE">
      <w:start w:val="1"/>
      <w:numFmt w:val="bullet"/>
      <w:lvlText w:val="o"/>
      <w:lvlJc w:val="left"/>
      <w:pPr>
        <w:ind w:left="5760" w:hanging="360"/>
      </w:pPr>
      <w:rPr>
        <w:rFonts w:ascii="Courier New" w:hAnsi="Courier New" w:hint="default"/>
      </w:rPr>
    </w:lvl>
    <w:lvl w:ilvl="8" w:tplc="CA1298C8">
      <w:start w:val="1"/>
      <w:numFmt w:val="bullet"/>
      <w:lvlText w:val=""/>
      <w:lvlJc w:val="left"/>
      <w:pPr>
        <w:ind w:left="6480" w:hanging="360"/>
      </w:pPr>
      <w:rPr>
        <w:rFonts w:ascii="Wingdings" w:hAnsi="Wingdings" w:hint="default"/>
      </w:rPr>
    </w:lvl>
  </w:abstractNum>
  <w:abstractNum w:abstractNumId="38" w15:restartNumberingAfterBreak="0">
    <w:nsid w:val="1FD27CE2"/>
    <w:multiLevelType w:val="hybridMultilevel"/>
    <w:tmpl w:val="8ABA9D8E"/>
    <w:lvl w:ilvl="0" w:tplc="D61EEF5A">
      <w:start w:val="1"/>
      <w:numFmt w:val="bullet"/>
      <w:lvlText w:val=""/>
      <w:lvlJc w:val="left"/>
      <w:pPr>
        <w:ind w:left="720" w:hanging="360"/>
      </w:pPr>
      <w:rPr>
        <w:rFonts w:ascii="Symbol" w:hAnsi="Symbol" w:hint="default"/>
      </w:rPr>
    </w:lvl>
    <w:lvl w:ilvl="1" w:tplc="0BC008D8">
      <w:start w:val="1"/>
      <w:numFmt w:val="bullet"/>
      <w:lvlText w:val="o"/>
      <w:lvlJc w:val="left"/>
      <w:pPr>
        <w:ind w:left="1440" w:hanging="360"/>
      </w:pPr>
      <w:rPr>
        <w:rFonts w:ascii="Courier New" w:hAnsi="Courier New" w:hint="default"/>
      </w:rPr>
    </w:lvl>
    <w:lvl w:ilvl="2" w:tplc="86BEC6B6">
      <w:start w:val="1"/>
      <w:numFmt w:val="bullet"/>
      <w:lvlText w:val=""/>
      <w:lvlJc w:val="left"/>
      <w:pPr>
        <w:ind w:left="2160" w:hanging="360"/>
      </w:pPr>
      <w:rPr>
        <w:rFonts w:ascii="Wingdings" w:hAnsi="Wingdings" w:hint="default"/>
      </w:rPr>
    </w:lvl>
    <w:lvl w:ilvl="3" w:tplc="ACB40E7E">
      <w:start w:val="1"/>
      <w:numFmt w:val="bullet"/>
      <w:lvlText w:val=""/>
      <w:lvlJc w:val="left"/>
      <w:pPr>
        <w:ind w:left="2880" w:hanging="360"/>
      </w:pPr>
      <w:rPr>
        <w:rFonts w:ascii="Symbol" w:hAnsi="Symbol" w:hint="default"/>
      </w:rPr>
    </w:lvl>
    <w:lvl w:ilvl="4" w:tplc="6A8627C0">
      <w:start w:val="1"/>
      <w:numFmt w:val="bullet"/>
      <w:lvlText w:val="o"/>
      <w:lvlJc w:val="left"/>
      <w:pPr>
        <w:ind w:left="3600" w:hanging="360"/>
      </w:pPr>
      <w:rPr>
        <w:rFonts w:ascii="Courier New" w:hAnsi="Courier New" w:hint="default"/>
      </w:rPr>
    </w:lvl>
    <w:lvl w:ilvl="5" w:tplc="769E0118">
      <w:start w:val="1"/>
      <w:numFmt w:val="bullet"/>
      <w:lvlText w:val=""/>
      <w:lvlJc w:val="left"/>
      <w:pPr>
        <w:ind w:left="4320" w:hanging="360"/>
      </w:pPr>
      <w:rPr>
        <w:rFonts w:ascii="Wingdings" w:hAnsi="Wingdings" w:hint="default"/>
      </w:rPr>
    </w:lvl>
    <w:lvl w:ilvl="6" w:tplc="707CB218">
      <w:start w:val="1"/>
      <w:numFmt w:val="bullet"/>
      <w:lvlText w:val=""/>
      <w:lvlJc w:val="left"/>
      <w:pPr>
        <w:ind w:left="5040" w:hanging="360"/>
      </w:pPr>
      <w:rPr>
        <w:rFonts w:ascii="Symbol" w:hAnsi="Symbol" w:hint="default"/>
      </w:rPr>
    </w:lvl>
    <w:lvl w:ilvl="7" w:tplc="EA461016">
      <w:start w:val="1"/>
      <w:numFmt w:val="bullet"/>
      <w:lvlText w:val="o"/>
      <w:lvlJc w:val="left"/>
      <w:pPr>
        <w:ind w:left="5760" w:hanging="360"/>
      </w:pPr>
      <w:rPr>
        <w:rFonts w:ascii="Courier New" w:hAnsi="Courier New" w:hint="default"/>
      </w:rPr>
    </w:lvl>
    <w:lvl w:ilvl="8" w:tplc="5F465788">
      <w:start w:val="1"/>
      <w:numFmt w:val="bullet"/>
      <w:lvlText w:val=""/>
      <w:lvlJc w:val="left"/>
      <w:pPr>
        <w:ind w:left="6480" w:hanging="360"/>
      </w:pPr>
      <w:rPr>
        <w:rFonts w:ascii="Wingdings" w:hAnsi="Wingdings" w:hint="default"/>
      </w:rPr>
    </w:lvl>
  </w:abstractNum>
  <w:abstractNum w:abstractNumId="39" w15:restartNumberingAfterBreak="0">
    <w:nsid w:val="22A123D4"/>
    <w:multiLevelType w:val="hybridMultilevel"/>
    <w:tmpl w:val="4E64AAAA"/>
    <w:lvl w:ilvl="0" w:tplc="C4F0CF2C">
      <w:start w:val="1"/>
      <w:numFmt w:val="bullet"/>
      <w:lvlText w:val=""/>
      <w:lvlJc w:val="left"/>
      <w:pPr>
        <w:ind w:left="720" w:hanging="360"/>
      </w:pPr>
      <w:rPr>
        <w:rFonts w:ascii="Symbol" w:hAnsi="Symbol" w:hint="default"/>
      </w:rPr>
    </w:lvl>
    <w:lvl w:ilvl="1" w:tplc="769808FE">
      <w:start w:val="1"/>
      <w:numFmt w:val="bullet"/>
      <w:lvlText w:val="o"/>
      <w:lvlJc w:val="left"/>
      <w:pPr>
        <w:ind w:left="1440" w:hanging="360"/>
      </w:pPr>
      <w:rPr>
        <w:rFonts w:ascii="Courier New" w:hAnsi="Courier New" w:hint="default"/>
      </w:rPr>
    </w:lvl>
    <w:lvl w:ilvl="2" w:tplc="42B20222">
      <w:start w:val="1"/>
      <w:numFmt w:val="bullet"/>
      <w:lvlText w:val=""/>
      <w:lvlJc w:val="left"/>
      <w:pPr>
        <w:ind w:left="2160" w:hanging="360"/>
      </w:pPr>
      <w:rPr>
        <w:rFonts w:ascii="Wingdings" w:hAnsi="Wingdings" w:hint="default"/>
      </w:rPr>
    </w:lvl>
    <w:lvl w:ilvl="3" w:tplc="3536AEF6">
      <w:start w:val="1"/>
      <w:numFmt w:val="bullet"/>
      <w:lvlText w:val=""/>
      <w:lvlJc w:val="left"/>
      <w:pPr>
        <w:ind w:left="2880" w:hanging="360"/>
      </w:pPr>
      <w:rPr>
        <w:rFonts w:ascii="Symbol" w:hAnsi="Symbol" w:hint="default"/>
      </w:rPr>
    </w:lvl>
    <w:lvl w:ilvl="4" w:tplc="BF406FAE">
      <w:start w:val="1"/>
      <w:numFmt w:val="bullet"/>
      <w:lvlText w:val="o"/>
      <w:lvlJc w:val="left"/>
      <w:pPr>
        <w:ind w:left="3600" w:hanging="360"/>
      </w:pPr>
      <w:rPr>
        <w:rFonts w:ascii="Courier New" w:hAnsi="Courier New" w:hint="default"/>
      </w:rPr>
    </w:lvl>
    <w:lvl w:ilvl="5" w:tplc="EA927D96">
      <w:start w:val="1"/>
      <w:numFmt w:val="bullet"/>
      <w:lvlText w:val=""/>
      <w:lvlJc w:val="left"/>
      <w:pPr>
        <w:ind w:left="4320" w:hanging="360"/>
      </w:pPr>
      <w:rPr>
        <w:rFonts w:ascii="Wingdings" w:hAnsi="Wingdings" w:hint="default"/>
      </w:rPr>
    </w:lvl>
    <w:lvl w:ilvl="6" w:tplc="446AFEBA">
      <w:start w:val="1"/>
      <w:numFmt w:val="bullet"/>
      <w:lvlText w:val=""/>
      <w:lvlJc w:val="left"/>
      <w:pPr>
        <w:ind w:left="5040" w:hanging="360"/>
      </w:pPr>
      <w:rPr>
        <w:rFonts w:ascii="Symbol" w:hAnsi="Symbol" w:hint="default"/>
      </w:rPr>
    </w:lvl>
    <w:lvl w:ilvl="7" w:tplc="BFC81628">
      <w:start w:val="1"/>
      <w:numFmt w:val="bullet"/>
      <w:lvlText w:val="o"/>
      <w:lvlJc w:val="left"/>
      <w:pPr>
        <w:ind w:left="5760" w:hanging="360"/>
      </w:pPr>
      <w:rPr>
        <w:rFonts w:ascii="Courier New" w:hAnsi="Courier New" w:hint="default"/>
      </w:rPr>
    </w:lvl>
    <w:lvl w:ilvl="8" w:tplc="5784C65A">
      <w:start w:val="1"/>
      <w:numFmt w:val="bullet"/>
      <w:lvlText w:val=""/>
      <w:lvlJc w:val="left"/>
      <w:pPr>
        <w:ind w:left="6480" w:hanging="360"/>
      </w:pPr>
      <w:rPr>
        <w:rFonts w:ascii="Wingdings" w:hAnsi="Wingdings" w:hint="default"/>
      </w:rPr>
    </w:lvl>
  </w:abstractNum>
  <w:abstractNum w:abstractNumId="40" w15:restartNumberingAfterBreak="0">
    <w:nsid w:val="286E3CFF"/>
    <w:multiLevelType w:val="hybridMultilevel"/>
    <w:tmpl w:val="FFFFFFFF"/>
    <w:lvl w:ilvl="0" w:tplc="7A2453A8">
      <w:start w:val="1"/>
      <w:numFmt w:val="bullet"/>
      <w:lvlText w:val=""/>
      <w:lvlJc w:val="left"/>
      <w:pPr>
        <w:ind w:left="720" w:hanging="360"/>
      </w:pPr>
      <w:rPr>
        <w:rFonts w:ascii="Symbol" w:hAnsi="Symbol" w:hint="default"/>
      </w:rPr>
    </w:lvl>
    <w:lvl w:ilvl="1" w:tplc="BCDA8A9A">
      <w:start w:val="1"/>
      <w:numFmt w:val="bullet"/>
      <w:lvlText w:val="o"/>
      <w:lvlJc w:val="left"/>
      <w:pPr>
        <w:ind w:left="1440" w:hanging="360"/>
      </w:pPr>
      <w:rPr>
        <w:rFonts w:ascii="Courier New" w:hAnsi="Courier New" w:hint="default"/>
      </w:rPr>
    </w:lvl>
    <w:lvl w:ilvl="2" w:tplc="C09A7EEE">
      <w:start w:val="1"/>
      <w:numFmt w:val="bullet"/>
      <w:lvlText w:val=""/>
      <w:lvlJc w:val="left"/>
      <w:pPr>
        <w:ind w:left="2160" w:hanging="360"/>
      </w:pPr>
      <w:rPr>
        <w:rFonts w:ascii="Wingdings" w:hAnsi="Wingdings" w:hint="default"/>
      </w:rPr>
    </w:lvl>
    <w:lvl w:ilvl="3" w:tplc="F60CC6C8">
      <w:start w:val="1"/>
      <w:numFmt w:val="bullet"/>
      <w:lvlText w:val=""/>
      <w:lvlJc w:val="left"/>
      <w:pPr>
        <w:ind w:left="2880" w:hanging="360"/>
      </w:pPr>
      <w:rPr>
        <w:rFonts w:ascii="Symbol" w:hAnsi="Symbol" w:hint="default"/>
      </w:rPr>
    </w:lvl>
    <w:lvl w:ilvl="4" w:tplc="7F509BFC">
      <w:start w:val="1"/>
      <w:numFmt w:val="bullet"/>
      <w:lvlText w:val="o"/>
      <w:lvlJc w:val="left"/>
      <w:pPr>
        <w:ind w:left="3600" w:hanging="360"/>
      </w:pPr>
      <w:rPr>
        <w:rFonts w:ascii="Courier New" w:hAnsi="Courier New" w:hint="default"/>
      </w:rPr>
    </w:lvl>
    <w:lvl w:ilvl="5" w:tplc="778A6918">
      <w:start w:val="1"/>
      <w:numFmt w:val="bullet"/>
      <w:lvlText w:val=""/>
      <w:lvlJc w:val="left"/>
      <w:pPr>
        <w:ind w:left="4320" w:hanging="360"/>
      </w:pPr>
      <w:rPr>
        <w:rFonts w:ascii="Wingdings" w:hAnsi="Wingdings" w:hint="default"/>
      </w:rPr>
    </w:lvl>
    <w:lvl w:ilvl="6" w:tplc="55D0A08A">
      <w:start w:val="1"/>
      <w:numFmt w:val="bullet"/>
      <w:lvlText w:val=""/>
      <w:lvlJc w:val="left"/>
      <w:pPr>
        <w:ind w:left="5040" w:hanging="360"/>
      </w:pPr>
      <w:rPr>
        <w:rFonts w:ascii="Symbol" w:hAnsi="Symbol" w:hint="default"/>
      </w:rPr>
    </w:lvl>
    <w:lvl w:ilvl="7" w:tplc="44D04D50">
      <w:start w:val="1"/>
      <w:numFmt w:val="bullet"/>
      <w:lvlText w:val="o"/>
      <w:lvlJc w:val="left"/>
      <w:pPr>
        <w:ind w:left="5760" w:hanging="360"/>
      </w:pPr>
      <w:rPr>
        <w:rFonts w:ascii="Courier New" w:hAnsi="Courier New" w:hint="default"/>
      </w:rPr>
    </w:lvl>
    <w:lvl w:ilvl="8" w:tplc="551A6072">
      <w:start w:val="1"/>
      <w:numFmt w:val="bullet"/>
      <w:lvlText w:val=""/>
      <w:lvlJc w:val="left"/>
      <w:pPr>
        <w:ind w:left="6480" w:hanging="360"/>
      </w:pPr>
      <w:rPr>
        <w:rFonts w:ascii="Wingdings" w:hAnsi="Wingdings" w:hint="default"/>
      </w:rPr>
    </w:lvl>
  </w:abstractNum>
  <w:abstractNum w:abstractNumId="41" w15:restartNumberingAfterBreak="0">
    <w:nsid w:val="29D76131"/>
    <w:multiLevelType w:val="hybridMultilevel"/>
    <w:tmpl w:val="464084D0"/>
    <w:lvl w:ilvl="0" w:tplc="2A44C0BA">
      <w:start w:val="16"/>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22651D"/>
    <w:multiLevelType w:val="hybridMultilevel"/>
    <w:tmpl w:val="99167AA2"/>
    <w:lvl w:ilvl="0" w:tplc="0BC24E62">
      <w:start w:val="1"/>
      <w:numFmt w:val="decimal"/>
      <w:lvlText w:val="%1."/>
      <w:lvlJc w:val="left"/>
      <w:pPr>
        <w:ind w:left="720" w:hanging="360"/>
      </w:pPr>
    </w:lvl>
    <w:lvl w:ilvl="1" w:tplc="5B66DF4E">
      <w:start w:val="1"/>
      <w:numFmt w:val="lowerLetter"/>
      <w:lvlText w:val="%2."/>
      <w:lvlJc w:val="left"/>
      <w:pPr>
        <w:ind w:left="1440" w:hanging="360"/>
      </w:pPr>
    </w:lvl>
    <w:lvl w:ilvl="2" w:tplc="604A8EDC">
      <w:start w:val="1"/>
      <w:numFmt w:val="lowerRoman"/>
      <w:lvlText w:val="%3."/>
      <w:lvlJc w:val="right"/>
      <w:pPr>
        <w:ind w:left="2160" w:hanging="180"/>
      </w:pPr>
    </w:lvl>
    <w:lvl w:ilvl="3" w:tplc="FB34848C">
      <w:start w:val="1"/>
      <w:numFmt w:val="decimal"/>
      <w:lvlText w:val="%4."/>
      <w:lvlJc w:val="left"/>
      <w:pPr>
        <w:ind w:left="2880" w:hanging="360"/>
      </w:pPr>
    </w:lvl>
    <w:lvl w:ilvl="4" w:tplc="555AD340">
      <w:start w:val="1"/>
      <w:numFmt w:val="lowerLetter"/>
      <w:lvlText w:val="%5."/>
      <w:lvlJc w:val="left"/>
      <w:pPr>
        <w:ind w:left="3600" w:hanging="360"/>
      </w:pPr>
    </w:lvl>
    <w:lvl w:ilvl="5" w:tplc="F0A8EBEE">
      <w:start w:val="1"/>
      <w:numFmt w:val="lowerRoman"/>
      <w:lvlText w:val="%6."/>
      <w:lvlJc w:val="right"/>
      <w:pPr>
        <w:ind w:left="4320" w:hanging="180"/>
      </w:pPr>
    </w:lvl>
    <w:lvl w:ilvl="6" w:tplc="A3940092">
      <w:start w:val="1"/>
      <w:numFmt w:val="decimal"/>
      <w:lvlText w:val="%7."/>
      <w:lvlJc w:val="left"/>
      <w:pPr>
        <w:ind w:left="5040" w:hanging="360"/>
      </w:pPr>
    </w:lvl>
    <w:lvl w:ilvl="7" w:tplc="47B8BB4C">
      <w:start w:val="1"/>
      <w:numFmt w:val="lowerLetter"/>
      <w:lvlText w:val="%8."/>
      <w:lvlJc w:val="left"/>
      <w:pPr>
        <w:ind w:left="5760" w:hanging="360"/>
      </w:pPr>
    </w:lvl>
    <w:lvl w:ilvl="8" w:tplc="DE24C06E">
      <w:start w:val="1"/>
      <w:numFmt w:val="lowerRoman"/>
      <w:lvlText w:val="%9."/>
      <w:lvlJc w:val="right"/>
      <w:pPr>
        <w:ind w:left="6480" w:hanging="180"/>
      </w:pPr>
    </w:lvl>
  </w:abstractNum>
  <w:abstractNum w:abstractNumId="43" w15:restartNumberingAfterBreak="0">
    <w:nsid w:val="2D9A31BD"/>
    <w:multiLevelType w:val="hybridMultilevel"/>
    <w:tmpl w:val="FFFFFFFF"/>
    <w:lvl w:ilvl="0" w:tplc="A3C08610">
      <w:start w:val="1"/>
      <w:numFmt w:val="bullet"/>
      <w:lvlText w:val=""/>
      <w:lvlJc w:val="left"/>
      <w:pPr>
        <w:ind w:left="720" w:hanging="360"/>
      </w:pPr>
      <w:rPr>
        <w:rFonts w:ascii="Symbol" w:hAnsi="Symbol" w:hint="default"/>
      </w:rPr>
    </w:lvl>
    <w:lvl w:ilvl="1" w:tplc="80AA80CC">
      <w:start w:val="1"/>
      <w:numFmt w:val="bullet"/>
      <w:lvlText w:val="o"/>
      <w:lvlJc w:val="left"/>
      <w:pPr>
        <w:ind w:left="1440" w:hanging="360"/>
      </w:pPr>
      <w:rPr>
        <w:rFonts w:ascii="Courier New" w:hAnsi="Courier New" w:hint="default"/>
      </w:rPr>
    </w:lvl>
    <w:lvl w:ilvl="2" w:tplc="8CA2936C">
      <w:start w:val="1"/>
      <w:numFmt w:val="bullet"/>
      <w:lvlText w:val=""/>
      <w:lvlJc w:val="left"/>
      <w:pPr>
        <w:ind w:left="2160" w:hanging="360"/>
      </w:pPr>
      <w:rPr>
        <w:rFonts w:ascii="Wingdings" w:hAnsi="Wingdings" w:hint="default"/>
      </w:rPr>
    </w:lvl>
    <w:lvl w:ilvl="3" w:tplc="FE9EB9EE">
      <w:start w:val="1"/>
      <w:numFmt w:val="bullet"/>
      <w:lvlText w:val=""/>
      <w:lvlJc w:val="left"/>
      <w:pPr>
        <w:ind w:left="2880" w:hanging="360"/>
      </w:pPr>
      <w:rPr>
        <w:rFonts w:ascii="Symbol" w:hAnsi="Symbol" w:hint="default"/>
      </w:rPr>
    </w:lvl>
    <w:lvl w:ilvl="4" w:tplc="74263306">
      <w:start w:val="1"/>
      <w:numFmt w:val="bullet"/>
      <w:lvlText w:val="o"/>
      <w:lvlJc w:val="left"/>
      <w:pPr>
        <w:ind w:left="3600" w:hanging="360"/>
      </w:pPr>
      <w:rPr>
        <w:rFonts w:ascii="Courier New" w:hAnsi="Courier New" w:hint="default"/>
      </w:rPr>
    </w:lvl>
    <w:lvl w:ilvl="5" w:tplc="F83EF9E4">
      <w:start w:val="1"/>
      <w:numFmt w:val="bullet"/>
      <w:lvlText w:val=""/>
      <w:lvlJc w:val="left"/>
      <w:pPr>
        <w:ind w:left="4320" w:hanging="360"/>
      </w:pPr>
      <w:rPr>
        <w:rFonts w:ascii="Wingdings" w:hAnsi="Wingdings" w:hint="default"/>
      </w:rPr>
    </w:lvl>
    <w:lvl w:ilvl="6" w:tplc="6D7EF8BA">
      <w:start w:val="1"/>
      <w:numFmt w:val="bullet"/>
      <w:lvlText w:val=""/>
      <w:lvlJc w:val="left"/>
      <w:pPr>
        <w:ind w:left="5040" w:hanging="360"/>
      </w:pPr>
      <w:rPr>
        <w:rFonts w:ascii="Symbol" w:hAnsi="Symbol" w:hint="default"/>
      </w:rPr>
    </w:lvl>
    <w:lvl w:ilvl="7" w:tplc="88C8C394">
      <w:start w:val="1"/>
      <w:numFmt w:val="bullet"/>
      <w:lvlText w:val="o"/>
      <w:lvlJc w:val="left"/>
      <w:pPr>
        <w:ind w:left="5760" w:hanging="360"/>
      </w:pPr>
      <w:rPr>
        <w:rFonts w:ascii="Courier New" w:hAnsi="Courier New" w:hint="default"/>
      </w:rPr>
    </w:lvl>
    <w:lvl w:ilvl="8" w:tplc="BB30B1E8">
      <w:start w:val="1"/>
      <w:numFmt w:val="bullet"/>
      <w:lvlText w:val=""/>
      <w:lvlJc w:val="left"/>
      <w:pPr>
        <w:ind w:left="6480" w:hanging="360"/>
      </w:pPr>
      <w:rPr>
        <w:rFonts w:ascii="Wingdings" w:hAnsi="Wingdings" w:hint="default"/>
      </w:rPr>
    </w:lvl>
  </w:abstractNum>
  <w:abstractNum w:abstractNumId="44" w15:restartNumberingAfterBreak="0">
    <w:nsid w:val="2E412D27"/>
    <w:multiLevelType w:val="hybridMultilevel"/>
    <w:tmpl w:val="FFFFFFFF"/>
    <w:lvl w:ilvl="0" w:tplc="DB6A17D2">
      <w:start w:val="1"/>
      <w:numFmt w:val="bullet"/>
      <w:lvlText w:val=""/>
      <w:lvlJc w:val="left"/>
      <w:pPr>
        <w:ind w:left="720" w:hanging="360"/>
      </w:pPr>
      <w:rPr>
        <w:rFonts w:ascii="Symbol" w:hAnsi="Symbol" w:hint="default"/>
      </w:rPr>
    </w:lvl>
    <w:lvl w:ilvl="1" w:tplc="30301294">
      <w:start w:val="1"/>
      <w:numFmt w:val="bullet"/>
      <w:lvlText w:val="o"/>
      <w:lvlJc w:val="left"/>
      <w:pPr>
        <w:ind w:left="1440" w:hanging="360"/>
      </w:pPr>
      <w:rPr>
        <w:rFonts w:ascii="Courier New" w:hAnsi="Courier New" w:hint="default"/>
      </w:rPr>
    </w:lvl>
    <w:lvl w:ilvl="2" w:tplc="39F622F2">
      <w:start w:val="1"/>
      <w:numFmt w:val="bullet"/>
      <w:lvlText w:val=""/>
      <w:lvlJc w:val="left"/>
      <w:pPr>
        <w:ind w:left="2160" w:hanging="360"/>
      </w:pPr>
      <w:rPr>
        <w:rFonts w:ascii="Wingdings" w:hAnsi="Wingdings" w:hint="default"/>
      </w:rPr>
    </w:lvl>
    <w:lvl w:ilvl="3" w:tplc="2AF2D188">
      <w:start w:val="1"/>
      <w:numFmt w:val="bullet"/>
      <w:lvlText w:val=""/>
      <w:lvlJc w:val="left"/>
      <w:pPr>
        <w:ind w:left="2880" w:hanging="360"/>
      </w:pPr>
      <w:rPr>
        <w:rFonts w:ascii="Symbol" w:hAnsi="Symbol" w:hint="default"/>
      </w:rPr>
    </w:lvl>
    <w:lvl w:ilvl="4" w:tplc="F5F4516C">
      <w:start w:val="1"/>
      <w:numFmt w:val="bullet"/>
      <w:lvlText w:val="o"/>
      <w:lvlJc w:val="left"/>
      <w:pPr>
        <w:ind w:left="3600" w:hanging="360"/>
      </w:pPr>
      <w:rPr>
        <w:rFonts w:ascii="Courier New" w:hAnsi="Courier New" w:hint="default"/>
      </w:rPr>
    </w:lvl>
    <w:lvl w:ilvl="5" w:tplc="FF6A1C24">
      <w:start w:val="1"/>
      <w:numFmt w:val="bullet"/>
      <w:lvlText w:val=""/>
      <w:lvlJc w:val="left"/>
      <w:pPr>
        <w:ind w:left="4320" w:hanging="360"/>
      </w:pPr>
      <w:rPr>
        <w:rFonts w:ascii="Wingdings" w:hAnsi="Wingdings" w:hint="default"/>
      </w:rPr>
    </w:lvl>
    <w:lvl w:ilvl="6" w:tplc="E9920DF8">
      <w:start w:val="1"/>
      <w:numFmt w:val="bullet"/>
      <w:lvlText w:val=""/>
      <w:lvlJc w:val="left"/>
      <w:pPr>
        <w:ind w:left="5040" w:hanging="360"/>
      </w:pPr>
      <w:rPr>
        <w:rFonts w:ascii="Symbol" w:hAnsi="Symbol" w:hint="default"/>
      </w:rPr>
    </w:lvl>
    <w:lvl w:ilvl="7" w:tplc="3B00EA5E">
      <w:start w:val="1"/>
      <w:numFmt w:val="bullet"/>
      <w:lvlText w:val="o"/>
      <w:lvlJc w:val="left"/>
      <w:pPr>
        <w:ind w:left="5760" w:hanging="360"/>
      </w:pPr>
      <w:rPr>
        <w:rFonts w:ascii="Courier New" w:hAnsi="Courier New" w:hint="default"/>
      </w:rPr>
    </w:lvl>
    <w:lvl w:ilvl="8" w:tplc="CE94BA7A">
      <w:start w:val="1"/>
      <w:numFmt w:val="bullet"/>
      <w:lvlText w:val=""/>
      <w:lvlJc w:val="left"/>
      <w:pPr>
        <w:ind w:left="6480" w:hanging="360"/>
      </w:pPr>
      <w:rPr>
        <w:rFonts w:ascii="Wingdings" w:hAnsi="Wingdings" w:hint="default"/>
      </w:rPr>
    </w:lvl>
  </w:abstractNum>
  <w:abstractNum w:abstractNumId="45" w15:restartNumberingAfterBreak="0">
    <w:nsid w:val="2E7D39F6"/>
    <w:multiLevelType w:val="hybridMultilevel"/>
    <w:tmpl w:val="D174052E"/>
    <w:lvl w:ilvl="0" w:tplc="1B5033A4">
      <w:start w:val="1"/>
      <w:numFmt w:val="upperLetter"/>
      <w:lvlText w:val="%1."/>
      <w:lvlJc w:val="left"/>
      <w:pPr>
        <w:ind w:left="1080" w:hanging="360"/>
      </w:pPr>
      <w:rPr>
        <w:rFonts w:asciiTheme="majorHAnsi" w:hAnsiTheme="majorHAnsi" w:hint="default"/>
        <w:color w:val="4472C4"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F852C05"/>
    <w:multiLevelType w:val="hybridMultilevel"/>
    <w:tmpl w:val="04E4DBC0"/>
    <w:lvl w:ilvl="0" w:tplc="FFFFFFFF">
      <w:start w:val="1"/>
      <w:numFmt w:val="bullet"/>
      <w:lvlText w:val=""/>
      <w:lvlJc w:val="left"/>
      <w:pPr>
        <w:ind w:left="720" w:hanging="360"/>
      </w:pPr>
    </w:lvl>
    <w:lvl w:ilvl="1" w:tplc="FFFFFFFF">
      <w:start w:val="1"/>
      <w:numFmt w:val="bullet"/>
      <w:lvlText w:val=""/>
      <w:lvlJc w:val="left"/>
      <w:pPr>
        <w:ind w:left="1440" w:hanging="360"/>
      </w:pPr>
    </w:lvl>
    <w:lvl w:ilvl="2" w:tplc="FF1ED376">
      <w:start w:val="1"/>
      <w:numFmt w:val="lowerRoman"/>
      <w:lvlText w:val="%3."/>
      <w:lvlJc w:val="right"/>
      <w:pPr>
        <w:ind w:left="2160" w:hanging="180"/>
      </w:pPr>
    </w:lvl>
    <w:lvl w:ilvl="3" w:tplc="0C9C015A">
      <w:start w:val="1"/>
      <w:numFmt w:val="decimal"/>
      <w:lvlText w:val="%4."/>
      <w:lvlJc w:val="left"/>
      <w:pPr>
        <w:ind w:left="2880" w:hanging="360"/>
      </w:pPr>
    </w:lvl>
    <w:lvl w:ilvl="4" w:tplc="39AE51CE">
      <w:start w:val="1"/>
      <w:numFmt w:val="lowerLetter"/>
      <w:lvlText w:val="%5."/>
      <w:lvlJc w:val="left"/>
      <w:pPr>
        <w:ind w:left="3600" w:hanging="360"/>
      </w:pPr>
    </w:lvl>
    <w:lvl w:ilvl="5" w:tplc="C8CCCE52">
      <w:start w:val="1"/>
      <w:numFmt w:val="lowerRoman"/>
      <w:lvlText w:val="%6."/>
      <w:lvlJc w:val="right"/>
      <w:pPr>
        <w:ind w:left="4320" w:hanging="180"/>
      </w:pPr>
    </w:lvl>
    <w:lvl w:ilvl="6" w:tplc="A4F60222">
      <w:start w:val="1"/>
      <w:numFmt w:val="decimal"/>
      <w:lvlText w:val="%7."/>
      <w:lvlJc w:val="left"/>
      <w:pPr>
        <w:ind w:left="5040" w:hanging="360"/>
      </w:pPr>
    </w:lvl>
    <w:lvl w:ilvl="7" w:tplc="4D7881BC">
      <w:start w:val="1"/>
      <w:numFmt w:val="lowerLetter"/>
      <w:lvlText w:val="%8."/>
      <w:lvlJc w:val="left"/>
      <w:pPr>
        <w:ind w:left="5760" w:hanging="360"/>
      </w:pPr>
    </w:lvl>
    <w:lvl w:ilvl="8" w:tplc="92CC42D0">
      <w:start w:val="1"/>
      <w:numFmt w:val="lowerRoman"/>
      <w:lvlText w:val="%9."/>
      <w:lvlJc w:val="right"/>
      <w:pPr>
        <w:ind w:left="6480" w:hanging="180"/>
      </w:pPr>
    </w:lvl>
  </w:abstractNum>
  <w:abstractNum w:abstractNumId="47" w15:restartNumberingAfterBreak="0">
    <w:nsid w:val="32006380"/>
    <w:multiLevelType w:val="hybridMultilevel"/>
    <w:tmpl w:val="BF1E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262006"/>
    <w:multiLevelType w:val="hybridMultilevel"/>
    <w:tmpl w:val="92D2EB70"/>
    <w:lvl w:ilvl="0" w:tplc="B43842BC">
      <w:start w:val="1"/>
      <w:numFmt w:val="bullet"/>
      <w:lvlText w:val=""/>
      <w:lvlJc w:val="left"/>
      <w:pPr>
        <w:ind w:left="720" w:hanging="360"/>
      </w:pPr>
      <w:rPr>
        <w:rFonts w:ascii="Symbol" w:hAnsi="Symbol" w:hint="default"/>
      </w:rPr>
    </w:lvl>
    <w:lvl w:ilvl="1" w:tplc="7A60125E">
      <w:start w:val="1"/>
      <w:numFmt w:val="bullet"/>
      <w:lvlText w:val="o"/>
      <w:lvlJc w:val="left"/>
      <w:pPr>
        <w:ind w:left="1440" w:hanging="360"/>
      </w:pPr>
      <w:rPr>
        <w:rFonts w:ascii="Courier New" w:hAnsi="Courier New" w:hint="default"/>
      </w:rPr>
    </w:lvl>
    <w:lvl w:ilvl="2" w:tplc="E62EF84A">
      <w:start w:val="1"/>
      <w:numFmt w:val="bullet"/>
      <w:lvlText w:val=""/>
      <w:lvlJc w:val="left"/>
      <w:pPr>
        <w:ind w:left="2160" w:hanging="360"/>
      </w:pPr>
      <w:rPr>
        <w:rFonts w:ascii="Wingdings" w:hAnsi="Wingdings" w:hint="default"/>
      </w:rPr>
    </w:lvl>
    <w:lvl w:ilvl="3" w:tplc="D00877F2">
      <w:start w:val="1"/>
      <w:numFmt w:val="bullet"/>
      <w:lvlText w:val=""/>
      <w:lvlJc w:val="left"/>
      <w:pPr>
        <w:ind w:left="2880" w:hanging="360"/>
      </w:pPr>
      <w:rPr>
        <w:rFonts w:ascii="Symbol" w:hAnsi="Symbol" w:hint="default"/>
      </w:rPr>
    </w:lvl>
    <w:lvl w:ilvl="4" w:tplc="E864EC5C">
      <w:start w:val="1"/>
      <w:numFmt w:val="bullet"/>
      <w:lvlText w:val="o"/>
      <w:lvlJc w:val="left"/>
      <w:pPr>
        <w:ind w:left="3600" w:hanging="360"/>
      </w:pPr>
      <w:rPr>
        <w:rFonts w:ascii="Courier New" w:hAnsi="Courier New" w:hint="default"/>
      </w:rPr>
    </w:lvl>
    <w:lvl w:ilvl="5" w:tplc="30E06068">
      <w:start w:val="1"/>
      <w:numFmt w:val="bullet"/>
      <w:lvlText w:val=""/>
      <w:lvlJc w:val="left"/>
      <w:pPr>
        <w:ind w:left="4320" w:hanging="360"/>
      </w:pPr>
      <w:rPr>
        <w:rFonts w:ascii="Wingdings" w:hAnsi="Wingdings" w:hint="default"/>
      </w:rPr>
    </w:lvl>
    <w:lvl w:ilvl="6" w:tplc="E6B2E7B2">
      <w:start w:val="1"/>
      <w:numFmt w:val="bullet"/>
      <w:lvlText w:val=""/>
      <w:lvlJc w:val="left"/>
      <w:pPr>
        <w:ind w:left="5040" w:hanging="360"/>
      </w:pPr>
      <w:rPr>
        <w:rFonts w:ascii="Symbol" w:hAnsi="Symbol" w:hint="default"/>
      </w:rPr>
    </w:lvl>
    <w:lvl w:ilvl="7" w:tplc="1BFE3DC8">
      <w:start w:val="1"/>
      <w:numFmt w:val="bullet"/>
      <w:lvlText w:val="o"/>
      <w:lvlJc w:val="left"/>
      <w:pPr>
        <w:ind w:left="5760" w:hanging="360"/>
      </w:pPr>
      <w:rPr>
        <w:rFonts w:ascii="Courier New" w:hAnsi="Courier New" w:hint="default"/>
      </w:rPr>
    </w:lvl>
    <w:lvl w:ilvl="8" w:tplc="6FC66CA2">
      <w:start w:val="1"/>
      <w:numFmt w:val="bullet"/>
      <w:lvlText w:val=""/>
      <w:lvlJc w:val="left"/>
      <w:pPr>
        <w:ind w:left="6480" w:hanging="360"/>
      </w:pPr>
      <w:rPr>
        <w:rFonts w:ascii="Wingdings" w:hAnsi="Wingdings" w:hint="default"/>
      </w:rPr>
    </w:lvl>
  </w:abstractNum>
  <w:abstractNum w:abstractNumId="49" w15:restartNumberingAfterBreak="0">
    <w:nsid w:val="32576768"/>
    <w:multiLevelType w:val="hybridMultilevel"/>
    <w:tmpl w:val="00D2F8AC"/>
    <w:lvl w:ilvl="0" w:tplc="42D43F98">
      <w:start w:val="2019"/>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7B4648"/>
    <w:multiLevelType w:val="hybridMultilevel"/>
    <w:tmpl w:val="1218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806CB8"/>
    <w:multiLevelType w:val="hybridMultilevel"/>
    <w:tmpl w:val="46C6A23C"/>
    <w:lvl w:ilvl="0" w:tplc="BC0CB3AC">
      <w:start w:val="1"/>
      <w:numFmt w:val="decimal"/>
      <w:lvlText w:val="%1."/>
      <w:lvlJc w:val="left"/>
      <w:pPr>
        <w:ind w:left="720" w:hanging="360"/>
      </w:pPr>
    </w:lvl>
    <w:lvl w:ilvl="1" w:tplc="8054AF60">
      <w:start w:val="1"/>
      <w:numFmt w:val="upperLetter"/>
      <w:lvlText w:val="%1."/>
      <w:lvlJc w:val="left"/>
      <w:pPr>
        <w:ind w:left="1440" w:hanging="360"/>
      </w:pPr>
    </w:lvl>
    <w:lvl w:ilvl="2" w:tplc="6946F94A">
      <w:start w:val="1"/>
      <w:numFmt w:val="lowerRoman"/>
      <w:lvlText w:val="%3."/>
      <w:lvlJc w:val="right"/>
      <w:pPr>
        <w:ind w:left="2160" w:hanging="180"/>
      </w:pPr>
    </w:lvl>
    <w:lvl w:ilvl="3" w:tplc="4F4446C8">
      <w:start w:val="1"/>
      <w:numFmt w:val="decimal"/>
      <w:lvlText w:val="%4."/>
      <w:lvlJc w:val="left"/>
      <w:pPr>
        <w:ind w:left="2880" w:hanging="360"/>
      </w:pPr>
    </w:lvl>
    <w:lvl w:ilvl="4" w:tplc="C9008C9C">
      <w:start w:val="1"/>
      <w:numFmt w:val="lowerLetter"/>
      <w:lvlText w:val="%5."/>
      <w:lvlJc w:val="left"/>
      <w:pPr>
        <w:ind w:left="3600" w:hanging="360"/>
      </w:pPr>
    </w:lvl>
    <w:lvl w:ilvl="5" w:tplc="C69A91A4">
      <w:start w:val="1"/>
      <w:numFmt w:val="lowerRoman"/>
      <w:lvlText w:val="%6."/>
      <w:lvlJc w:val="right"/>
      <w:pPr>
        <w:ind w:left="4320" w:hanging="180"/>
      </w:pPr>
    </w:lvl>
    <w:lvl w:ilvl="6" w:tplc="C6A8CBD4">
      <w:start w:val="1"/>
      <w:numFmt w:val="decimal"/>
      <w:lvlText w:val="%7."/>
      <w:lvlJc w:val="left"/>
      <w:pPr>
        <w:ind w:left="5040" w:hanging="360"/>
      </w:pPr>
    </w:lvl>
    <w:lvl w:ilvl="7" w:tplc="040C9878">
      <w:start w:val="1"/>
      <w:numFmt w:val="lowerLetter"/>
      <w:lvlText w:val="%8."/>
      <w:lvlJc w:val="left"/>
      <w:pPr>
        <w:ind w:left="5760" w:hanging="360"/>
      </w:pPr>
    </w:lvl>
    <w:lvl w:ilvl="8" w:tplc="99F4BD22">
      <w:start w:val="1"/>
      <w:numFmt w:val="lowerRoman"/>
      <w:lvlText w:val="%9."/>
      <w:lvlJc w:val="right"/>
      <w:pPr>
        <w:ind w:left="6480" w:hanging="180"/>
      </w:pPr>
    </w:lvl>
  </w:abstractNum>
  <w:abstractNum w:abstractNumId="52" w15:restartNumberingAfterBreak="0">
    <w:nsid w:val="35537908"/>
    <w:multiLevelType w:val="hybridMultilevel"/>
    <w:tmpl w:val="0E343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5682160"/>
    <w:multiLevelType w:val="hybridMultilevel"/>
    <w:tmpl w:val="3BCC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842FA8"/>
    <w:multiLevelType w:val="hybridMultilevel"/>
    <w:tmpl w:val="128AAF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F04C34"/>
    <w:multiLevelType w:val="hybridMultilevel"/>
    <w:tmpl w:val="7AA691E2"/>
    <w:lvl w:ilvl="0" w:tplc="F8BC04D4">
      <w:start w:val="1"/>
      <w:numFmt w:val="decimal"/>
      <w:lvlText w:val="%1."/>
      <w:lvlJc w:val="left"/>
      <w:pPr>
        <w:ind w:left="720" w:hanging="360"/>
      </w:pPr>
    </w:lvl>
    <w:lvl w:ilvl="1" w:tplc="95660706">
      <w:start w:val="1"/>
      <w:numFmt w:val="lowerLetter"/>
      <w:lvlText w:val="%2."/>
      <w:lvlJc w:val="left"/>
      <w:pPr>
        <w:ind w:left="1440" w:hanging="360"/>
      </w:pPr>
    </w:lvl>
    <w:lvl w:ilvl="2" w:tplc="EDFC8A14">
      <w:start w:val="1"/>
      <w:numFmt w:val="lowerRoman"/>
      <w:lvlText w:val="%3."/>
      <w:lvlJc w:val="right"/>
      <w:pPr>
        <w:ind w:left="2160" w:hanging="180"/>
      </w:pPr>
    </w:lvl>
    <w:lvl w:ilvl="3" w:tplc="A76C5EBA">
      <w:start w:val="1"/>
      <w:numFmt w:val="decimal"/>
      <w:lvlText w:val="%4."/>
      <w:lvlJc w:val="left"/>
      <w:pPr>
        <w:ind w:left="2880" w:hanging="360"/>
      </w:pPr>
    </w:lvl>
    <w:lvl w:ilvl="4" w:tplc="67D0FB4A">
      <w:start w:val="1"/>
      <w:numFmt w:val="lowerLetter"/>
      <w:lvlText w:val="%5."/>
      <w:lvlJc w:val="left"/>
      <w:pPr>
        <w:ind w:left="3600" w:hanging="360"/>
      </w:pPr>
    </w:lvl>
    <w:lvl w:ilvl="5" w:tplc="EA7A079C">
      <w:start w:val="1"/>
      <w:numFmt w:val="lowerRoman"/>
      <w:lvlText w:val="%6."/>
      <w:lvlJc w:val="right"/>
      <w:pPr>
        <w:ind w:left="4320" w:hanging="180"/>
      </w:pPr>
    </w:lvl>
    <w:lvl w:ilvl="6" w:tplc="3A5899A0">
      <w:start w:val="1"/>
      <w:numFmt w:val="decimal"/>
      <w:lvlText w:val="%7."/>
      <w:lvlJc w:val="left"/>
      <w:pPr>
        <w:ind w:left="5040" w:hanging="360"/>
      </w:pPr>
    </w:lvl>
    <w:lvl w:ilvl="7" w:tplc="19D2F7EE">
      <w:start w:val="1"/>
      <w:numFmt w:val="lowerLetter"/>
      <w:lvlText w:val="%8."/>
      <w:lvlJc w:val="left"/>
      <w:pPr>
        <w:ind w:left="5760" w:hanging="360"/>
      </w:pPr>
    </w:lvl>
    <w:lvl w:ilvl="8" w:tplc="1696CD6A">
      <w:start w:val="1"/>
      <w:numFmt w:val="lowerRoman"/>
      <w:lvlText w:val="%9."/>
      <w:lvlJc w:val="right"/>
      <w:pPr>
        <w:ind w:left="6480" w:hanging="180"/>
      </w:pPr>
    </w:lvl>
  </w:abstractNum>
  <w:abstractNum w:abstractNumId="56" w15:restartNumberingAfterBreak="0">
    <w:nsid w:val="383934CE"/>
    <w:multiLevelType w:val="hybridMultilevel"/>
    <w:tmpl w:val="16BC7A86"/>
    <w:lvl w:ilvl="0" w:tplc="27927C8C">
      <w:start w:val="1"/>
      <w:numFmt w:val="decimal"/>
      <w:lvlText w:val="%1."/>
      <w:lvlJc w:val="left"/>
      <w:pPr>
        <w:tabs>
          <w:tab w:val="num" w:pos="720"/>
        </w:tabs>
        <w:ind w:left="720" w:hanging="720"/>
      </w:pPr>
    </w:lvl>
    <w:lvl w:ilvl="1" w:tplc="68389060">
      <w:start w:val="1"/>
      <w:numFmt w:val="decimal"/>
      <w:lvlText w:val="%2."/>
      <w:lvlJc w:val="left"/>
      <w:pPr>
        <w:tabs>
          <w:tab w:val="num" w:pos="1440"/>
        </w:tabs>
        <w:ind w:left="1440" w:hanging="720"/>
      </w:pPr>
    </w:lvl>
    <w:lvl w:ilvl="2" w:tplc="2B9C47FC">
      <w:start w:val="1"/>
      <w:numFmt w:val="decimal"/>
      <w:lvlText w:val="%3."/>
      <w:lvlJc w:val="left"/>
      <w:pPr>
        <w:tabs>
          <w:tab w:val="num" w:pos="2160"/>
        </w:tabs>
        <w:ind w:left="2160" w:hanging="720"/>
      </w:pPr>
    </w:lvl>
    <w:lvl w:ilvl="3" w:tplc="16482330">
      <w:start w:val="1"/>
      <w:numFmt w:val="decimal"/>
      <w:lvlText w:val="%4."/>
      <w:lvlJc w:val="left"/>
      <w:pPr>
        <w:tabs>
          <w:tab w:val="num" w:pos="2880"/>
        </w:tabs>
        <w:ind w:left="2880" w:hanging="720"/>
      </w:pPr>
    </w:lvl>
    <w:lvl w:ilvl="4" w:tplc="43848EAC">
      <w:start w:val="1"/>
      <w:numFmt w:val="decimal"/>
      <w:lvlText w:val="%5."/>
      <w:lvlJc w:val="left"/>
      <w:pPr>
        <w:tabs>
          <w:tab w:val="num" w:pos="3600"/>
        </w:tabs>
        <w:ind w:left="3600" w:hanging="720"/>
      </w:pPr>
    </w:lvl>
    <w:lvl w:ilvl="5" w:tplc="09F2CF4C">
      <w:start w:val="1"/>
      <w:numFmt w:val="decimal"/>
      <w:lvlText w:val="%6."/>
      <w:lvlJc w:val="left"/>
      <w:pPr>
        <w:tabs>
          <w:tab w:val="num" w:pos="4320"/>
        </w:tabs>
        <w:ind w:left="4320" w:hanging="720"/>
      </w:pPr>
    </w:lvl>
    <w:lvl w:ilvl="6" w:tplc="489C1344">
      <w:start w:val="1"/>
      <w:numFmt w:val="decimal"/>
      <w:lvlText w:val="%7."/>
      <w:lvlJc w:val="left"/>
      <w:pPr>
        <w:tabs>
          <w:tab w:val="num" w:pos="5040"/>
        </w:tabs>
        <w:ind w:left="5040" w:hanging="720"/>
      </w:pPr>
    </w:lvl>
    <w:lvl w:ilvl="7" w:tplc="9C9EEB98">
      <w:start w:val="1"/>
      <w:numFmt w:val="decimal"/>
      <w:lvlText w:val="%8."/>
      <w:lvlJc w:val="left"/>
      <w:pPr>
        <w:tabs>
          <w:tab w:val="num" w:pos="5760"/>
        </w:tabs>
        <w:ind w:left="5760" w:hanging="720"/>
      </w:pPr>
    </w:lvl>
    <w:lvl w:ilvl="8" w:tplc="C1FEB360">
      <w:start w:val="1"/>
      <w:numFmt w:val="decimal"/>
      <w:lvlText w:val="%9."/>
      <w:lvlJc w:val="left"/>
      <w:pPr>
        <w:tabs>
          <w:tab w:val="num" w:pos="6480"/>
        </w:tabs>
        <w:ind w:left="6480" w:hanging="720"/>
      </w:pPr>
    </w:lvl>
  </w:abstractNum>
  <w:abstractNum w:abstractNumId="57" w15:restartNumberingAfterBreak="0">
    <w:nsid w:val="39CF7D6E"/>
    <w:multiLevelType w:val="hybridMultilevel"/>
    <w:tmpl w:val="FFFFFFFF"/>
    <w:lvl w:ilvl="0" w:tplc="812E2758">
      <w:start w:val="1"/>
      <w:numFmt w:val="bullet"/>
      <w:lvlText w:val=""/>
      <w:lvlJc w:val="left"/>
      <w:pPr>
        <w:ind w:left="720" w:hanging="360"/>
      </w:pPr>
      <w:rPr>
        <w:rFonts w:ascii="Symbol" w:hAnsi="Symbol" w:hint="default"/>
      </w:rPr>
    </w:lvl>
    <w:lvl w:ilvl="1" w:tplc="B88C43FA">
      <w:start w:val="1"/>
      <w:numFmt w:val="bullet"/>
      <w:lvlText w:val="o"/>
      <w:lvlJc w:val="left"/>
      <w:pPr>
        <w:ind w:left="1440" w:hanging="360"/>
      </w:pPr>
      <w:rPr>
        <w:rFonts w:ascii="Courier New" w:hAnsi="Courier New" w:hint="default"/>
      </w:rPr>
    </w:lvl>
    <w:lvl w:ilvl="2" w:tplc="26E69AE8">
      <w:start w:val="1"/>
      <w:numFmt w:val="bullet"/>
      <w:lvlText w:val=""/>
      <w:lvlJc w:val="left"/>
      <w:pPr>
        <w:ind w:left="2160" w:hanging="360"/>
      </w:pPr>
      <w:rPr>
        <w:rFonts w:ascii="Wingdings" w:hAnsi="Wingdings" w:hint="default"/>
      </w:rPr>
    </w:lvl>
    <w:lvl w:ilvl="3" w:tplc="3964060E">
      <w:start w:val="1"/>
      <w:numFmt w:val="bullet"/>
      <w:lvlText w:val=""/>
      <w:lvlJc w:val="left"/>
      <w:pPr>
        <w:ind w:left="2880" w:hanging="360"/>
      </w:pPr>
      <w:rPr>
        <w:rFonts w:ascii="Symbol" w:hAnsi="Symbol" w:hint="default"/>
      </w:rPr>
    </w:lvl>
    <w:lvl w:ilvl="4" w:tplc="C33A2878">
      <w:start w:val="1"/>
      <w:numFmt w:val="bullet"/>
      <w:lvlText w:val="o"/>
      <w:lvlJc w:val="left"/>
      <w:pPr>
        <w:ind w:left="3600" w:hanging="360"/>
      </w:pPr>
      <w:rPr>
        <w:rFonts w:ascii="Courier New" w:hAnsi="Courier New" w:hint="default"/>
      </w:rPr>
    </w:lvl>
    <w:lvl w:ilvl="5" w:tplc="E3C6E802">
      <w:start w:val="1"/>
      <w:numFmt w:val="bullet"/>
      <w:lvlText w:val=""/>
      <w:lvlJc w:val="left"/>
      <w:pPr>
        <w:ind w:left="4320" w:hanging="360"/>
      </w:pPr>
      <w:rPr>
        <w:rFonts w:ascii="Wingdings" w:hAnsi="Wingdings" w:hint="default"/>
      </w:rPr>
    </w:lvl>
    <w:lvl w:ilvl="6" w:tplc="38F8E3E8">
      <w:start w:val="1"/>
      <w:numFmt w:val="bullet"/>
      <w:lvlText w:val=""/>
      <w:lvlJc w:val="left"/>
      <w:pPr>
        <w:ind w:left="5040" w:hanging="360"/>
      </w:pPr>
      <w:rPr>
        <w:rFonts w:ascii="Symbol" w:hAnsi="Symbol" w:hint="default"/>
      </w:rPr>
    </w:lvl>
    <w:lvl w:ilvl="7" w:tplc="E81E6FEC">
      <w:start w:val="1"/>
      <w:numFmt w:val="bullet"/>
      <w:lvlText w:val="o"/>
      <w:lvlJc w:val="left"/>
      <w:pPr>
        <w:ind w:left="5760" w:hanging="360"/>
      </w:pPr>
      <w:rPr>
        <w:rFonts w:ascii="Courier New" w:hAnsi="Courier New" w:hint="default"/>
      </w:rPr>
    </w:lvl>
    <w:lvl w:ilvl="8" w:tplc="0B620362">
      <w:start w:val="1"/>
      <w:numFmt w:val="bullet"/>
      <w:lvlText w:val=""/>
      <w:lvlJc w:val="left"/>
      <w:pPr>
        <w:ind w:left="6480" w:hanging="360"/>
      </w:pPr>
      <w:rPr>
        <w:rFonts w:ascii="Wingdings" w:hAnsi="Wingdings" w:hint="default"/>
      </w:rPr>
    </w:lvl>
  </w:abstractNum>
  <w:abstractNum w:abstractNumId="58" w15:restartNumberingAfterBreak="0">
    <w:nsid w:val="39DE3885"/>
    <w:multiLevelType w:val="hybridMultilevel"/>
    <w:tmpl w:val="9E00EF0C"/>
    <w:lvl w:ilvl="0" w:tplc="C2C0D374">
      <w:start w:val="1"/>
      <w:numFmt w:val="upperLetter"/>
      <w:pStyle w:val="Heading5"/>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A4108A6"/>
    <w:multiLevelType w:val="hybridMultilevel"/>
    <w:tmpl w:val="F2125A9A"/>
    <w:lvl w:ilvl="0" w:tplc="0409000F">
      <w:start w:val="1"/>
      <w:numFmt w:val="decimal"/>
      <w:pStyle w:val="Questionbo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B0031C9"/>
    <w:multiLevelType w:val="hybridMultilevel"/>
    <w:tmpl w:val="3800C2E2"/>
    <w:lvl w:ilvl="0" w:tplc="2EB65F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BF74368"/>
    <w:multiLevelType w:val="hybridMultilevel"/>
    <w:tmpl w:val="FFFFFFFF"/>
    <w:lvl w:ilvl="0" w:tplc="FFFFFFFF">
      <w:start w:val="1"/>
      <w:numFmt w:val="bullet"/>
      <w:lvlText w:val=""/>
      <w:lvlJc w:val="left"/>
      <w:pPr>
        <w:ind w:left="720" w:hanging="360"/>
      </w:pPr>
      <w:rPr>
        <w:rFonts w:ascii="Symbol" w:hAnsi="Symbol" w:hint="default"/>
      </w:rPr>
    </w:lvl>
    <w:lvl w:ilvl="1" w:tplc="9CB6967C">
      <w:start w:val="1"/>
      <w:numFmt w:val="bullet"/>
      <w:lvlText w:val=""/>
      <w:lvlJc w:val="left"/>
      <w:pPr>
        <w:ind w:left="1440" w:hanging="360"/>
      </w:pPr>
      <w:rPr>
        <w:rFonts w:ascii="Symbol" w:hAnsi="Symbol" w:hint="default"/>
      </w:rPr>
    </w:lvl>
    <w:lvl w:ilvl="2" w:tplc="A442F076">
      <w:start w:val="1"/>
      <w:numFmt w:val="bullet"/>
      <w:lvlText w:val=""/>
      <w:lvlJc w:val="left"/>
      <w:pPr>
        <w:ind w:left="2160" w:hanging="360"/>
      </w:pPr>
      <w:rPr>
        <w:rFonts w:ascii="Wingdings" w:hAnsi="Wingdings" w:hint="default"/>
      </w:rPr>
    </w:lvl>
    <w:lvl w:ilvl="3" w:tplc="700A8E8A">
      <w:start w:val="1"/>
      <w:numFmt w:val="bullet"/>
      <w:lvlText w:val=""/>
      <w:lvlJc w:val="left"/>
      <w:pPr>
        <w:ind w:left="2880" w:hanging="360"/>
      </w:pPr>
      <w:rPr>
        <w:rFonts w:ascii="Symbol" w:hAnsi="Symbol" w:hint="default"/>
      </w:rPr>
    </w:lvl>
    <w:lvl w:ilvl="4" w:tplc="D1E015BC">
      <w:start w:val="1"/>
      <w:numFmt w:val="bullet"/>
      <w:lvlText w:val="o"/>
      <w:lvlJc w:val="left"/>
      <w:pPr>
        <w:ind w:left="3600" w:hanging="360"/>
      </w:pPr>
      <w:rPr>
        <w:rFonts w:ascii="Courier New" w:hAnsi="Courier New" w:hint="default"/>
      </w:rPr>
    </w:lvl>
    <w:lvl w:ilvl="5" w:tplc="1D104148">
      <w:start w:val="1"/>
      <w:numFmt w:val="bullet"/>
      <w:lvlText w:val=""/>
      <w:lvlJc w:val="left"/>
      <w:pPr>
        <w:ind w:left="4320" w:hanging="360"/>
      </w:pPr>
      <w:rPr>
        <w:rFonts w:ascii="Wingdings" w:hAnsi="Wingdings" w:hint="default"/>
      </w:rPr>
    </w:lvl>
    <w:lvl w:ilvl="6" w:tplc="E6841BF6">
      <w:start w:val="1"/>
      <w:numFmt w:val="bullet"/>
      <w:lvlText w:val=""/>
      <w:lvlJc w:val="left"/>
      <w:pPr>
        <w:ind w:left="5040" w:hanging="360"/>
      </w:pPr>
      <w:rPr>
        <w:rFonts w:ascii="Symbol" w:hAnsi="Symbol" w:hint="default"/>
      </w:rPr>
    </w:lvl>
    <w:lvl w:ilvl="7" w:tplc="FCBC831C">
      <w:start w:val="1"/>
      <w:numFmt w:val="bullet"/>
      <w:lvlText w:val="o"/>
      <w:lvlJc w:val="left"/>
      <w:pPr>
        <w:ind w:left="5760" w:hanging="360"/>
      </w:pPr>
      <w:rPr>
        <w:rFonts w:ascii="Courier New" w:hAnsi="Courier New" w:hint="default"/>
      </w:rPr>
    </w:lvl>
    <w:lvl w:ilvl="8" w:tplc="369A2ECE">
      <w:start w:val="1"/>
      <w:numFmt w:val="bullet"/>
      <w:lvlText w:val=""/>
      <w:lvlJc w:val="left"/>
      <w:pPr>
        <w:ind w:left="6480" w:hanging="360"/>
      </w:pPr>
      <w:rPr>
        <w:rFonts w:ascii="Wingdings" w:hAnsi="Wingdings" w:hint="default"/>
      </w:rPr>
    </w:lvl>
  </w:abstractNum>
  <w:abstractNum w:abstractNumId="62" w15:restartNumberingAfterBreak="0">
    <w:nsid w:val="3C5A1809"/>
    <w:multiLevelType w:val="hybridMultilevel"/>
    <w:tmpl w:val="DB62D7CE"/>
    <w:lvl w:ilvl="0" w:tplc="7E8EA746">
      <w:start w:val="2019"/>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B15148"/>
    <w:multiLevelType w:val="hybridMultilevel"/>
    <w:tmpl w:val="29CCD904"/>
    <w:lvl w:ilvl="0" w:tplc="3984C5FE">
      <w:start w:val="1800"/>
      <w:numFmt w:val="bullet"/>
      <w:lvlText w:val="-"/>
      <w:lvlJc w:val="left"/>
      <w:pPr>
        <w:ind w:left="360" w:hanging="360"/>
      </w:pPr>
      <w:rPr>
        <w:rFonts w:ascii="Garamond" w:eastAsiaTheme="minorHAnsi" w:hAnsi="Garamond" w:cs="Calibr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FFE439B"/>
    <w:multiLevelType w:val="hybridMultilevel"/>
    <w:tmpl w:val="8CD44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E31079"/>
    <w:multiLevelType w:val="hybridMultilevel"/>
    <w:tmpl w:val="52D07D0C"/>
    <w:lvl w:ilvl="0" w:tplc="955A3B88">
      <w:start w:val="1"/>
      <w:numFmt w:val="bullet"/>
      <w:lvlText w:val=""/>
      <w:lvlJc w:val="left"/>
      <w:pPr>
        <w:ind w:left="720" w:hanging="360"/>
      </w:pPr>
      <w:rPr>
        <w:rFonts w:ascii="Symbol" w:hAnsi="Symbol" w:hint="default"/>
      </w:rPr>
    </w:lvl>
    <w:lvl w:ilvl="1" w:tplc="52A2A792">
      <w:start w:val="1"/>
      <w:numFmt w:val="bullet"/>
      <w:lvlText w:val="o"/>
      <w:lvlJc w:val="left"/>
      <w:pPr>
        <w:ind w:left="1440" w:hanging="360"/>
      </w:pPr>
      <w:rPr>
        <w:rFonts w:ascii="Courier New" w:hAnsi="Courier New" w:hint="default"/>
      </w:rPr>
    </w:lvl>
    <w:lvl w:ilvl="2" w:tplc="3C329BBC">
      <w:start w:val="1"/>
      <w:numFmt w:val="bullet"/>
      <w:lvlText w:val=""/>
      <w:lvlJc w:val="left"/>
      <w:pPr>
        <w:ind w:left="2160" w:hanging="360"/>
      </w:pPr>
      <w:rPr>
        <w:rFonts w:ascii="Wingdings" w:hAnsi="Wingdings" w:hint="default"/>
      </w:rPr>
    </w:lvl>
    <w:lvl w:ilvl="3" w:tplc="EC785226">
      <w:start w:val="1"/>
      <w:numFmt w:val="bullet"/>
      <w:lvlText w:val=""/>
      <w:lvlJc w:val="left"/>
      <w:pPr>
        <w:ind w:left="2880" w:hanging="360"/>
      </w:pPr>
      <w:rPr>
        <w:rFonts w:ascii="Symbol" w:hAnsi="Symbol" w:hint="default"/>
      </w:rPr>
    </w:lvl>
    <w:lvl w:ilvl="4" w:tplc="F34C60C0">
      <w:start w:val="1"/>
      <w:numFmt w:val="bullet"/>
      <w:lvlText w:val="o"/>
      <w:lvlJc w:val="left"/>
      <w:pPr>
        <w:ind w:left="3600" w:hanging="360"/>
      </w:pPr>
      <w:rPr>
        <w:rFonts w:ascii="Courier New" w:hAnsi="Courier New" w:hint="default"/>
      </w:rPr>
    </w:lvl>
    <w:lvl w:ilvl="5" w:tplc="0DDAAF80">
      <w:start w:val="1"/>
      <w:numFmt w:val="bullet"/>
      <w:lvlText w:val=""/>
      <w:lvlJc w:val="left"/>
      <w:pPr>
        <w:ind w:left="4320" w:hanging="360"/>
      </w:pPr>
      <w:rPr>
        <w:rFonts w:ascii="Wingdings" w:hAnsi="Wingdings" w:hint="default"/>
      </w:rPr>
    </w:lvl>
    <w:lvl w:ilvl="6" w:tplc="325A0822">
      <w:start w:val="1"/>
      <w:numFmt w:val="bullet"/>
      <w:lvlText w:val=""/>
      <w:lvlJc w:val="left"/>
      <w:pPr>
        <w:ind w:left="5040" w:hanging="360"/>
      </w:pPr>
      <w:rPr>
        <w:rFonts w:ascii="Symbol" w:hAnsi="Symbol" w:hint="default"/>
      </w:rPr>
    </w:lvl>
    <w:lvl w:ilvl="7" w:tplc="7BBC77AE">
      <w:start w:val="1"/>
      <w:numFmt w:val="bullet"/>
      <w:lvlText w:val="o"/>
      <w:lvlJc w:val="left"/>
      <w:pPr>
        <w:ind w:left="5760" w:hanging="360"/>
      </w:pPr>
      <w:rPr>
        <w:rFonts w:ascii="Courier New" w:hAnsi="Courier New" w:hint="default"/>
      </w:rPr>
    </w:lvl>
    <w:lvl w:ilvl="8" w:tplc="B8E6C4E0">
      <w:start w:val="1"/>
      <w:numFmt w:val="bullet"/>
      <w:lvlText w:val=""/>
      <w:lvlJc w:val="left"/>
      <w:pPr>
        <w:ind w:left="6480" w:hanging="360"/>
      </w:pPr>
      <w:rPr>
        <w:rFonts w:ascii="Wingdings" w:hAnsi="Wingdings" w:hint="default"/>
      </w:rPr>
    </w:lvl>
  </w:abstractNum>
  <w:abstractNum w:abstractNumId="66" w15:restartNumberingAfterBreak="0">
    <w:nsid w:val="41DF478A"/>
    <w:multiLevelType w:val="hybridMultilevel"/>
    <w:tmpl w:val="FFFFFFFF"/>
    <w:lvl w:ilvl="0" w:tplc="796C9940">
      <w:start w:val="1"/>
      <w:numFmt w:val="decimal"/>
      <w:lvlText w:val="%1."/>
      <w:lvlJc w:val="left"/>
      <w:pPr>
        <w:ind w:left="720" w:hanging="360"/>
      </w:pPr>
    </w:lvl>
    <w:lvl w:ilvl="1" w:tplc="D51E99A0">
      <w:start w:val="1"/>
      <w:numFmt w:val="lowerLetter"/>
      <w:lvlText w:val="%2."/>
      <w:lvlJc w:val="left"/>
      <w:pPr>
        <w:ind w:left="1440" w:hanging="360"/>
      </w:pPr>
    </w:lvl>
    <w:lvl w:ilvl="2" w:tplc="144CE872">
      <w:start w:val="1"/>
      <w:numFmt w:val="lowerRoman"/>
      <w:lvlText w:val="%3."/>
      <w:lvlJc w:val="right"/>
      <w:pPr>
        <w:ind w:left="2160" w:hanging="180"/>
      </w:pPr>
    </w:lvl>
    <w:lvl w:ilvl="3" w:tplc="0C2A2A8C">
      <w:start w:val="1"/>
      <w:numFmt w:val="decimal"/>
      <w:lvlText w:val="%4."/>
      <w:lvlJc w:val="left"/>
      <w:pPr>
        <w:ind w:left="2880" w:hanging="360"/>
      </w:pPr>
    </w:lvl>
    <w:lvl w:ilvl="4" w:tplc="C5E44B30">
      <w:start w:val="1"/>
      <w:numFmt w:val="lowerLetter"/>
      <w:lvlText w:val="%5."/>
      <w:lvlJc w:val="left"/>
      <w:pPr>
        <w:ind w:left="3600" w:hanging="360"/>
      </w:pPr>
    </w:lvl>
    <w:lvl w:ilvl="5" w:tplc="F64A106C">
      <w:start w:val="1"/>
      <w:numFmt w:val="lowerRoman"/>
      <w:lvlText w:val="%6."/>
      <w:lvlJc w:val="right"/>
      <w:pPr>
        <w:ind w:left="4320" w:hanging="180"/>
      </w:pPr>
    </w:lvl>
    <w:lvl w:ilvl="6" w:tplc="81B80B56">
      <w:start w:val="1"/>
      <w:numFmt w:val="decimal"/>
      <w:lvlText w:val="%7."/>
      <w:lvlJc w:val="left"/>
      <w:pPr>
        <w:ind w:left="5040" w:hanging="360"/>
      </w:pPr>
    </w:lvl>
    <w:lvl w:ilvl="7" w:tplc="40AEB85A">
      <w:start w:val="1"/>
      <w:numFmt w:val="lowerLetter"/>
      <w:lvlText w:val="%8."/>
      <w:lvlJc w:val="left"/>
      <w:pPr>
        <w:ind w:left="5760" w:hanging="360"/>
      </w:pPr>
    </w:lvl>
    <w:lvl w:ilvl="8" w:tplc="E9FAE20E">
      <w:start w:val="1"/>
      <w:numFmt w:val="lowerRoman"/>
      <w:lvlText w:val="%9."/>
      <w:lvlJc w:val="right"/>
      <w:pPr>
        <w:ind w:left="6480" w:hanging="180"/>
      </w:pPr>
    </w:lvl>
  </w:abstractNum>
  <w:abstractNum w:abstractNumId="67" w15:restartNumberingAfterBreak="0">
    <w:nsid w:val="423C449B"/>
    <w:multiLevelType w:val="hybridMultilevel"/>
    <w:tmpl w:val="5344B892"/>
    <w:lvl w:ilvl="0" w:tplc="26F29F04">
      <w:start w:val="1"/>
      <w:numFmt w:val="bullet"/>
      <w:lvlText w:val=""/>
      <w:lvlJc w:val="left"/>
      <w:pPr>
        <w:ind w:left="720" w:hanging="360"/>
      </w:pPr>
      <w:rPr>
        <w:rFonts w:ascii="Symbol" w:hAnsi="Symbol" w:hint="default"/>
      </w:rPr>
    </w:lvl>
    <w:lvl w:ilvl="1" w:tplc="D562974C">
      <w:start w:val="1"/>
      <w:numFmt w:val="bullet"/>
      <w:lvlText w:val="o"/>
      <w:lvlJc w:val="left"/>
      <w:pPr>
        <w:ind w:left="1440" w:hanging="360"/>
      </w:pPr>
      <w:rPr>
        <w:rFonts w:ascii="Courier New" w:hAnsi="Courier New" w:hint="default"/>
      </w:rPr>
    </w:lvl>
    <w:lvl w:ilvl="2" w:tplc="DF067D88">
      <w:start w:val="1"/>
      <w:numFmt w:val="bullet"/>
      <w:lvlText w:val=""/>
      <w:lvlJc w:val="left"/>
      <w:pPr>
        <w:ind w:left="2160" w:hanging="360"/>
      </w:pPr>
      <w:rPr>
        <w:rFonts w:ascii="Wingdings" w:hAnsi="Wingdings" w:hint="default"/>
      </w:rPr>
    </w:lvl>
    <w:lvl w:ilvl="3" w:tplc="3240079C">
      <w:start w:val="1"/>
      <w:numFmt w:val="bullet"/>
      <w:lvlText w:val=""/>
      <w:lvlJc w:val="left"/>
      <w:pPr>
        <w:ind w:left="2880" w:hanging="360"/>
      </w:pPr>
      <w:rPr>
        <w:rFonts w:ascii="Symbol" w:hAnsi="Symbol" w:hint="default"/>
      </w:rPr>
    </w:lvl>
    <w:lvl w:ilvl="4" w:tplc="61D2382A">
      <w:start w:val="1"/>
      <w:numFmt w:val="bullet"/>
      <w:lvlText w:val="o"/>
      <w:lvlJc w:val="left"/>
      <w:pPr>
        <w:ind w:left="3600" w:hanging="360"/>
      </w:pPr>
      <w:rPr>
        <w:rFonts w:ascii="Courier New" w:hAnsi="Courier New" w:hint="default"/>
      </w:rPr>
    </w:lvl>
    <w:lvl w:ilvl="5" w:tplc="2068BB2C">
      <w:start w:val="1"/>
      <w:numFmt w:val="bullet"/>
      <w:lvlText w:val=""/>
      <w:lvlJc w:val="left"/>
      <w:pPr>
        <w:ind w:left="4320" w:hanging="360"/>
      </w:pPr>
      <w:rPr>
        <w:rFonts w:ascii="Wingdings" w:hAnsi="Wingdings" w:hint="default"/>
      </w:rPr>
    </w:lvl>
    <w:lvl w:ilvl="6" w:tplc="139A6412">
      <w:start w:val="1"/>
      <w:numFmt w:val="bullet"/>
      <w:lvlText w:val=""/>
      <w:lvlJc w:val="left"/>
      <w:pPr>
        <w:ind w:left="5040" w:hanging="360"/>
      </w:pPr>
      <w:rPr>
        <w:rFonts w:ascii="Symbol" w:hAnsi="Symbol" w:hint="default"/>
      </w:rPr>
    </w:lvl>
    <w:lvl w:ilvl="7" w:tplc="8CA402B8">
      <w:start w:val="1"/>
      <w:numFmt w:val="bullet"/>
      <w:lvlText w:val="o"/>
      <w:lvlJc w:val="left"/>
      <w:pPr>
        <w:ind w:left="5760" w:hanging="360"/>
      </w:pPr>
      <w:rPr>
        <w:rFonts w:ascii="Courier New" w:hAnsi="Courier New" w:hint="default"/>
      </w:rPr>
    </w:lvl>
    <w:lvl w:ilvl="8" w:tplc="9C18B7B8">
      <w:start w:val="1"/>
      <w:numFmt w:val="bullet"/>
      <w:lvlText w:val=""/>
      <w:lvlJc w:val="left"/>
      <w:pPr>
        <w:ind w:left="6480" w:hanging="360"/>
      </w:pPr>
      <w:rPr>
        <w:rFonts w:ascii="Wingdings" w:hAnsi="Wingdings" w:hint="default"/>
      </w:rPr>
    </w:lvl>
  </w:abstractNum>
  <w:abstractNum w:abstractNumId="68" w15:restartNumberingAfterBreak="0">
    <w:nsid w:val="44134313"/>
    <w:multiLevelType w:val="hybridMultilevel"/>
    <w:tmpl w:val="D1E49EB4"/>
    <w:lvl w:ilvl="0" w:tplc="EA28BE3C">
      <w:start w:val="1"/>
      <w:numFmt w:val="bullet"/>
      <w:lvlText w:val=""/>
      <w:lvlJc w:val="left"/>
      <w:pPr>
        <w:ind w:left="720" w:hanging="360"/>
      </w:pPr>
      <w:rPr>
        <w:rFonts w:ascii="Symbol" w:hAnsi="Symbol" w:hint="default"/>
      </w:rPr>
    </w:lvl>
    <w:lvl w:ilvl="1" w:tplc="960A9890">
      <w:start w:val="1"/>
      <w:numFmt w:val="bullet"/>
      <w:lvlText w:val="o"/>
      <w:lvlJc w:val="left"/>
      <w:pPr>
        <w:ind w:left="1440" w:hanging="360"/>
      </w:pPr>
      <w:rPr>
        <w:rFonts w:ascii="Courier New" w:hAnsi="Courier New" w:hint="default"/>
      </w:rPr>
    </w:lvl>
    <w:lvl w:ilvl="2" w:tplc="4BBE329C">
      <w:start w:val="1"/>
      <w:numFmt w:val="bullet"/>
      <w:lvlText w:val=""/>
      <w:lvlJc w:val="left"/>
      <w:pPr>
        <w:ind w:left="2160" w:hanging="360"/>
      </w:pPr>
      <w:rPr>
        <w:rFonts w:ascii="Wingdings" w:hAnsi="Wingdings" w:hint="default"/>
      </w:rPr>
    </w:lvl>
    <w:lvl w:ilvl="3" w:tplc="F11C8150">
      <w:start w:val="1"/>
      <w:numFmt w:val="bullet"/>
      <w:lvlText w:val=""/>
      <w:lvlJc w:val="left"/>
      <w:pPr>
        <w:ind w:left="2880" w:hanging="360"/>
      </w:pPr>
      <w:rPr>
        <w:rFonts w:ascii="Symbol" w:hAnsi="Symbol" w:hint="default"/>
      </w:rPr>
    </w:lvl>
    <w:lvl w:ilvl="4" w:tplc="6E7C196A">
      <w:start w:val="1"/>
      <w:numFmt w:val="bullet"/>
      <w:lvlText w:val="o"/>
      <w:lvlJc w:val="left"/>
      <w:pPr>
        <w:ind w:left="3600" w:hanging="360"/>
      </w:pPr>
      <w:rPr>
        <w:rFonts w:ascii="Courier New" w:hAnsi="Courier New" w:hint="default"/>
      </w:rPr>
    </w:lvl>
    <w:lvl w:ilvl="5" w:tplc="62386EB0">
      <w:start w:val="1"/>
      <w:numFmt w:val="bullet"/>
      <w:lvlText w:val=""/>
      <w:lvlJc w:val="left"/>
      <w:pPr>
        <w:ind w:left="4320" w:hanging="360"/>
      </w:pPr>
      <w:rPr>
        <w:rFonts w:ascii="Wingdings" w:hAnsi="Wingdings" w:hint="default"/>
      </w:rPr>
    </w:lvl>
    <w:lvl w:ilvl="6" w:tplc="E81ADFF4">
      <w:start w:val="1"/>
      <w:numFmt w:val="bullet"/>
      <w:lvlText w:val=""/>
      <w:lvlJc w:val="left"/>
      <w:pPr>
        <w:ind w:left="5040" w:hanging="360"/>
      </w:pPr>
      <w:rPr>
        <w:rFonts w:ascii="Symbol" w:hAnsi="Symbol" w:hint="default"/>
      </w:rPr>
    </w:lvl>
    <w:lvl w:ilvl="7" w:tplc="24AEA5AC">
      <w:start w:val="1"/>
      <w:numFmt w:val="bullet"/>
      <w:lvlText w:val="o"/>
      <w:lvlJc w:val="left"/>
      <w:pPr>
        <w:ind w:left="5760" w:hanging="360"/>
      </w:pPr>
      <w:rPr>
        <w:rFonts w:ascii="Courier New" w:hAnsi="Courier New" w:hint="default"/>
      </w:rPr>
    </w:lvl>
    <w:lvl w:ilvl="8" w:tplc="58FACD74">
      <w:start w:val="1"/>
      <w:numFmt w:val="bullet"/>
      <w:lvlText w:val=""/>
      <w:lvlJc w:val="left"/>
      <w:pPr>
        <w:ind w:left="6480" w:hanging="360"/>
      </w:pPr>
      <w:rPr>
        <w:rFonts w:ascii="Wingdings" w:hAnsi="Wingdings" w:hint="default"/>
      </w:rPr>
    </w:lvl>
  </w:abstractNum>
  <w:abstractNum w:abstractNumId="69" w15:restartNumberingAfterBreak="0">
    <w:nsid w:val="445F3CF1"/>
    <w:multiLevelType w:val="hybridMultilevel"/>
    <w:tmpl w:val="57AE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4F24318"/>
    <w:multiLevelType w:val="hybridMultilevel"/>
    <w:tmpl w:val="6E869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5D3603F"/>
    <w:multiLevelType w:val="hybridMultilevel"/>
    <w:tmpl w:val="59B6FD8C"/>
    <w:lvl w:ilvl="0" w:tplc="9A6A51A2">
      <w:start w:val="2"/>
      <w:numFmt w:val="lowerLetter"/>
      <w:lvlText w:val="%1."/>
      <w:lvlJc w:val="left"/>
      <w:pPr>
        <w:ind w:left="720" w:hanging="360"/>
      </w:pPr>
    </w:lvl>
    <w:lvl w:ilvl="1" w:tplc="02F2361A">
      <w:start w:val="1"/>
      <w:numFmt w:val="lowerLetter"/>
      <w:lvlText w:val="%2."/>
      <w:lvlJc w:val="left"/>
      <w:pPr>
        <w:ind w:left="1440" w:hanging="360"/>
      </w:pPr>
    </w:lvl>
    <w:lvl w:ilvl="2" w:tplc="F1B083A2">
      <w:start w:val="1"/>
      <w:numFmt w:val="lowerRoman"/>
      <w:lvlText w:val="%3."/>
      <w:lvlJc w:val="right"/>
      <w:pPr>
        <w:ind w:left="2160" w:hanging="180"/>
      </w:pPr>
    </w:lvl>
    <w:lvl w:ilvl="3" w:tplc="55BC7C28">
      <w:start w:val="1"/>
      <w:numFmt w:val="decimal"/>
      <w:lvlText w:val="%4."/>
      <w:lvlJc w:val="left"/>
      <w:pPr>
        <w:ind w:left="2880" w:hanging="360"/>
      </w:pPr>
    </w:lvl>
    <w:lvl w:ilvl="4" w:tplc="89EEDDCA">
      <w:start w:val="1"/>
      <w:numFmt w:val="lowerLetter"/>
      <w:lvlText w:val="%5."/>
      <w:lvlJc w:val="left"/>
      <w:pPr>
        <w:ind w:left="3600" w:hanging="360"/>
      </w:pPr>
    </w:lvl>
    <w:lvl w:ilvl="5" w:tplc="28FA4740">
      <w:start w:val="1"/>
      <w:numFmt w:val="lowerRoman"/>
      <w:lvlText w:val="%6."/>
      <w:lvlJc w:val="right"/>
      <w:pPr>
        <w:ind w:left="4320" w:hanging="180"/>
      </w:pPr>
    </w:lvl>
    <w:lvl w:ilvl="6" w:tplc="CFD0158E">
      <w:start w:val="1"/>
      <w:numFmt w:val="decimal"/>
      <w:lvlText w:val="%7."/>
      <w:lvlJc w:val="left"/>
      <w:pPr>
        <w:ind w:left="5040" w:hanging="360"/>
      </w:pPr>
    </w:lvl>
    <w:lvl w:ilvl="7" w:tplc="6B38ACE0">
      <w:start w:val="1"/>
      <w:numFmt w:val="lowerLetter"/>
      <w:lvlText w:val="%8."/>
      <w:lvlJc w:val="left"/>
      <w:pPr>
        <w:ind w:left="5760" w:hanging="360"/>
      </w:pPr>
    </w:lvl>
    <w:lvl w:ilvl="8" w:tplc="B512E954">
      <w:start w:val="1"/>
      <w:numFmt w:val="lowerRoman"/>
      <w:lvlText w:val="%9."/>
      <w:lvlJc w:val="right"/>
      <w:pPr>
        <w:ind w:left="6480" w:hanging="180"/>
      </w:pPr>
    </w:lvl>
  </w:abstractNum>
  <w:abstractNum w:abstractNumId="72" w15:restartNumberingAfterBreak="0">
    <w:nsid w:val="460C7630"/>
    <w:multiLevelType w:val="hybridMultilevel"/>
    <w:tmpl w:val="FFFFFFFF"/>
    <w:lvl w:ilvl="0" w:tplc="D1C4CD66">
      <w:start w:val="1"/>
      <w:numFmt w:val="bullet"/>
      <w:lvlText w:val=""/>
      <w:lvlJc w:val="left"/>
      <w:pPr>
        <w:ind w:left="720" w:hanging="360"/>
      </w:pPr>
      <w:rPr>
        <w:rFonts w:ascii="Symbol" w:hAnsi="Symbol" w:hint="default"/>
      </w:rPr>
    </w:lvl>
    <w:lvl w:ilvl="1" w:tplc="56347702">
      <w:start w:val="1"/>
      <w:numFmt w:val="bullet"/>
      <w:lvlText w:val="o"/>
      <w:lvlJc w:val="left"/>
      <w:pPr>
        <w:ind w:left="1440" w:hanging="360"/>
      </w:pPr>
      <w:rPr>
        <w:rFonts w:ascii="Courier New" w:hAnsi="Courier New" w:hint="default"/>
      </w:rPr>
    </w:lvl>
    <w:lvl w:ilvl="2" w:tplc="06683A9C">
      <w:start w:val="1"/>
      <w:numFmt w:val="bullet"/>
      <w:lvlText w:val=""/>
      <w:lvlJc w:val="left"/>
      <w:pPr>
        <w:ind w:left="2160" w:hanging="360"/>
      </w:pPr>
      <w:rPr>
        <w:rFonts w:ascii="Wingdings" w:hAnsi="Wingdings" w:hint="default"/>
      </w:rPr>
    </w:lvl>
    <w:lvl w:ilvl="3" w:tplc="D1D47396">
      <w:start w:val="1"/>
      <w:numFmt w:val="bullet"/>
      <w:lvlText w:val=""/>
      <w:lvlJc w:val="left"/>
      <w:pPr>
        <w:ind w:left="2880" w:hanging="360"/>
      </w:pPr>
      <w:rPr>
        <w:rFonts w:ascii="Symbol" w:hAnsi="Symbol" w:hint="default"/>
      </w:rPr>
    </w:lvl>
    <w:lvl w:ilvl="4" w:tplc="CAD0420A">
      <w:start w:val="1"/>
      <w:numFmt w:val="bullet"/>
      <w:lvlText w:val="o"/>
      <w:lvlJc w:val="left"/>
      <w:pPr>
        <w:ind w:left="3600" w:hanging="360"/>
      </w:pPr>
      <w:rPr>
        <w:rFonts w:ascii="Courier New" w:hAnsi="Courier New" w:hint="default"/>
      </w:rPr>
    </w:lvl>
    <w:lvl w:ilvl="5" w:tplc="F9FA8AD2">
      <w:start w:val="1"/>
      <w:numFmt w:val="bullet"/>
      <w:lvlText w:val=""/>
      <w:lvlJc w:val="left"/>
      <w:pPr>
        <w:ind w:left="4320" w:hanging="360"/>
      </w:pPr>
      <w:rPr>
        <w:rFonts w:ascii="Wingdings" w:hAnsi="Wingdings" w:hint="default"/>
      </w:rPr>
    </w:lvl>
    <w:lvl w:ilvl="6" w:tplc="3974A82A">
      <w:start w:val="1"/>
      <w:numFmt w:val="bullet"/>
      <w:lvlText w:val=""/>
      <w:lvlJc w:val="left"/>
      <w:pPr>
        <w:ind w:left="5040" w:hanging="360"/>
      </w:pPr>
      <w:rPr>
        <w:rFonts w:ascii="Symbol" w:hAnsi="Symbol" w:hint="default"/>
      </w:rPr>
    </w:lvl>
    <w:lvl w:ilvl="7" w:tplc="F36896BC">
      <w:start w:val="1"/>
      <w:numFmt w:val="bullet"/>
      <w:lvlText w:val="o"/>
      <w:lvlJc w:val="left"/>
      <w:pPr>
        <w:ind w:left="5760" w:hanging="360"/>
      </w:pPr>
      <w:rPr>
        <w:rFonts w:ascii="Courier New" w:hAnsi="Courier New" w:hint="default"/>
      </w:rPr>
    </w:lvl>
    <w:lvl w:ilvl="8" w:tplc="18E22026">
      <w:start w:val="1"/>
      <w:numFmt w:val="bullet"/>
      <w:lvlText w:val=""/>
      <w:lvlJc w:val="left"/>
      <w:pPr>
        <w:ind w:left="6480" w:hanging="360"/>
      </w:pPr>
      <w:rPr>
        <w:rFonts w:ascii="Wingdings" w:hAnsi="Wingdings" w:hint="default"/>
      </w:rPr>
    </w:lvl>
  </w:abstractNum>
  <w:abstractNum w:abstractNumId="73" w15:restartNumberingAfterBreak="0">
    <w:nsid w:val="46A55C08"/>
    <w:multiLevelType w:val="hybridMultilevel"/>
    <w:tmpl w:val="34505F74"/>
    <w:lvl w:ilvl="0" w:tplc="C5C2217A">
      <w:start w:val="1"/>
      <w:numFmt w:val="decimal"/>
      <w:lvlText w:val="%1."/>
      <w:lvlJc w:val="left"/>
      <w:pPr>
        <w:ind w:left="720" w:hanging="360"/>
      </w:pPr>
    </w:lvl>
    <w:lvl w:ilvl="1" w:tplc="99CA74F4">
      <w:start w:val="1"/>
      <w:numFmt w:val="upperLetter"/>
      <w:lvlText w:val="%1."/>
      <w:lvlJc w:val="left"/>
      <w:pPr>
        <w:ind w:left="1440" w:hanging="360"/>
      </w:pPr>
    </w:lvl>
    <w:lvl w:ilvl="2" w:tplc="26E20582">
      <w:start w:val="1"/>
      <w:numFmt w:val="lowerRoman"/>
      <w:lvlText w:val="%3."/>
      <w:lvlJc w:val="right"/>
      <w:pPr>
        <w:ind w:left="2160" w:hanging="180"/>
      </w:pPr>
    </w:lvl>
    <w:lvl w:ilvl="3" w:tplc="941A147E">
      <w:start w:val="1"/>
      <w:numFmt w:val="decimal"/>
      <w:lvlText w:val="%4."/>
      <w:lvlJc w:val="left"/>
      <w:pPr>
        <w:ind w:left="2880" w:hanging="360"/>
      </w:pPr>
    </w:lvl>
    <w:lvl w:ilvl="4" w:tplc="8E4EEF5A">
      <w:start w:val="1"/>
      <w:numFmt w:val="lowerLetter"/>
      <w:lvlText w:val="%5."/>
      <w:lvlJc w:val="left"/>
      <w:pPr>
        <w:ind w:left="3600" w:hanging="360"/>
      </w:pPr>
    </w:lvl>
    <w:lvl w:ilvl="5" w:tplc="D0D29576">
      <w:start w:val="1"/>
      <w:numFmt w:val="lowerRoman"/>
      <w:lvlText w:val="%6."/>
      <w:lvlJc w:val="right"/>
      <w:pPr>
        <w:ind w:left="4320" w:hanging="180"/>
      </w:pPr>
    </w:lvl>
    <w:lvl w:ilvl="6" w:tplc="4CA81686">
      <w:start w:val="1"/>
      <w:numFmt w:val="decimal"/>
      <w:lvlText w:val="%7."/>
      <w:lvlJc w:val="left"/>
      <w:pPr>
        <w:ind w:left="5040" w:hanging="360"/>
      </w:pPr>
    </w:lvl>
    <w:lvl w:ilvl="7" w:tplc="67EE7462">
      <w:start w:val="1"/>
      <w:numFmt w:val="lowerLetter"/>
      <w:lvlText w:val="%8."/>
      <w:lvlJc w:val="left"/>
      <w:pPr>
        <w:ind w:left="5760" w:hanging="360"/>
      </w:pPr>
    </w:lvl>
    <w:lvl w:ilvl="8" w:tplc="586ED1AA">
      <w:start w:val="1"/>
      <w:numFmt w:val="lowerRoman"/>
      <w:lvlText w:val="%9."/>
      <w:lvlJc w:val="right"/>
      <w:pPr>
        <w:ind w:left="6480" w:hanging="180"/>
      </w:pPr>
    </w:lvl>
  </w:abstractNum>
  <w:abstractNum w:abstractNumId="74" w15:restartNumberingAfterBreak="0">
    <w:nsid w:val="47402646"/>
    <w:multiLevelType w:val="hybridMultilevel"/>
    <w:tmpl w:val="00484C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47E55EB3"/>
    <w:multiLevelType w:val="hybridMultilevel"/>
    <w:tmpl w:val="47EEE2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8DD0D6C"/>
    <w:multiLevelType w:val="hybridMultilevel"/>
    <w:tmpl w:val="52E6B5FE"/>
    <w:lvl w:ilvl="0" w:tplc="6FCEA514">
      <w:start w:val="1"/>
      <w:numFmt w:val="bullet"/>
      <w:lvlText w:val=""/>
      <w:lvlJc w:val="left"/>
      <w:pPr>
        <w:ind w:left="720" w:hanging="360"/>
      </w:pPr>
      <w:rPr>
        <w:rFonts w:ascii="Symbol" w:hAnsi="Symbol" w:hint="default"/>
      </w:rPr>
    </w:lvl>
    <w:lvl w:ilvl="1" w:tplc="5E9AA664">
      <w:start w:val="1"/>
      <w:numFmt w:val="bullet"/>
      <w:lvlText w:val="o"/>
      <w:lvlJc w:val="left"/>
      <w:pPr>
        <w:ind w:left="1440" w:hanging="360"/>
      </w:pPr>
      <w:rPr>
        <w:rFonts w:ascii="Courier New" w:hAnsi="Courier New" w:hint="default"/>
      </w:rPr>
    </w:lvl>
    <w:lvl w:ilvl="2" w:tplc="E43C5BD8">
      <w:start w:val="1"/>
      <w:numFmt w:val="bullet"/>
      <w:lvlText w:val=""/>
      <w:lvlJc w:val="left"/>
      <w:pPr>
        <w:ind w:left="2160" w:hanging="360"/>
      </w:pPr>
      <w:rPr>
        <w:rFonts w:ascii="Wingdings" w:hAnsi="Wingdings" w:hint="default"/>
      </w:rPr>
    </w:lvl>
    <w:lvl w:ilvl="3" w:tplc="CAA24B7A">
      <w:start w:val="1"/>
      <w:numFmt w:val="bullet"/>
      <w:lvlText w:val=""/>
      <w:lvlJc w:val="left"/>
      <w:pPr>
        <w:ind w:left="2880" w:hanging="360"/>
      </w:pPr>
      <w:rPr>
        <w:rFonts w:ascii="Symbol" w:hAnsi="Symbol" w:hint="default"/>
      </w:rPr>
    </w:lvl>
    <w:lvl w:ilvl="4" w:tplc="19180090">
      <w:start w:val="1"/>
      <w:numFmt w:val="bullet"/>
      <w:lvlText w:val="o"/>
      <w:lvlJc w:val="left"/>
      <w:pPr>
        <w:ind w:left="3600" w:hanging="360"/>
      </w:pPr>
      <w:rPr>
        <w:rFonts w:ascii="Courier New" w:hAnsi="Courier New" w:hint="default"/>
      </w:rPr>
    </w:lvl>
    <w:lvl w:ilvl="5" w:tplc="0E7ABC4E">
      <w:start w:val="1"/>
      <w:numFmt w:val="bullet"/>
      <w:lvlText w:val=""/>
      <w:lvlJc w:val="left"/>
      <w:pPr>
        <w:ind w:left="4320" w:hanging="360"/>
      </w:pPr>
      <w:rPr>
        <w:rFonts w:ascii="Wingdings" w:hAnsi="Wingdings" w:hint="default"/>
      </w:rPr>
    </w:lvl>
    <w:lvl w:ilvl="6" w:tplc="99920D68">
      <w:start w:val="1"/>
      <w:numFmt w:val="bullet"/>
      <w:lvlText w:val=""/>
      <w:lvlJc w:val="left"/>
      <w:pPr>
        <w:ind w:left="5040" w:hanging="360"/>
      </w:pPr>
      <w:rPr>
        <w:rFonts w:ascii="Symbol" w:hAnsi="Symbol" w:hint="default"/>
      </w:rPr>
    </w:lvl>
    <w:lvl w:ilvl="7" w:tplc="A77CEE6A">
      <w:start w:val="1"/>
      <w:numFmt w:val="bullet"/>
      <w:lvlText w:val="o"/>
      <w:lvlJc w:val="left"/>
      <w:pPr>
        <w:ind w:left="5760" w:hanging="360"/>
      </w:pPr>
      <w:rPr>
        <w:rFonts w:ascii="Courier New" w:hAnsi="Courier New" w:hint="default"/>
      </w:rPr>
    </w:lvl>
    <w:lvl w:ilvl="8" w:tplc="D9564192">
      <w:start w:val="1"/>
      <w:numFmt w:val="bullet"/>
      <w:lvlText w:val=""/>
      <w:lvlJc w:val="left"/>
      <w:pPr>
        <w:ind w:left="6480" w:hanging="360"/>
      </w:pPr>
      <w:rPr>
        <w:rFonts w:ascii="Wingdings" w:hAnsi="Wingdings" w:hint="default"/>
      </w:rPr>
    </w:lvl>
  </w:abstractNum>
  <w:abstractNum w:abstractNumId="77" w15:restartNumberingAfterBreak="0">
    <w:nsid w:val="4A2A7973"/>
    <w:multiLevelType w:val="hybridMultilevel"/>
    <w:tmpl w:val="195EA81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AAA1722"/>
    <w:multiLevelType w:val="hybridMultilevel"/>
    <w:tmpl w:val="E990C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4B3455AB"/>
    <w:multiLevelType w:val="hybridMultilevel"/>
    <w:tmpl w:val="B0A8B9FC"/>
    <w:lvl w:ilvl="0" w:tplc="82BE4876">
      <w:start w:val="1"/>
      <w:numFmt w:val="bullet"/>
      <w:lvlText w:val=""/>
      <w:lvlJc w:val="left"/>
      <w:pPr>
        <w:ind w:left="720" w:hanging="360"/>
      </w:pPr>
      <w:rPr>
        <w:rFonts w:ascii="Symbol" w:hAnsi="Symbol" w:hint="default"/>
      </w:rPr>
    </w:lvl>
    <w:lvl w:ilvl="1" w:tplc="44F03088">
      <w:start w:val="1"/>
      <w:numFmt w:val="bullet"/>
      <w:lvlText w:val="o"/>
      <w:lvlJc w:val="left"/>
      <w:pPr>
        <w:ind w:left="1440" w:hanging="360"/>
      </w:pPr>
      <w:rPr>
        <w:rFonts w:ascii="Courier New" w:hAnsi="Courier New" w:hint="default"/>
      </w:rPr>
    </w:lvl>
    <w:lvl w:ilvl="2" w:tplc="281898BC">
      <w:start w:val="1"/>
      <w:numFmt w:val="bullet"/>
      <w:lvlText w:val=""/>
      <w:lvlJc w:val="left"/>
      <w:pPr>
        <w:ind w:left="2160" w:hanging="360"/>
      </w:pPr>
      <w:rPr>
        <w:rFonts w:ascii="Wingdings" w:hAnsi="Wingdings" w:hint="default"/>
      </w:rPr>
    </w:lvl>
    <w:lvl w:ilvl="3" w:tplc="0428CFDA">
      <w:start w:val="1"/>
      <w:numFmt w:val="bullet"/>
      <w:lvlText w:val=""/>
      <w:lvlJc w:val="left"/>
      <w:pPr>
        <w:ind w:left="2880" w:hanging="360"/>
      </w:pPr>
      <w:rPr>
        <w:rFonts w:ascii="Symbol" w:hAnsi="Symbol" w:hint="default"/>
      </w:rPr>
    </w:lvl>
    <w:lvl w:ilvl="4" w:tplc="6562C04C">
      <w:start w:val="1"/>
      <w:numFmt w:val="bullet"/>
      <w:lvlText w:val="o"/>
      <w:lvlJc w:val="left"/>
      <w:pPr>
        <w:ind w:left="3600" w:hanging="360"/>
      </w:pPr>
      <w:rPr>
        <w:rFonts w:ascii="Courier New" w:hAnsi="Courier New" w:hint="default"/>
      </w:rPr>
    </w:lvl>
    <w:lvl w:ilvl="5" w:tplc="CF964E00">
      <w:start w:val="1"/>
      <w:numFmt w:val="bullet"/>
      <w:lvlText w:val=""/>
      <w:lvlJc w:val="left"/>
      <w:pPr>
        <w:ind w:left="4320" w:hanging="360"/>
      </w:pPr>
      <w:rPr>
        <w:rFonts w:ascii="Wingdings" w:hAnsi="Wingdings" w:hint="default"/>
      </w:rPr>
    </w:lvl>
    <w:lvl w:ilvl="6" w:tplc="E4760162">
      <w:start w:val="1"/>
      <w:numFmt w:val="bullet"/>
      <w:lvlText w:val=""/>
      <w:lvlJc w:val="left"/>
      <w:pPr>
        <w:ind w:left="5040" w:hanging="360"/>
      </w:pPr>
      <w:rPr>
        <w:rFonts w:ascii="Symbol" w:hAnsi="Symbol" w:hint="default"/>
      </w:rPr>
    </w:lvl>
    <w:lvl w:ilvl="7" w:tplc="67489E44">
      <w:start w:val="1"/>
      <w:numFmt w:val="bullet"/>
      <w:lvlText w:val="o"/>
      <w:lvlJc w:val="left"/>
      <w:pPr>
        <w:ind w:left="5760" w:hanging="360"/>
      </w:pPr>
      <w:rPr>
        <w:rFonts w:ascii="Courier New" w:hAnsi="Courier New" w:hint="default"/>
      </w:rPr>
    </w:lvl>
    <w:lvl w:ilvl="8" w:tplc="34C60CA6">
      <w:start w:val="1"/>
      <w:numFmt w:val="bullet"/>
      <w:lvlText w:val=""/>
      <w:lvlJc w:val="left"/>
      <w:pPr>
        <w:ind w:left="6480" w:hanging="360"/>
      </w:pPr>
      <w:rPr>
        <w:rFonts w:ascii="Wingdings" w:hAnsi="Wingdings" w:hint="default"/>
      </w:rPr>
    </w:lvl>
  </w:abstractNum>
  <w:abstractNum w:abstractNumId="80" w15:restartNumberingAfterBreak="0">
    <w:nsid w:val="4BB775D2"/>
    <w:multiLevelType w:val="hybridMultilevel"/>
    <w:tmpl w:val="7F4E6B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1" w15:restartNumberingAfterBreak="0">
    <w:nsid w:val="4BBC2AF4"/>
    <w:multiLevelType w:val="hybridMultilevel"/>
    <w:tmpl w:val="6F407FD2"/>
    <w:lvl w:ilvl="0" w:tplc="5D167A82">
      <w:start w:val="86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4BDF7BAE"/>
    <w:multiLevelType w:val="hybridMultilevel"/>
    <w:tmpl w:val="FFFFFFFF"/>
    <w:lvl w:ilvl="0" w:tplc="FFFFFFFF">
      <w:start w:val="1"/>
      <w:numFmt w:val="bullet"/>
      <w:lvlText w:val=""/>
      <w:lvlJc w:val="left"/>
      <w:pPr>
        <w:ind w:left="720" w:hanging="360"/>
      </w:pPr>
      <w:rPr>
        <w:rFonts w:ascii="Symbol" w:hAnsi="Symbol" w:hint="default"/>
      </w:rPr>
    </w:lvl>
    <w:lvl w:ilvl="1" w:tplc="E09C402C">
      <w:start w:val="1"/>
      <w:numFmt w:val="bullet"/>
      <w:lvlText w:val="o"/>
      <w:lvlJc w:val="left"/>
      <w:pPr>
        <w:ind w:left="1440" w:hanging="360"/>
      </w:pPr>
      <w:rPr>
        <w:rFonts w:ascii="Courier New" w:hAnsi="Courier New" w:hint="default"/>
      </w:rPr>
    </w:lvl>
    <w:lvl w:ilvl="2" w:tplc="3416A21A">
      <w:start w:val="1"/>
      <w:numFmt w:val="bullet"/>
      <w:lvlText w:val=""/>
      <w:lvlJc w:val="left"/>
      <w:pPr>
        <w:ind w:left="2160" w:hanging="360"/>
      </w:pPr>
      <w:rPr>
        <w:rFonts w:ascii="Wingdings" w:hAnsi="Wingdings" w:hint="default"/>
      </w:rPr>
    </w:lvl>
    <w:lvl w:ilvl="3" w:tplc="571AFD5E">
      <w:start w:val="1"/>
      <w:numFmt w:val="bullet"/>
      <w:lvlText w:val=""/>
      <w:lvlJc w:val="left"/>
      <w:pPr>
        <w:ind w:left="2880" w:hanging="360"/>
      </w:pPr>
      <w:rPr>
        <w:rFonts w:ascii="Symbol" w:hAnsi="Symbol" w:hint="default"/>
      </w:rPr>
    </w:lvl>
    <w:lvl w:ilvl="4" w:tplc="A98E53C2">
      <w:start w:val="1"/>
      <w:numFmt w:val="bullet"/>
      <w:lvlText w:val="o"/>
      <w:lvlJc w:val="left"/>
      <w:pPr>
        <w:ind w:left="3600" w:hanging="360"/>
      </w:pPr>
      <w:rPr>
        <w:rFonts w:ascii="Courier New" w:hAnsi="Courier New" w:hint="default"/>
      </w:rPr>
    </w:lvl>
    <w:lvl w:ilvl="5" w:tplc="B6B6E1BE">
      <w:start w:val="1"/>
      <w:numFmt w:val="bullet"/>
      <w:lvlText w:val=""/>
      <w:lvlJc w:val="left"/>
      <w:pPr>
        <w:ind w:left="4320" w:hanging="360"/>
      </w:pPr>
      <w:rPr>
        <w:rFonts w:ascii="Wingdings" w:hAnsi="Wingdings" w:hint="default"/>
      </w:rPr>
    </w:lvl>
    <w:lvl w:ilvl="6" w:tplc="EDE289C6">
      <w:start w:val="1"/>
      <w:numFmt w:val="bullet"/>
      <w:lvlText w:val=""/>
      <w:lvlJc w:val="left"/>
      <w:pPr>
        <w:ind w:left="5040" w:hanging="360"/>
      </w:pPr>
      <w:rPr>
        <w:rFonts w:ascii="Symbol" w:hAnsi="Symbol" w:hint="default"/>
      </w:rPr>
    </w:lvl>
    <w:lvl w:ilvl="7" w:tplc="FB64F2F2">
      <w:start w:val="1"/>
      <w:numFmt w:val="bullet"/>
      <w:lvlText w:val="o"/>
      <w:lvlJc w:val="left"/>
      <w:pPr>
        <w:ind w:left="5760" w:hanging="360"/>
      </w:pPr>
      <w:rPr>
        <w:rFonts w:ascii="Courier New" w:hAnsi="Courier New" w:hint="default"/>
      </w:rPr>
    </w:lvl>
    <w:lvl w:ilvl="8" w:tplc="B3F2D1AE">
      <w:start w:val="1"/>
      <w:numFmt w:val="bullet"/>
      <w:lvlText w:val=""/>
      <w:lvlJc w:val="left"/>
      <w:pPr>
        <w:ind w:left="6480" w:hanging="360"/>
      </w:pPr>
      <w:rPr>
        <w:rFonts w:ascii="Wingdings" w:hAnsi="Wingdings" w:hint="default"/>
      </w:rPr>
    </w:lvl>
  </w:abstractNum>
  <w:abstractNum w:abstractNumId="83" w15:restartNumberingAfterBreak="0">
    <w:nsid w:val="4E8E722D"/>
    <w:multiLevelType w:val="hybridMultilevel"/>
    <w:tmpl w:val="FFFFFFFF"/>
    <w:lvl w:ilvl="0" w:tplc="FAE6033A">
      <w:start w:val="1"/>
      <w:numFmt w:val="bullet"/>
      <w:lvlText w:val=""/>
      <w:lvlJc w:val="left"/>
      <w:pPr>
        <w:ind w:left="720" w:hanging="360"/>
      </w:pPr>
      <w:rPr>
        <w:rFonts w:ascii="Symbol" w:hAnsi="Symbol" w:hint="default"/>
      </w:rPr>
    </w:lvl>
    <w:lvl w:ilvl="1" w:tplc="1BDC335A">
      <w:start w:val="1"/>
      <w:numFmt w:val="bullet"/>
      <w:lvlText w:val="o"/>
      <w:lvlJc w:val="left"/>
      <w:pPr>
        <w:ind w:left="1440" w:hanging="360"/>
      </w:pPr>
      <w:rPr>
        <w:rFonts w:ascii="Courier New" w:hAnsi="Courier New" w:hint="default"/>
      </w:rPr>
    </w:lvl>
    <w:lvl w:ilvl="2" w:tplc="554CBB5A">
      <w:start w:val="1"/>
      <w:numFmt w:val="bullet"/>
      <w:lvlText w:val=""/>
      <w:lvlJc w:val="left"/>
      <w:pPr>
        <w:ind w:left="2160" w:hanging="360"/>
      </w:pPr>
      <w:rPr>
        <w:rFonts w:ascii="Wingdings" w:hAnsi="Wingdings" w:hint="default"/>
      </w:rPr>
    </w:lvl>
    <w:lvl w:ilvl="3" w:tplc="1264D9C0">
      <w:start w:val="1"/>
      <w:numFmt w:val="bullet"/>
      <w:lvlText w:val=""/>
      <w:lvlJc w:val="left"/>
      <w:pPr>
        <w:ind w:left="2880" w:hanging="360"/>
      </w:pPr>
      <w:rPr>
        <w:rFonts w:ascii="Symbol" w:hAnsi="Symbol" w:hint="default"/>
      </w:rPr>
    </w:lvl>
    <w:lvl w:ilvl="4" w:tplc="1B60738E">
      <w:start w:val="1"/>
      <w:numFmt w:val="bullet"/>
      <w:lvlText w:val="o"/>
      <w:lvlJc w:val="left"/>
      <w:pPr>
        <w:ind w:left="3600" w:hanging="360"/>
      </w:pPr>
      <w:rPr>
        <w:rFonts w:ascii="Courier New" w:hAnsi="Courier New" w:hint="default"/>
      </w:rPr>
    </w:lvl>
    <w:lvl w:ilvl="5" w:tplc="97CABB9E">
      <w:start w:val="1"/>
      <w:numFmt w:val="bullet"/>
      <w:lvlText w:val=""/>
      <w:lvlJc w:val="left"/>
      <w:pPr>
        <w:ind w:left="4320" w:hanging="360"/>
      </w:pPr>
      <w:rPr>
        <w:rFonts w:ascii="Wingdings" w:hAnsi="Wingdings" w:hint="default"/>
      </w:rPr>
    </w:lvl>
    <w:lvl w:ilvl="6" w:tplc="2318D5A2">
      <w:start w:val="1"/>
      <w:numFmt w:val="bullet"/>
      <w:lvlText w:val=""/>
      <w:lvlJc w:val="left"/>
      <w:pPr>
        <w:ind w:left="5040" w:hanging="360"/>
      </w:pPr>
      <w:rPr>
        <w:rFonts w:ascii="Symbol" w:hAnsi="Symbol" w:hint="default"/>
      </w:rPr>
    </w:lvl>
    <w:lvl w:ilvl="7" w:tplc="4394E5B6">
      <w:start w:val="1"/>
      <w:numFmt w:val="bullet"/>
      <w:lvlText w:val="o"/>
      <w:lvlJc w:val="left"/>
      <w:pPr>
        <w:ind w:left="5760" w:hanging="360"/>
      </w:pPr>
      <w:rPr>
        <w:rFonts w:ascii="Courier New" w:hAnsi="Courier New" w:hint="default"/>
      </w:rPr>
    </w:lvl>
    <w:lvl w:ilvl="8" w:tplc="22662EF6">
      <w:start w:val="1"/>
      <w:numFmt w:val="bullet"/>
      <w:lvlText w:val=""/>
      <w:lvlJc w:val="left"/>
      <w:pPr>
        <w:ind w:left="6480" w:hanging="360"/>
      </w:pPr>
      <w:rPr>
        <w:rFonts w:ascii="Wingdings" w:hAnsi="Wingdings" w:hint="default"/>
      </w:rPr>
    </w:lvl>
  </w:abstractNum>
  <w:abstractNum w:abstractNumId="84" w15:restartNumberingAfterBreak="0">
    <w:nsid w:val="4EA02255"/>
    <w:multiLevelType w:val="hybridMultilevel"/>
    <w:tmpl w:val="FFFFFFFF"/>
    <w:lvl w:ilvl="0" w:tplc="ADAAC436">
      <w:start w:val="1"/>
      <w:numFmt w:val="bullet"/>
      <w:lvlText w:val=""/>
      <w:lvlJc w:val="left"/>
      <w:pPr>
        <w:ind w:left="720" w:hanging="360"/>
      </w:pPr>
      <w:rPr>
        <w:rFonts w:ascii="Symbol" w:hAnsi="Symbol" w:hint="default"/>
      </w:rPr>
    </w:lvl>
    <w:lvl w:ilvl="1" w:tplc="BF140938">
      <w:start w:val="1"/>
      <w:numFmt w:val="bullet"/>
      <w:lvlText w:val="o"/>
      <w:lvlJc w:val="left"/>
      <w:pPr>
        <w:ind w:left="1440" w:hanging="360"/>
      </w:pPr>
      <w:rPr>
        <w:rFonts w:ascii="Courier New" w:hAnsi="Courier New" w:hint="default"/>
      </w:rPr>
    </w:lvl>
    <w:lvl w:ilvl="2" w:tplc="21308B66">
      <w:start w:val="1"/>
      <w:numFmt w:val="bullet"/>
      <w:lvlText w:val=""/>
      <w:lvlJc w:val="left"/>
      <w:pPr>
        <w:ind w:left="2160" w:hanging="360"/>
      </w:pPr>
      <w:rPr>
        <w:rFonts w:ascii="Wingdings" w:hAnsi="Wingdings" w:hint="default"/>
      </w:rPr>
    </w:lvl>
    <w:lvl w:ilvl="3" w:tplc="49F4933E">
      <w:start w:val="1"/>
      <w:numFmt w:val="bullet"/>
      <w:lvlText w:val=""/>
      <w:lvlJc w:val="left"/>
      <w:pPr>
        <w:ind w:left="2880" w:hanging="360"/>
      </w:pPr>
      <w:rPr>
        <w:rFonts w:ascii="Symbol" w:hAnsi="Symbol" w:hint="default"/>
      </w:rPr>
    </w:lvl>
    <w:lvl w:ilvl="4" w:tplc="1952E642">
      <w:start w:val="1"/>
      <w:numFmt w:val="bullet"/>
      <w:lvlText w:val="o"/>
      <w:lvlJc w:val="left"/>
      <w:pPr>
        <w:ind w:left="3600" w:hanging="360"/>
      </w:pPr>
      <w:rPr>
        <w:rFonts w:ascii="Courier New" w:hAnsi="Courier New" w:hint="default"/>
      </w:rPr>
    </w:lvl>
    <w:lvl w:ilvl="5" w:tplc="2C80AEAC">
      <w:start w:val="1"/>
      <w:numFmt w:val="bullet"/>
      <w:lvlText w:val=""/>
      <w:lvlJc w:val="left"/>
      <w:pPr>
        <w:ind w:left="4320" w:hanging="360"/>
      </w:pPr>
      <w:rPr>
        <w:rFonts w:ascii="Wingdings" w:hAnsi="Wingdings" w:hint="default"/>
      </w:rPr>
    </w:lvl>
    <w:lvl w:ilvl="6" w:tplc="7E3EA990">
      <w:start w:val="1"/>
      <w:numFmt w:val="bullet"/>
      <w:lvlText w:val=""/>
      <w:lvlJc w:val="left"/>
      <w:pPr>
        <w:ind w:left="5040" w:hanging="360"/>
      </w:pPr>
      <w:rPr>
        <w:rFonts w:ascii="Symbol" w:hAnsi="Symbol" w:hint="default"/>
      </w:rPr>
    </w:lvl>
    <w:lvl w:ilvl="7" w:tplc="66EABD68">
      <w:start w:val="1"/>
      <w:numFmt w:val="bullet"/>
      <w:lvlText w:val="o"/>
      <w:lvlJc w:val="left"/>
      <w:pPr>
        <w:ind w:left="5760" w:hanging="360"/>
      </w:pPr>
      <w:rPr>
        <w:rFonts w:ascii="Courier New" w:hAnsi="Courier New" w:hint="default"/>
      </w:rPr>
    </w:lvl>
    <w:lvl w:ilvl="8" w:tplc="E1E01434">
      <w:start w:val="1"/>
      <w:numFmt w:val="bullet"/>
      <w:lvlText w:val=""/>
      <w:lvlJc w:val="left"/>
      <w:pPr>
        <w:ind w:left="6480" w:hanging="360"/>
      </w:pPr>
      <w:rPr>
        <w:rFonts w:ascii="Wingdings" w:hAnsi="Wingdings" w:hint="default"/>
      </w:rPr>
    </w:lvl>
  </w:abstractNum>
  <w:abstractNum w:abstractNumId="85" w15:restartNumberingAfterBreak="0">
    <w:nsid w:val="502E396F"/>
    <w:multiLevelType w:val="hybridMultilevel"/>
    <w:tmpl w:val="2D72B2AA"/>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50BD3AB7"/>
    <w:multiLevelType w:val="hybridMultilevel"/>
    <w:tmpl w:val="7C10FC6E"/>
    <w:lvl w:ilvl="0" w:tplc="BB9623AE">
      <w:start w:val="1"/>
      <w:numFmt w:val="decimal"/>
      <w:lvlText w:val="%1."/>
      <w:lvlJc w:val="left"/>
      <w:pPr>
        <w:ind w:left="720" w:hanging="360"/>
      </w:pPr>
    </w:lvl>
    <w:lvl w:ilvl="1" w:tplc="22D00350">
      <w:start w:val="1"/>
      <w:numFmt w:val="lowerLetter"/>
      <w:lvlText w:val="%2."/>
      <w:lvlJc w:val="left"/>
      <w:pPr>
        <w:ind w:left="1440" w:hanging="360"/>
      </w:pPr>
    </w:lvl>
    <w:lvl w:ilvl="2" w:tplc="5432613E">
      <w:start w:val="1"/>
      <w:numFmt w:val="lowerRoman"/>
      <w:lvlText w:val="%3."/>
      <w:lvlJc w:val="right"/>
      <w:pPr>
        <w:ind w:left="2160" w:hanging="180"/>
      </w:pPr>
    </w:lvl>
    <w:lvl w:ilvl="3" w:tplc="DB641918">
      <w:start w:val="1"/>
      <w:numFmt w:val="decimal"/>
      <w:lvlText w:val="%4."/>
      <w:lvlJc w:val="left"/>
      <w:pPr>
        <w:ind w:left="2880" w:hanging="360"/>
      </w:pPr>
    </w:lvl>
    <w:lvl w:ilvl="4" w:tplc="0CF42AF4">
      <w:start w:val="1"/>
      <w:numFmt w:val="lowerLetter"/>
      <w:lvlText w:val="%5."/>
      <w:lvlJc w:val="left"/>
      <w:pPr>
        <w:ind w:left="3600" w:hanging="360"/>
      </w:pPr>
    </w:lvl>
    <w:lvl w:ilvl="5" w:tplc="33EA074E">
      <w:start w:val="1"/>
      <w:numFmt w:val="lowerRoman"/>
      <w:lvlText w:val="%6."/>
      <w:lvlJc w:val="right"/>
      <w:pPr>
        <w:ind w:left="4320" w:hanging="180"/>
      </w:pPr>
    </w:lvl>
    <w:lvl w:ilvl="6" w:tplc="A922114A">
      <w:start w:val="1"/>
      <w:numFmt w:val="decimal"/>
      <w:lvlText w:val="%7."/>
      <w:lvlJc w:val="left"/>
      <w:pPr>
        <w:ind w:left="5040" w:hanging="360"/>
      </w:pPr>
    </w:lvl>
    <w:lvl w:ilvl="7" w:tplc="BD98E2B4">
      <w:start w:val="1"/>
      <w:numFmt w:val="lowerLetter"/>
      <w:lvlText w:val="%8."/>
      <w:lvlJc w:val="left"/>
      <w:pPr>
        <w:ind w:left="5760" w:hanging="360"/>
      </w:pPr>
    </w:lvl>
    <w:lvl w:ilvl="8" w:tplc="A8B01AF8">
      <w:start w:val="1"/>
      <w:numFmt w:val="lowerRoman"/>
      <w:lvlText w:val="%9."/>
      <w:lvlJc w:val="right"/>
      <w:pPr>
        <w:ind w:left="6480" w:hanging="180"/>
      </w:pPr>
    </w:lvl>
  </w:abstractNum>
  <w:abstractNum w:abstractNumId="87" w15:restartNumberingAfterBreak="0">
    <w:nsid w:val="54156F6E"/>
    <w:multiLevelType w:val="hybridMultilevel"/>
    <w:tmpl w:val="FFFFFFFF"/>
    <w:lvl w:ilvl="0" w:tplc="5CBA9E0C">
      <w:start w:val="1"/>
      <w:numFmt w:val="bullet"/>
      <w:lvlText w:val=""/>
      <w:lvlJc w:val="left"/>
      <w:pPr>
        <w:ind w:left="720" w:hanging="360"/>
      </w:pPr>
      <w:rPr>
        <w:rFonts w:ascii="Symbol" w:hAnsi="Symbol" w:hint="default"/>
      </w:rPr>
    </w:lvl>
    <w:lvl w:ilvl="1" w:tplc="A2AAE8DE">
      <w:start w:val="1"/>
      <w:numFmt w:val="bullet"/>
      <w:lvlText w:val=""/>
      <w:lvlJc w:val="left"/>
      <w:pPr>
        <w:ind w:left="1440" w:hanging="360"/>
      </w:pPr>
      <w:rPr>
        <w:rFonts w:ascii="Symbol" w:hAnsi="Symbol" w:hint="default"/>
      </w:rPr>
    </w:lvl>
    <w:lvl w:ilvl="2" w:tplc="1DB27E04">
      <w:start w:val="1"/>
      <w:numFmt w:val="bullet"/>
      <w:lvlText w:val=""/>
      <w:lvlJc w:val="left"/>
      <w:pPr>
        <w:ind w:left="2160" w:hanging="360"/>
      </w:pPr>
      <w:rPr>
        <w:rFonts w:ascii="Wingdings" w:hAnsi="Wingdings" w:hint="default"/>
      </w:rPr>
    </w:lvl>
    <w:lvl w:ilvl="3" w:tplc="E386096C">
      <w:start w:val="1"/>
      <w:numFmt w:val="bullet"/>
      <w:lvlText w:val=""/>
      <w:lvlJc w:val="left"/>
      <w:pPr>
        <w:ind w:left="2880" w:hanging="360"/>
      </w:pPr>
      <w:rPr>
        <w:rFonts w:ascii="Symbol" w:hAnsi="Symbol" w:hint="default"/>
      </w:rPr>
    </w:lvl>
    <w:lvl w:ilvl="4" w:tplc="B9220246">
      <w:start w:val="1"/>
      <w:numFmt w:val="bullet"/>
      <w:lvlText w:val="o"/>
      <w:lvlJc w:val="left"/>
      <w:pPr>
        <w:ind w:left="3600" w:hanging="360"/>
      </w:pPr>
      <w:rPr>
        <w:rFonts w:ascii="Courier New" w:hAnsi="Courier New" w:hint="default"/>
      </w:rPr>
    </w:lvl>
    <w:lvl w:ilvl="5" w:tplc="B85042AC">
      <w:start w:val="1"/>
      <w:numFmt w:val="bullet"/>
      <w:lvlText w:val=""/>
      <w:lvlJc w:val="left"/>
      <w:pPr>
        <w:ind w:left="4320" w:hanging="360"/>
      </w:pPr>
      <w:rPr>
        <w:rFonts w:ascii="Wingdings" w:hAnsi="Wingdings" w:hint="default"/>
      </w:rPr>
    </w:lvl>
    <w:lvl w:ilvl="6" w:tplc="4DCE6426">
      <w:start w:val="1"/>
      <w:numFmt w:val="bullet"/>
      <w:lvlText w:val=""/>
      <w:lvlJc w:val="left"/>
      <w:pPr>
        <w:ind w:left="5040" w:hanging="360"/>
      </w:pPr>
      <w:rPr>
        <w:rFonts w:ascii="Symbol" w:hAnsi="Symbol" w:hint="default"/>
      </w:rPr>
    </w:lvl>
    <w:lvl w:ilvl="7" w:tplc="9E9E85A4">
      <w:start w:val="1"/>
      <w:numFmt w:val="bullet"/>
      <w:lvlText w:val="o"/>
      <w:lvlJc w:val="left"/>
      <w:pPr>
        <w:ind w:left="5760" w:hanging="360"/>
      </w:pPr>
      <w:rPr>
        <w:rFonts w:ascii="Courier New" w:hAnsi="Courier New" w:hint="default"/>
      </w:rPr>
    </w:lvl>
    <w:lvl w:ilvl="8" w:tplc="4F284540">
      <w:start w:val="1"/>
      <w:numFmt w:val="bullet"/>
      <w:lvlText w:val=""/>
      <w:lvlJc w:val="left"/>
      <w:pPr>
        <w:ind w:left="6480" w:hanging="360"/>
      </w:pPr>
      <w:rPr>
        <w:rFonts w:ascii="Wingdings" w:hAnsi="Wingdings" w:hint="default"/>
      </w:rPr>
    </w:lvl>
  </w:abstractNum>
  <w:abstractNum w:abstractNumId="88" w15:restartNumberingAfterBreak="0">
    <w:nsid w:val="54C83AAA"/>
    <w:multiLevelType w:val="hybridMultilevel"/>
    <w:tmpl w:val="FFFFFFFF"/>
    <w:lvl w:ilvl="0" w:tplc="FFFFFFFF">
      <w:start w:val="1"/>
      <w:numFmt w:val="bullet"/>
      <w:lvlText w:val=""/>
      <w:lvlJc w:val="left"/>
      <w:pPr>
        <w:ind w:left="720" w:hanging="360"/>
      </w:pPr>
      <w:rPr>
        <w:rFonts w:ascii="Symbol" w:hAnsi="Symbol" w:hint="default"/>
      </w:rPr>
    </w:lvl>
    <w:lvl w:ilvl="1" w:tplc="8500F72C">
      <w:start w:val="1"/>
      <w:numFmt w:val="lowerLetter"/>
      <w:lvlText w:val="%2."/>
      <w:lvlJc w:val="left"/>
      <w:pPr>
        <w:ind w:left="1440" w:hanging="360"/>
      </w:pPr>
    </w:lvl>
    <w:lvl w:ilvl="2" w:tplc="F2C63240">
      <w:start w:val="1"/>
      <w:numFmt w:val="lowerRoman"/>
      <w:lvlText w:val="%3."/>
      <w:lvlJc w:val="right"/>
      <w:pPr>
        <w:ind w:left="2160" w:hanging="180"/>
      </w:pPr>
    </w:lvl>
    <w:lvl w:ilvl="3" w:tplc="51709EB6">
      <w:start w:val="1"/>
      <w:numFmt w:val="decimal"/>
      <w:lvlText w:val="%4."/>
      <w:lvlJc w:val="left"/>
      <w:pPr>
        <w:ind w:left="2880" w:hanging="360"/>
      </w:pPr>
    </w:lvl>
    <w:lvl w:ilvl="4" w:tplc="5676763C">
      <w:start w:val="1"/>
      <w:numFmt w:val="lowerLetter"/>
      <w:lvlText w:val="%5."/>
      <w:lvlJc w:val="left"/>
      <w:pPr>
        <w:ind w:left="3600" w:hanging="360"/>
      </w:pPr>
    </w:lvl>
    <w:lvl w:ilvl="5" w:tplc="575AAF04">
      <w:start w:val="1"/>
      <w:numFmt w:val="lowerRoman"/>
      <w:lvlText w:val="%6."/>
      <w:lvlJc w:val="right"/>
      <w:pPr>
        <w:ind w:left="4320" w:hanging="180"/>
      </w:pPr>
    </w:lvl>
    <w:lvl w:ilvl="6" w:tplc="C8620D28">
      <w:start w:val="1"/>
      <w:numFmt w:val="decimal"/>
      <w:lvlText w:val="%7."/>
      <w:lvlJc w:val="left"/>
      <w:pPr>
        <w:ind w:left="5040" w:hanging="360"/>
      </w:pPr>
    </w:lvl>
    <w:lvl w:ilvl="7" w:tplc="30964E2C">
      <w:start w:val="1"/>
      <w:numFmt w:val="lowerLetter"/>
      <w:lvlText w:val="%8."/>
      <w:lvlJc w:val="left"/>
      <w:pPr>
        <w:ind w:left="5760" w:hanging="360"/>
      </w:pPr>
    </w:lvl>
    <w:lvl w:ilvl="8" w:tplc="3BB03E98">
      <w:start w:val="1"/>
      <w:numFmt w:val="lowerRoman"/>
      <w:lvlText w:val="%9."/>
      <w:lvlJc w:val="right"/>
      <w:pPr>
        <w:ind w:left="6480" w:hanging="180"/>
      </w:pPr>
    </w:lvl>
  </w:abstractNum>
  <w:abstractNum w:abstractNumId="89" w15:restartNumberingAfterBreak="0">
    <w:nsid w:val="54D8359A"/>
    <w:multiLevelType w:val="hybridMultilevel"/>
    <w:tmpl w:val="326A7D98"/>
    <w:lvl w:ilvl="0" w:tplc="C8EC88F0">
      <w:start w:val="1"/>
      <w:numFmt w:val="bullet"/>
      <w:lvlText w:val=""/>
      <w:lvlJc w:val="left"/>
      <w:pPr>
        <w:ind w:left="720" w:hanging="360"/>
      </w:pPr>
      <w:rPr>
        <w:rFonts w:ascii="Symbol" w:hAnsi="Symbol" w:hint="default"/>
      </w:rPr>
    </w:lvl>
    <w:lvl w:ilvl="1" w:tplc="E904E820">
      <w:start w:val="1"/>
      <w:numFmt w:val="bullet"/>
      <w:lvlText w:val="o"/>
      <w:lvlJc w:val="left"/>
      <w:pPr>
        <w:ind w:left="1440" w:hanging="360"/>
      </w:pPr>
      <w:rPr>
        <w:rFonts w:ascii="Courier New" w:hAnsi="Courier New" w:hint="default"/>
      </w:rPr>
    </w:lvl>
    <w:lvl w:ilvl="2" w:tplc="AB3EF77E">
      <w:start w:val="1"/>
      <w:numFmt w:val="bullet"/>
      <w:lvlText w:val=""/>
      <w:lvlJc w:val="left"/>
      <w:pPr>
        <w:ind w:left="2160" w:hanging="360"/>
      </w:pPr>
      <w:rPr>
        <w:rFonts w:ascii="Wingdings" w:hAnsi="Wingdings" w:hint="default"/>
      </w:rPr>
    </w:lvl>
    <w:lvl w:ilvl="3" w:tplc="33C228E2">
      <w:start w:val="1"/>
      <w:numFmt w:val="bullet"/>
      <w:lvlText w:val=""/>
      <w:lvlJc w:val="left"/>
      <w:pPr>
        <w:ind w:left="2880" w:hanging="360"/>
      </w:pPr>
      <w:rPr>
        <w:rFonts w:ascii="Symbol" w:hAnsi="Symbol" w:hint="default"/>
      </w:rPr>
    </w:lvl>
    <w:lvl w:ilvl="4" w:tplc="A89850A0">
      <w:start w:val="1"/>
      <w:numFmt w:val="bullet"/>
      <w:lvlText w:val="o"/>
      <w:lvlJc w:val="left"/>
      <w:pPr>
        <w:ind w:left="3600" w:hanging="360"/>
      </w:pPr>
      <w:rPr>
        <w:rFonts w:ascii="Courier New" w:hAnsi="Courier New" w:hint="default"/>
      </w:rPr>
    </w:lvl>
    <w:lvl w:ilvl="5" w:tplc="6F6CFFDA">
      <w:start w:val="1"/>
      <w:numFmt w:val="bullet"/>
      <w:lvlText w:val=""/>
      <w:lvlJc w:val="left"/>
      <w:pPr>
        <w:ind w:left="4320" w:hanging="360"/>
      </w:pPr>
      <w:rPr>
        <w:rFonts w:ascii="Wingdings" w:hAnsi="Wingdings" w:hint="default"/>
      </w:rPr>
    </w:lvl>
    <w:lvl w:ilvl="6" w:tplc="DBDAB3F6">
      <w:start w:val="1"/>
      <w:numFmt w:val="bullet"/>
      <w:lvlText w:val=""/>
      <w:lvlJc w:val="left"/>
      <w:pPr>
        <w:ind w:left="5040" w:hanging="360"/>
      </w:pPr>
      <w:rPr>
        <w:rFonts w:ascii="Symbol" w:hAnsi="Symbol" w:hint="default"/>
      </w:rPr>
    </w:lvl>
    <w:lvl w:ilvl="7" w:tplc="8C865CA2">
      <w:start w:val="1"/>
      <w:numFmt w:val="bullet"/>
      <w:lvlText w:val="o"/>
      <w:lvlJc w:val="left"/>
      <w:pPr>
        <w:ind w:left="5760" w:hanging="360"/>
      </w:pPr>
      <w:rPr>
        <w:rFonts w:ascii="Courier New" w:hAnsi="Courier New" w:hint="default"/>
      </w:rPr>
    </w:lvl>
    <w:lvl w:ilvl="8" w:tplc="16A8A804">
      <w:start w:val="1"/>
      <w:numFmt w:val="bullet"/>
      <w:lvlText w:val=""/>
      <w:lvlJc w:val="left"/>
      <w:pPr>
        <w:ind w:left="6480" w:hanging="360"/>
      </w:pPr>
      <w:rPr>
        <w:rFonts w:ascii="Wingdings" w:hAnsi="Wingdings" w:hint="default"/>
      </w:rPr>
    </w:lvl>
  </w:abstractNum>
  <w:abstractNum w:abstractNumId="90" w15:restartNumberingAfterBreak="0">
    <w:nsid w:val="54FD2E86"/>
    <w:multiLevelType w:val="hybridMultilevel"/>
    <w:tmpl w:val="FFFFFFFF"/>
    <w:lvl w:ilvl="0" w:tplc="FFFFFFFF">
      <w:start w:val="1"/>
      <w:numFmt w:val="decimal"/>
      <w:lvlText w:val="%1."/>
      <w:lvlJc w:val="left"/>
      <w:pPr>
        <w:ind w:left="720" w:hanging="360"/>
      </w:pPr>
    </w:lvl>
    <w:lvl w:ilvl="1" w:tplc="C848F446">
      <w:start w:val="1"/>
      <w:numFmt w:val="lowerLetter"/>
      <w:lvlText w:val="%2."/>
      <w:lvlJc w:val="left"/>
      <w:pPr>
        <w:ind w:left="1440" w:hanging="360"/>
      </w:pPr>
    </w:lvl>
    <w:lvl w:ilvl="2" w:tplc="A2FC2880">
      <w:start w:val="1"/>
      <w:numFmt w:val="lowerRoman"/>
      <w:lvlText w:val="%3."/>
      <w:lvlJc w:val="right"/>
      <w:pPr>
        <w:ind w:left="2160" w:hanging="180"/>
      </w:pPr>
    </w:lvl>
    <w:lvl w:ilvl="3" w:tplc="02F85972">
      <w:start w:val="1"/>
      <w:numFmt w:val="decimal"/>
      <w:lvlText w:val="%4."/>
      <w:lvlJc w:val="left"/>
      <w:pPr>
        <w:ind w:left="2880" w:hanging="360"/>
      </w:pPr>
    </w:lvl>
    <w:lvl w:ilvl="4" w:tplc="F0522F32">
      <w:start w:val="1"/>
      <w:numFmt w:val="lowerLetter"/>
      <w:lvlText w:val="%5."/>
      <w:lvlJc w:val="left"/>
      <w:pPr>
        <w:ind w:left="3600" w:hanging="360"/>
      </w:pPr>
    </w:lvl>
    <w:lvl w:ilvl="5" w:tplc="0A886526">
      <w:start w:val="1"/>
      <w:numFmt w:val="lowerRoman"/>
      <w:lvlText w:val="%6."/>
      <w:lvlJc w:val="right"/>
      <w:pPr>
        <w:ind w:left="4320" w:hanging="180"/>
      </w:pPr>
    </w:lvl>
    <w:lvl w:ilvl="6" w:tplc="EA542E3A">
      <w:start w:val="1"/>
      <w:numFmt w:val="decimal"/>
      <w:lvlText w:val="%7."/>
      <w:lvlJc w:val="left"/>
      <w:pPr>
        <w:ind w:left="5040" w:hanging="360"/>
      </w:pPr>
    </w:lvl>
    <w:lvl w:ilvl="7" w:tplc="F488B1D6">
      <w:start w:val="1"/>
      <w:numFmt w:val="lowerLetter"/>
      <w:lvlText w:val="%8."/>
      <w:lvlJc w:val="left"/>
      <w:pPr>
        <w:ind w:left="5760" w:hanging="360"/>
      </w:pPr>
    </w:lvl>
    <w:lvl w:ilvl="8" w:tplc="FE0A6ABC">
      <w:start w:val="1"/>
      <w:numFmt w:val="lowerRoman"/>
      <w:lvlText w:val="%9."/>
      <w:lvlJc w:val="right"/>
      <w:pPr>
        <w:ind w:left="6480" w:hanging="180"/>
      </w:pPr>
    </w:lvl>
  </w:abstractNum>
  <w:abstractNum w:abstractNumId="91" w15:restartNumberingAfterBreak="0">
    <w:nsid w:val="550316A8"/>
    <w:multiLevelType w:val="hybridMultilevel"/>
    <w:tmpl w:val="0D82ACA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5C539DB"/>
    <w:multiLevelType w:val="hybridMultilevel"/>
    <w:tmpl w:val="AF98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E903FE"/>
    <w:multiLevelType w:val="hybridMultilevel"/>
    <w:tmpl w:val="9224D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6971C45"/>
    <w:multiLevelType w:val="hybridMultilevel"/>
    <w:tmpl w:val="FFFFFFFF"/>
    <w:lvl w:ilvl="0" w:tplc="FFFFFFFF">
      <w:start w:val="1"/>
      <w:numFmt w:val="bullet"/>
      <w:lvlText w:val=""/>
      <w:lvlJc w:val="left"/>
      <w:pPr>
        <w:ind w:left="720" w:hanging="360"/>
      </w:pPr>
      <w:rPr>
        <w:rFonts w:ascii="Symbol" w:hAnsi="Symbol" w:hint="default"/>
      </w:rPr>
    </w:lvl>
    <w:lvl w:ilvl="1" w:tplc="BD96ACB0">
      <w:start w:val="1"/>
      <w:numFmt w:val="bullet"/>
      <w:lvlText w:val="o"/>
      <w:lvlJc w:val="left"/>
      <w:pPr>
        <w:ind w:left="1440" w:hanging="360"/>
      </w:pPr>
      <w:rPr>
        <w:rFonts w:ascii="Courier New" w:hAnsi="Courier New" w:hint="default"/>
      </w:rPr>
    </w:lvl>
    <w:lvl w:ilvl="2" w:tplc="5996610C">
      <w:start w:val="1"/>
      <w:numFmt w:val="bullet"/>
      <w:lvlText w:val=""/>
      <w:lvlJc w:val="left"/>
      <w:pPr>
        <w:ind w:left="2160" w:hanging="360"/>
      </w:pPr>
      <w:rPr>
        <w:rFonts w:ascii="Wingdings" w:hAnsi="Wingdings" w:hint="default"/>
      </w:rPr>
    </w:lvl>
    <w:lvl w:ilvl="3" w:tplc="83C4885E">
      <w:start w:val="1"/>
      <w:numFmt w:val="bullet"/>
      <w:lvlText w:val=""/>
      <w:lvlJc w:val="left"/>
      <w:pPr>
        <w:ind w:left="2880" w:hanging="360"/>
      </w:pPr>
      <w:rPr>
        <w:rFonts w:ascii="Symbol" w:hAnsi="Symbol" w:hint="default"/>
      </w:rPr>
    </w:lvl>
    <w:lvl w:ilvl="4" w:tplc="FA6C9990">
      <w:start w:val="1"/>
      <w:numFmt w:val="bullet"/>
      <w:lvlText w:val="o"/>
      <w:lvlJc w:val="left"/>
      <w:pPr>
        <w:ind w:left="3600" w:hanging="360"/>
      </w:pPr>
      <w:rPr>
        <w:rFonts w:ascii="Courier New" w:hAnsi="Courier New" w:hint="default"/>
      </w:rPr>
    </w:lvl>
    <w:lvl w:ilvl="5" w:tplc="AD24C4CA">
      <w:start w:val="1"/>
      <w:numFmt w:val="bullet"/>
      <w:lvlText w:val=""/>
      <w:lvlJc w:val="left"/>
      <w:pPr>
        <w:ind w:left="4320" w:hanging="360"/>
      </w:pPr>
      <w:rPr>
        <w:rFonts w:ascii="Wingdings" w:hAnsi="Wingdings" w:hint="default"/>
      </w:rPr>
    </w:lvl>
    <w:lvl w:ilvl="6" w:tplc="F26015C4">
      <w:start w:val="1"/>
      <w:numFmt w:val="bullet"/>
      <w:lvlText w:val=""/>
      <w:lvlJc w:val="left"/>
      <w:pPr>
        <w:ind w:left="5040" w:hanging="360"/>
      </w:pPr>
      <w:rPr>
        <w:rFonts w:ascii="Symbol" w:hAnsi="Symbol" w:hint="default"/>
      </w:rPr>
    </w:lvl>
    <w:lvl w:ilvl="7" w:tplc="3D1E330A">
      <w:start w:val="1"/>
      <w:numFmt w:val="bullet"/>
      <w:lvlText w:val="o"/>
      <w:lvlJc w:val="left"/>
      <w:pPr>
        <w:ind w:left="5760" w:hanging="360"/>
      </w:pPr>
      <w:rPr>
        <w:rFonts w:ascii="Courier New" w:hAnsi="Courier New" w:hint="default"/>
      </w:rPr>
    </w:lvl>
    <w:lvl w:ilvl="8" w:tplc="9390971A">
      <w:start w:val="1"/>
      <w:numFmt w:val="bullet"/>
      <w:lvlText w:val=""/>
      <w:lvlJc w:val="left"/>
      <w:pPr>
        <w:ind w:left="6480" w:hanging="360"/>
      </w:pPr>
      <w:rPr>
        <w:rFonts w:ascii="Wingdings" w:hAnsi="Wingdings" w:hint="default"/>
      </w:rPr>
    </w:lvl>
  </w:abstractNum>
  <w:abstractNum w:abstractNumId="95" w15:restartNumberingAfterBreak="0">
    <w:nsid w:val="574A7A78"/>
    <w:multiLevelType w:val="hybridMultilevel"/>
    <w:tmpl w:val="066A8776"/>
    <w:lvl w:ilvl="0" w:tplc="BEF09C8A">
      <w:start w:val="2020"/>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277573"/>
    <w:multiLevelType w:val="hybridMultilevel"/>
    <w:tmpl w:val="3E8C0B3E"/>
    <w:lvl w:ilvl="0" w:tplc="C3C04936">
      <w:start w:val="1"/>
      <w:numFmt w:val="bullet"/>
      <w:lvlText w:val=""/>
      <w:lvlJc w:val="left"/>
      <w:pPr>
        <w:ind w:left="720" w:hanging="360"/>
      </w:pPr>
      <w:rPr>
        <w:rFonts w:ascii="Symbol" w:hAnsi="Symbol" w:hint="default"/>
      </w:rPr>
    </w:lvl>
    <w:lvl w:ilvl="1" w:tplc="F11A1022">
      <w:start w:val="1"/>
      <w:numFmt w:val="bullet"/>
      <w:lvlText w:val="o"/>
      <w:lvlJc w:val="left"/>
      <w:pPr>
        <w:ind w:left="1440" w:hanging="360"/>
      </w:pPr>
      <w:rPr>
        <w:rFonts w:ascii="Courier New" w:hAnsi="Courier New" w:hint="default"/>
      </w:rPr>
    </w:lvl>
    <w:lvl w:ilvl="2" w:tplc="58E4BEB2">
      <w:start w:val="1"/>
      <w:numFmt w:val="bullet"/>
      <w:lvlText w:val=""/>
      <w:lvlJc w:val="left"/>
      <w:pPr>
        <w:ind w:left="2160" w:hanging="360"/>
      </w:pPr>
      <w:rPr>
        <w:rFonts w:ascii="Wingdings" w:hAnsi="Wingdings" w:hint="default"/>
      </w:rPr>
    </w:lvl>
    <w:lvl w:ilvl="3" w:tplc="52863E7E">
      <w:start w:val="1"/>
      <w:numFmt w:val="bullet"/>
      <w:lvlText w:val=""/>
      <w:lvlJc w:val="left"/>
      <w:pPr>
        <w:ind w:left="2880" w:hanging="360"/>
      </w:pPr>
      <w:rPr>
        <w:rFonts w:ascii="Symbol" w:hAnsi="Symbol" w:hint="default"/>
      </w:rPr>
    </w:lvl>
    <w:lvl w:ilvl="4" w:tplc="F43E9450">
      <w:start w:val="1"/>
      <w:numFmt w:val="bullet"/>
      <w:lvlText w:val="o"/>
      <w:lvlJc w:val="left"/>
      <w:pPr>
        <w:ind w:left="3600" w:hanging="360"/>
      </w:pPr>
      <w:rPr>
        <w:rFonts w:ascii="Courier New" w:hAnsi="Courier New" w:hint="default"/>
      </w:rPr>
    </w:lvl>
    <w:lvl w:ilvl="5" w:tplc="54EA2EDE">
      <w:start w:val="1"/>
      <w:numFmt w:val="bullet"/>
      <w:lvlText w:val=""/>
      <w:lvlJc w:val="left"/>
      <w:pPr>
        <w:ind w:left="4320" w:hanging="360"/>
      </w:pPr>
      <w:rPr>
        <w:rFonts w:ascii="Wingdings" w:hAnsi="Wingdings" w:hint="default"/>
      </w:rPr>
    </w:lvl>
    <w:lvl w:ilvl="6" w:tplc="77B4B01C">
      <w:start w:val="1"/>
      <w:numFmt w:val="bullet"/>
      <w:lvlText w:val=""/>
      <w:lvlJc w:val="left"/>
      <w:pPr>
        <w:ind w:left="5040" w:hanging="360"/>
      </w:pPr>
      <w:rPr>
        <w:rFonts w:ascii="Symbol" w:hAnsi="Symbol" w:hint="default"/>
      </w:rPr>
    </w:lvl>
    <w:lvl w:ilvl="7" w:tplc="9634B88E">
      <w:start w:val="1"/>
      <w:numFmt w:val="bullet"/>
      <w:lvlText w:val="o"/>
      <w:lvlJc w:val="left"/>
      <w:pPr>
        <w:ind w:left="5760" w:hanging="360"/>
      </w:pPr>
      <w:rPr>
        <w:rFonts w:ascii="Courier New" w:hAnsi="Courier New" w:hint="default"/>
      </w:rPr>
    </w:lvl>
    <w:lvl w:ilvl="8" w:tplc="BD7CAF2A">
      <w:start w:val="1"/>
      <w:numFmt w:val="bullet"/>
      <w:lvlText w:val=""/>
      <w:lvlJc w:val="left"/>
      <w:pPr>
        <w:ind w:left="6480" w:hanging="360"/>
      </w:pPr>
      <w:rPr>
        <w:rFonts w:ascii="Wingdings" w:hAnsi="Wingdings" w:hint="default"/>
      </w:rPr>
    </w:lvl>
  </w:abstractNum>
  <w:abstractNum w:abstractNumId="97" w15:restartNumberingAfterBreak="0">
    <w:nsid w:val="5D9A29D4"/>
    <w:multiLevelType w:val="hybridMultilevel"/>
    <w:tmpl w:val="AF8AC3E0"/>
    <w:lvl w:ilvl="0" w:tplc="FA645388">
      <w:start w:val="1"/>
      <w:numFmt w:val="bullet"/>
      <w:lvlText w:val=""/>
      <w:lvlJc w:val="left"/>
      <w:pPr>
        <w:ind w:left="720" w:hanging="360"/>
      </w:pPr>
      <w:rPr>
        <w:rFonts w:ascii="Symbol" w:hAnsi="Symbol" w:hint="default"/>
      </w:rPr>
    </w:lvl>
    <w:lvl w:ilvl="1" w:tplc="EE56E28C">
      <w:start w:val="1"/>
      <w:numFmt w:val="bullet"/>
      <w:lvlText w:val="o"/>
      <w:lvlJc w:val="left"/>
      <w:pPr>
        <w:ind w:left="1440" w:hanging="360"/>
      </w:pPr>
      <w:rPr>
        <w:rFonts w:ascii="Courier New" w:hAnsi="Courier New" w:hint="default"/>
      </w:rPr>
    </w:lvl>
    <w:lvl w:ilvl="2" w:tplc="93AA8A18">
      <w:start w:val="1"/>
      <w:numFmt w:val="bullet"/>
      <w:lvlText w:val=""/>
      <w:lvlJc w:val="left"/>
      <w:pPr>
        <w:ind w:left="2160" w:hanging="360"/>
      </w:pPr>
      <w:rPr>
        <w:rFonts w:ascii="Wingdings" w:hAnsi="Wingdings" w:hint="default"/>
      </w:rPr>
    </w:lvl>
    <w:lvl w:ilvl="3" w:tplc="5CDE2064">
      <w:start w:val="1"/>
      <w:numFmt w:val="bullet"/>
      <w:lvlText w:val=""/>
      <w:lvlJc w:val="left"/>
      <w:pPr>
        <w:ind w:left="2880" w:hanging="360"/>
      </w:pPr>
      <w:rPr>
        <w:rFonts w:ascii="Symbol" w:hAnsi="Symbol" w:hint="default"/>
      </w:rPr>
    </w:lvl>
    <w:lvl w:ilvl="4" w:tplc="F31AC13C">
      <w:start w:val="1"/>
      <w:numFmt w:val="bullet"/>
      <w:lvlText w:val="o"/>
      <w:lvlJc w:val="left"/>
      <w:pPr>
        <w:ind w:left="3600" w:hanging="360"/>
      </w:pPr>
      <w:rPr>
        <w:rFonts w:ascii="Courier New" w:hAnsi="Courier New" w:hint="default"/>
      </w:rPr>
    </w:lvl>
    <w:lvl w:ilvl="5" w:tplc="D6CA891C">
      <w:start w:val="1"/>
      <w:numFmt w:val="bullet"/>
      <w:lvlText w:val=""/>
      <w:lvlJc w:val="left"/>
      <w:pPr>
        <w:ind w:left="4320" w:hanging="360"/>
      </w:pPr>
      <w:rPr>
        <w:rFonts w:ascii="Wingdings" w:hAnsi="Wingdings" w:hint="default"/>
      </w:rPr>
    </w:lvl>
    <w:lvl w:ilvl="6" w:tplc="640A3C88">
      <w:start w:val="1"/>
      <w:numFmt w:val="bullet"/>
      <w:lvlText w:val=""/>
      <w:lvlJc w:val="left"/>
      <w:pPr>
        <w:ind w:left="5040" w:hanging="360"/>
      </w:pPr>
      <w:rPr>
        <w:rFonts w:ascii="Symbol" w:hAnsi="Symbol" w:hint="default"/>
      </w:rPr>
    </w:lvl>
    <w:lvl w:ilvl="7" w:tplc="9C805FF0">
      <w:start w:val="1"/>
      <w:numFmt w:val="bullet"/>
      <w:lvlText w:val="o"/>
      <w:lvlJc w:val="left"/>
      <w:pPr>
        <w:ind w:left="5760" w:hanging="360"/>
      </w:pPr>
      <w:rPr>
        <w:rFonts w:ascii="Courier New" w:hAnsi="Courier New" w:hint="default"/>
      </w:rPr>
    </w:lvl>
    <w:lvl w:ilvl="8" w:tplc="F89298F4">
      <w:start w:val="1"/>
      <w:numFmt w:val="bullet"/>
      <w:lvlText w:val=""/>
      <w:lvlJc w:val="left"/>
      <w:pPr>
        <w:ind w:left="6480" w:hanging="360"/>
      </w:pPr>
      <w:rPr>
        <w:rFonts w:ascii="Wingdings" w:hAnsi="Wingdings" w:hint="default"/>
      </w:rPr>
    </w:lvl>
  </w:abstractNum>
  <w:abstractNum w:abstractNumId="98" w15:restartNumberingAfterBreak="0">
    <w:nsid w:val="5E9E2403"/>
    <w:multiLevelType w:val="hybridMultilevel"/>
    <w:tmpl w:val="5E80B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EB05F45"/>
    <w:multiLevelType w:val="hybridMultilevel"/>
    <w:tmpl w:val="5330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C047D8"/>
    <w:multiLevelType w:val="hybridMultilevel"/>
    <w:tmpl w:val="FFFFFFFF"/>
    <w:lvl w:ilvl="0" w:tplc="BDCA7170">
      <w:start w:val="1"/>
      <w:numFmt w:val="bullet"/>
      <w:lvlText w:val=""/>
      <w:lvlJc w:val="left"/>
      <w:pPr>
        <w:ind w:left="720" w:hanging="360"/>
      </w:pPr>
      <w:rPr>
        <w:rFonts w:ascii="Symbol" w:hAnsi="Symbol" w:hint="default"/>
      </w:rPr>
    </w:lvl>
    <w:lvl w:ilvl="1" w:tplc="68B6AB4A">
      <w:start w:val="1"/>
      <w:numFmt w:val="bullet"/>
      <w:lvlText w:val="o"/>
      <w:lvlJc w:val="left"/>
      <w:pPr>
        <w:ind w:left="1440" w:hanging="360"/>
      </w:pPr>
      <w:rPr>
        <w:rFonts w:ascii="Courier New" w:hAnsi="Courier New" w:hint="default"/>
      </w:rPr>
    </w:lvl>
    <w:lvl w:ilvl="2" w:tplc="D02A588C">
      <w:start w:val="1"/>
      <w:numFmt w:val="bullet"/>
      <w:lvlText w:val=""/>
      <w:lvlJc w:val="left"/>
      <w:pPr>
        <w:ind w:left="2160" w:hanging="360"/>
      </w:pPr>
      <w:rPr>
        <w:rFonts w:ascii="Wingdings" w:hAnsi="Wingdings" w:hint="default"/>
      </w:rPr>
    </w:lvl>
    <w:lvl w:ilvl="3" w:tplc="8E7CCF34">
      <w:start w:val="1"/>
      <w:numFmt w:val="bullet"/>
      <w:lvlText w:val=""/>
      <w:lvlJc w:val="left"/>
      <w:pPr>
        <w:ind w:left="2880" w:hanging="360"/>
      </w:pPr>
      <w:rPr>
        <w:rFonts w:ascii="Symbol" w:hAnsi="Symbol" w:hint="default"/>
      </w:rPr>
    </w:lvl>
    <w:lvl w:ilvl="4" w:tplc="99DC2A9C">
      <w:start w:val="1"/>
      <w:numFmt w:val="bullet"/>
      <w:lvlText w:val="o"/>
      <w:lvlJc w:val="left"/>
      <w:pPr>
        <w:ind w:left="3600" w:hanging="360"/>
      </w:pPr>
      <w:rPr>
        <w:rFonts w:ascii="Courier New" w:hAnsi="Courier New" w:hint="default"/>
      </w:rPr>
    </w:lvl>
    <w:lvl w:ilvl="5" w:tplc="EE3AAC70">
      <w:start w:val="1"/>
      <w:numFmt w:val="bullet"/>
      <w:lvlText w:val=""/>
      <w:lvlJc w:val="left"/>
      <w:pPr>
        <w:ind w:left="4320" w:hanging="360"/>
      </w:pPr>
      <w:rPr>
        <w:rFonts w:ascii="Wingdings" w:hAnsi="Wingdings" w:hint="default"/>
      </w:rPr>
    </w:lvl>
    <w:lvl w:ilvl="6" w:tplc="DA6AA1F8">
      <w:start w:val="1"/>
      <w:numFmt w:val="bullet"/>
      <w:lvlText w:val=""/>
      <w:lvlJc w:val="left"/>
      <w:pPr>
        <w:ind w:left="5040" w:hanging="360"/>
      </w:pPr>
      <w:rPr>
        <w:rFonts w:ascii="Symbol" w:hAnsi="Symbol" w:hint="default"/>
      </w:rPr>
    </w:lvl>
    <w:lvl w:ilvl="7" w:tplc="273811AC">
      <w:start w:val="1"/>
      <w:numFmt w:val="bullet"/>
      <w:lvlText w:val="o"/>
      <w:lvlJc w:val="left"/>
      <w:pPr>
        <w:ind w:left="5760" w:hanging="360"/>
      </w:pPr>
      <w:rPr>
        <w:rFonts w:ascii="Courier New" w:hAnsi="Courier New" w:hint="default"/>
      </w:rPr>
    </w:lvl>
    <w:lvl w:ilvl="8" w:tplc="30AEE2E2">
      <w:start w:val="1"/>
      <w:numFmt w:val="bullet"/>
      <w:lvlText w:val=""/>
      <w:lvlJc w:val="left"/>
      <w:pPr>
        <w:ind w:left="6480" w:hanging="360"/>
      </w:pPr>
      <w:rPr>
        <w:rFonts w:ascii="Wingdings" w:hAnsi="Wingdings" w:hint="default"/>
      </w:rPr>
    </w:lvl>
  </w:abstractNum>
  <w:abstractNum w:abstractNumId="101" w15:restartNumberingAfterBreak="0">
    <w:nsid w:val="60D347D6"/>
    <w:multiLevelType w:val="hybridMultilevel"/>
    <w:tmpl w:val="FFFFFFFF"/>
    <w:lvl w:ilvl="0" w:tplc="35743258">
      <w:start w:val="1"/>
      <w:numFmt w:val="bullet"/>
      <w:lvlText w:val=""/>
      <w:lvlJc w:val="left"/>
      <w:pPr>
        <w:ind w:left="1080" w:hanging="360"/>
      </w:pPr>
      <w:rPr>
        <w:rFonts w:ascii="Symbol" w:hAnsi="Symbol" w:hint="default"/>
      </w:rPr>
    </w:lvl>
    <w:lvl w:ilvl="1" w:tplc="A5BA553C">
      <w:start w:val="1"/>
      <w:numFmt w:val="bullet"/>
      <w:lvlText w:val="o"/>
      <w:lvlJc w:val="left"/>
      <w:pPr>
        <w:ind w:left="1800" w:hanging="360"/>
      </w:pPr>
      <w:rPr>
        <w:rFonts w:ascii="Courier New" w:hAnsi="Courier New" w:hint="default"/>
      </w:rPr>
    </w:lvl>
    <w:lvl w:ilvl="2" w:tplc="328CA4C0">
      <w:start w:val="1"/>
      <w:numFmt w:val="bullet"/>
      <w:lvlText w:val=""/>
      <w:lvlJc w:val="left"/>
      <w:pPr>
        <w:ind w:left="2520" w:hanging="360"/>
      </w:pPr>
      <w:rPr>
        <w:rFonts w:ascii="Wingdings" w:hAnsi="Wingdings" w:hint="default"/>
      </w:rPr>
    </w:lvl>
    <w:lvl w:ilvl="3" w:tplc="06D0A59A">
      <w:start w:val="1"/>
      <w:numFmt w:val="bullet"/>
      <w:lvlText w:val=""/>
      <w:lvlJc w:val="left"/>
      <w:pPr>
        <w:ind w:left="3240" w:hanging="360"/>
      </w:pPr>
      <w:rPr>
        <w:rFonts w:ascii="Symbol" w:hAnsi="Symbol" w:hint="default"/>
      </w:rPr>
    </w:lvl>
    <w:lvl w:ilvl="4" w:tplc="7F38EC30">
      <w:start w:val="1"/>
      <w:numFmt w:val="bullet"/>
      <w:lvlText w:val="o"/>
      <w:lvlJc w:val="left"/>
      <w:pPr>
        <w:ind w:left="3960" w:hanging="360"/>
      </w:pPr>
      <w:rPr>
        <w:rFonts w:ascii="Courier New" w:hAnsi="Courier New" w:hint="default"/>
      </w:rPr>
    </w:lvl>
    <w:lvl w:ilvl="5" w:tplc="ABCC2406">
      <w:start w:val="1"/>
      <w:numFmt w:val="bullet"/>
      <w:lvlText w:val=""/>
      <w:lvlJc w:val="left"/>
      <w:pPr>
        <w:ind w:left="4680" w:hanging="360"/>
      </w:pPr>
      <w:rPr>
        <w:rFonts w:ascii="Wingdings" w:hAnsi="Wingdings" w:hint="default"/>
      </w:rPr>
    </w:lvl>
    <w:lvl w:ilvl="6" w:tplc="3C9EE442">
      <w:start w:val="1"/>
      <w:numFmt w:val="bullet"/>
      <w:lvlText w:val=""/>
      <w:lvlJc w:val="left"/>
      <w:pPr>
        <w:ind w:left="5400" w:hanging="360"/>
      </w:pPr>
      <w:rPr>
        <w:rFonts w:ascii="Symbol" w:hAnsi="Symbol" w:hint="default"/>
      </w:rPr>
    </w:lvl>
    <w:lvl w:ilvl="7" w:tplc="4A786B00">
      <w:start w:val="1"/>
      <w:numFmt w:val="bullet"/>
      <w:lvlText w:val="o"/>
      <w:lvlJc w:val="left"/>
      <w:pPr>
        <w:ind w:left="6120" w:hanging="360"/>
      </w:pPr>
      <w:rPr>
        <w:rFonts w:ascii="Courier New" w:hAnsi="Courier New" w:hint="default"/>
      </w:rPr>
    </w:lvl>
    <w:lvl w:ilvl="8" w:tplc="5A64357A">
      <w:start w:val="1"/>
      <w:numFmt w:val="bullet"/>
      <w:lvlText w:val=""/>
      <w:lvlJc w:val="left"/>
      <w:pPr>
        <w:ind w:left="6840" w:hanging="360"/>
      </w:pPr>
      <w:rPr>
        <w:rFonts w:ascii="Wingdings" w:hAnsi="Wingdings" w:hint="default"/>
      </w:rPr>
    </w:lvl>
  </w:abstractNum>
  <w:abstractNum w:abstractNumId="102" w15:restartNumberingAfterBreak="0">
    <w:nsid w:val="61FA0F7B"/>
    <w:multiLevelType w:val="hybridMultilevel"/>
    <w:tmpl w:val="3A5686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3" w15:restartNumberingAfterBreak="0">
    <w:nsid w:val="64247798"/>
    <w:multiLevelType w:val="hybridMultilevel"/>
    <w:tmpl w:val="CD608E7E"/>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564714C"/>
    <w:multiLevelType w:val="hybridMultilevel"/>
    <w:tmpl w:val="D1BA5890"/>
    <w:lvl w:ilvl="0" w:tplc="F010487A">
      <w:start w:val="2019"/>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3A0910"/>
    <w:multiLevelType w:val="hybridMultilevel"/>
    <w:tmpl w:val="D9EAA796"/>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6" w15:restartNumberingAfterBreak="0">
    <w:nsid w:val="669939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B6A094B"/>
    <w:multiLevelType w:val="hybridMultilevel"/>
    <w:tmpl w:val="F6AE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9C20BC"/>
    <w:multiLevelType w:val="hybridMultilevel"/>
    <w:tmpl w:val="F628F92A"/>
    <w:lvl w:ilvl="0" w:tplc="80C0AEB0">
      <w:start w:val="1"/>
      <w:numFmt w:val="decimal"/>
      <w:lvlText w:val="%1."/>
      <w:lvlJc w:val="left"/>
      <w:pPr>
        <w:ind w:left="720" w:hanging="360"/>
      </w:pPr>
    </w:lvl>
    <w:lvl w:ilvl="1" w:tplc="2736C638">
      <w:start w:val="1"/>
      <w:numFmt w:val="lowerLetter"/>
      <w:lvlText w:val="%2."/>
      <w:lvlJc w:val="left"/>
      <w:pPr>
        <w:ind w:left="1440" w:hanging="360"/>
      </w:pPr>
    </w:lvl>
    <w:lvl w:ilvl="2" w:tplc="056C43FC">
      <w:start w:val="1"/>
      <w:numFmt w:val="lowerRoman"/>
      <w:lvlText w:val="%3."/>
      <w:lvlJc w:val="right"/>
      <w:pPr>
        <w:ind w:left="2160" w:hanging="180"/>
      </w:pPr>
    </w:lvl>
    <w:lvl w:ilvl="3" w:tplc="71ECCB10">
      <w:start w:val="1"/>
      <w:numFmt w:val="decimal"/>
      <w:lvlText w:val="%4."/>
      <w:lvlJc w:val="left"/>
      <w:pPr>
        <w:ind w:left="2880" w:hanging="360"/>
      </w:pPr>
    </w:lvl>
    <w:lvl w:ilvl="4" w:tplc="C3869ED0">
      <w:start w:val="1"/>
      <w:numFmt w:val="lowerLetter"/>
      <w:lvlText w:val="%5."/>
      <w:lvlJc w:val="left"/>
      <w:pPr>
        <w:ind w:left="3600" w:hanging="360"/>
      </w:pPr>
    </w:lvl>
    <w:lvl w:ilvl="5" w:tplc="257A2CAC">
      <w:start w:val="1"/>
      <w:numFmt w:val="lowerRoman"/>
      <w:lvlText w:val="%6."/>
      <w:lvlJc w:val="right"/>
      <w:pPr>
        <w:ind w:left="4320" w:hanging="180"/>
      </w:pPr>
    </w:lvl>
    <w:lvl w:ilvl="6" w:tplc="30D6D7FE">
      <w:start w:val="1"/>
      <w:numFmt w:val="decimal"/>
      <w:lvlText w:val="%7."/>
      <w:lvlJc w:val="left"/>
      <w:pPr>
        <w:ind w:left="5040" w:hanging="360"/>
      </w:pPr>
    </w:lvl>
    <w:lvl w:ilvl="7" w:tplc="E592D1B4">
      <w:start w:val="1"/>
      <w:numFmt w:val="lowerLetter"/>
      <w:lvlText w:val="%8."/>
      <w:lvlJc w:val="left"/>
      <w:pPr>
        <w:ind w:left="5760" w:hanging="360"/>
      </w:pPr>
    </w:lvl>
    <w:lvl w:ilvl="8" w:tplc="9F0AF38A">
      <w:start w:val="1"/>
      <w:numFmt w:val="lowerRoman"/>
      <w:lvlText w:val="%9."/>
      <w:lvlJc w:val="right"/>
      <w:pPr>
        <w:ind w:left="6480" w:hanging="180"/>
      </w:pPr>
    </w:lvl>
  </w:abstractNum>
  <w:abstractNum w:abstractNumId="109" w15:restartNumberingAfterBreak="0">
    <w:nsid w:val="6CEB3DD8"/>
    <w:multiLevelType w:val="hybridMultilevel"/>
    <w:tmpl w:val="7CA06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7165F9"/>
    <w:multiLevelType w:val="hybridMultilevel"/>
    <w:tmpl w:val="7FFA35D2"/>
    <w:lvl w:ilvl="0" w:tplc="1DD013D4">
      <w:start w:val="100"/>
      <w:numFmt w:val="lowerRoman"/>
      <w:lvlText w:val="%1."/>
      <w:lvlJc w:val="right"/>
      <w:pPr>
        <w:ind w:left="720" w:hanging="360"/>
      </w:pPr>
    </w:lvl>
    <w:lvl w:ilvl="1" w:tplc="3468CC10">
      <w:start w:val="1"/>
      <w:numFmt w:val="lowerLetter"/>
      <w:lvlText w:val="%2."/>
      <w:lvlJc w:val="left"/>
      <w:pPr>
        <w:ind w:left="1440" w:hanging="360"/>
      </w:pPr>
    </w:lvl>
    <w:lvl w:ilvl="2" w:tplc="0A04A93A">
      <w:start w:val="1"/>
      <w:numFmt w:val="lowerRoman"/>
      <w:lvlText w:val="%3."/>
      <w:lvlJc w:val="right"/>
      <w:pPr>
        <w:ind w:left="2160" w:hanging="180"/>
      </w:pPr>
    </w:lvl>
    <w:lvl w:ilvl="3" w:tplc="C8E0F4F2">
      <w:start w:val="1"/>
      <w:numFmt w:val="decimal"/>
      <w:lvlText w:val="%4."/>
      <w:lvlJc w:val="left"/>
      <w:pPr>
        <w:ind w:left="2880" w:hanging="360"/>
      </w:pPr>
    </w:lvl>
    <w:lvl w:ilvl="4" w:tplc="A60A3F1A">
      <w:start w:val="1"/>
      <w:numFmt w:val="lowerLetter"/>
      <w:lvlText w:val="%5."/>
      <w:lvlJc w:val="left"/>
      <w:pPr>
        <w:ind w:left="3600" w:hanging="360"/>
      </w:pPr>
    </w:lvl>
    <w:lvl w:ilvl="5" w:tplc="5C62716C">
      <w:start w:val="1"/>
      <w:numFmt w:val="lowerRoman"/>
      <w:lvlText w:val="%6."/>
      <w:lvlJc w:val="right"/>
      <w:pPr>
        <w:ind w:left="4320" w:hanging="180"/>
      </w:pPr>
    </w:lvl>
    <w:lvl w:ilvl="6" w:tplc="D97AB370">
      <w:start w:val="1"/>
      <w:numFmt w:val="decimal"/>
      <w:lvlText w:val="%7."/>
      <w:lvlJc w:val="left"/>
      <w:pPr>
        <w:ind w:left="5040" w:hanging="360"/>
      </w:pPr>
    </w:lvl>
    <w:lvl w:ilvl="7" w:tplc="51906B48">
      <w:start w:val="1"/>
      <w:numFmt w:val="lowerLetter"/>
      <w:lvlText w:val="%8."/>
      <w:lvlJc w:val="left"/>
      <w:pPr>
        <w:ind w:left="5760" w:hanging="360"/>
      </w:pPr>
    </w:lvl>
    <w:lvl w:ilvl="8" w:tplc="1A22FC52">
      <w:start w:val="1"/>
      <w:numFmt w:val="lowerRoman"/>
      <w:lvlText w:val="%9."/>
      <w:lvlJc w:val="right"/>
      <w:pPr>
        <w:ind w:left="6480" w:hanging="180"/>
      </w:pPr>
    </w:lvl>
  </w:abstractNum>
  <w:abstractNum w:abstractNumId="111" w15:restartNumberingAfterBreak="0">
    <w:nsid w:val="6E190BF4"/>
    <w:multiLevelType w:val="hybridMultilevel"/>
    <w:tmpl w:val="76900FEA"/>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45E079B"/>
    <w:multiLevelType w:val="hybridMultilevel"/>
    <w:tmpl w:val="FFFFFFFF"/>
    <w:lvl w:ilvl="0" w:tplc="FFFFFFFF">
      <w:start w:val="1"/>
      <w:numFmt w:val="bullet"/>
      <w:lvlText w:val=""/>
      <w:lvlJc w:val="left"/>
      <w:pPr>
        <w:ind w:left="720" w:hanging="360"/>
      </w:pPr>
      <w:rPr>
        <w:rFonts w:ascii="Symbol" w:hAnsi="Symbol" w:hint="default"/>
      </w:rPr>
    </w:lvl>
    <w:lvl w:ilvl="1" w:tplc="65421776">
      <w:start w:val="1"/>
      <w:numFmt w:val="bullet"/>
      <w:lvlText w:val="o"/>
      <w:lvlJc w:val="left"/>
      <w:pPr>
        <w:ind w:left="1440" w:hanging="360"/>
      </w:pPr>
      <w:rPr>
        <w:rFonts w:ascii="Courier New" w:hAnsi="Courier New" w:hint="default"/>
      </w:rPr>
    </w:lvl>
    <w:lvl w:ilvl="2" w:tplc="756ABE60">
      <w:start w:val="1"/>
      <w:numFmt w:val="bullet"/>
      <w:lvlText w:val=""/>
      <w:lvlJc w:val="left"/>
      <w:pPr>
        <w:ind w:left="2160" w:hanging="360"/>
      </w:pPr>
      <w:rPr>
        <w:rFonts w:ascii="Wingdings" w:hAnsi="Wingdings" w:hint="default"/>
      </w:rPr>
    </w:lvl>
    <w:lvl w:ilvl="3" w:tplc="12300D52">
      <w:start w:val="1"/>
      <w:numFmt w:val="bullet"/>
      <w:lvlText w:val=""/>
      <w:lvlJc w:val="left"/>
      <w:pPr>
        <w:ind w:left="2880" w:hanging="360"/>
      </w:pPr>
      <w:rPr>
        <w:rFonts w:ascii="Symbol" w:hAnsi="Symbol" w:hint="default"/>
      </w:rPr>
    </w:lvl>
    <w:lvl w:ilvl="4" w:tplc="7144D9DA">
      <w:start w:val="1"/>
      <w:numFmt w:val="bullet"/>
      <w:lvlText w:val="o"/>
      <w:lvlJc w:val="left"/>
      <w:pPr>
        <w:ind w:left="3600" w:hanging="360"/>
      </w:pPr>
      <w:rPr>
        <w:rFonts w:ascii="Courier New" w:hAnsi="Courier New" w:hint="default"/>
      </w:rPr>
    </w:lvl>
    <w:lvl w:ilvl="5" w:tplc="18E0BE56">
      <w:start w:val="1"/>
      <w:numFmt w:val="bullet"/>
      <w:lvlText w:val=""/>
      <w:lvlJc w:val="left"/>
      <w:pPr>
        <w:ind w:left="4320" w:hanging="360"/>
      </w:pPr>
      <w:rPr>
        <w:rFonts w:ascii="Wingdings" w:hAnsi="Wingdings" w:hint="default"/>
      </w:rPr>
    </w:lvl>
    <w:lvl w:ilvl="6" w:tplc="72F8338C">
      <w:start w:val="1"/>
      <w:numFmt w:val="bullet"/>
      <w:lvlText w:val=""/>
      <w:lvlJc w:val="left"/>
      <w:pPr>
        <w:ind w:left="5040" w:hanging="360"/>
      </w:pPr>
      <w:rPr>
        <w:rFonts w:ascii="Symbol" w:hAnsi="Symbol" w:hint="default"/>
      </w:rPr>
    </w:lvl>
    <w:lvl w:ilvl="7" w:tplc="F6666FCA">
      <w:start w:val="1"/>
      <w:numFmt w:val="bullet"/>
      <w:lvlText w:val="o"/>
      <w:lvlJc w:val="left"/>
      <w:pPr>
        <w:ind w:left="5760" w:hanging="360"/>
      </w:pPr>
      <w:rPr>
        <w:rFonts w:ascii="Courier New" w:hAnsi="Courier New" w:hint="default"/>
      </w:rPr>
    </w:lvl>
    <w:lvl w:ilvl="8" w:tplc="F7806B1E">
      <w:start w:val="1"/>
      <w:numFmt w:val="bullet"/>
      <w:lvlText w:val=""/>
      <w:lvlJc w:val="left"/>
      <w:pPr>
        <w:ind w:left="6480" w:hanging="360"/>
      </w:pPr>
      <w:rPr>
        <w:rFonts w:ascii="Wingdings" w:hAnsi="Wingdings" w:hint="default"/>
      </w:rPr>
    </w:lvl>
  </w:abstractNum>
  <w:abstractNum w:abstractNumId="113" w15:restartNumberingAfterBreak="0">
    <w:nsid w:val="76CE0E05"/>
    <w:multiLevelType w:val="hybridMultilevel"/>
    <w:tmpl w:val="355C7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784F477F"/>
    <w:multiLevelType w:val="hybridMultilevel"/>
    <w:tmpl w:val="BDA4E474"/>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40687C"/>
    <w:multiLevelType w:val="hybridMultilevel"/>
    <w:tmpl w:val="FFFFFFFF"/>
    <w:lvl w:ilvl="0" w:tplc="7736F380">
      <w:start w:val="1"/>
      <w:numFmt w:val="bullet"/>
      <w:lvlText w:val=""/>
      <w:lvlJc w:val="left"/>
      <w:pPr>
        <w:ind w:left="720" w:hanging="360"/>
      </w:pPr>
      <w:rPr>
        <w:rFonts w:ascii="Symbol" w:hAnsi="Symbol" w:hint="default"/>
      </w:rPr>
    </w:lvl>
    <w:lvl w:ilvl="1" w:tplc="2340B59E">
      <w:start w:val="1"/>
      <w:numFmt w:val="bullet"/>
      <w:lvlText w:val="o"/>
      <w:lvlJc w:val="left"/>
      <w:pPr>
        <w:ind w:left="1440" w:hanging="360"/>
      </w:pPr>
      <w:rPr>
        <w:rFonts w:ascii="Courier New" w:hAnsi="Courier New" w:hint="default"/>
      </w:rPr>
    </w:lvl>
    <w:lvl w:ilvl="2" w:tplc="220CA26E">
      <w:start w:val="1"/>
      <w:numFmt w:val="bullet"/>
      <w:lvlText w:val=""/>
      <w:lvlJc w:val="left"/>
      <w:pPr>
        <w:ind w:left="2160" w:hanging="360"/>
      </w:pPr>
      <w:rPr>
        <w:rFonts w:ascii="Wingdings" w:hAnsi="Wingdings" w:hint="default"/>
      </w:rPr>
    </w:lvl>
    <w:lvl w:ilvl="3" w:tplc="E5BE5970">
      <w:start w:val="1"/>
      <w:numFmt w:val="bullet"/>
      <w:lvlText w:val=""/>
      <w:lvlJc w:val="left"/>
      <w:pPr>
        <w:ind w:left="2880" w:hanging="360"/>
      </w:pPr>
      <w:rPr>
        <w:rFonts w:ascii="Symbol" w:hAnsi="Symbol" w:hint="default"/>
      </w:rPr>
    </w:lvl>
    <w:lvl w:ilvl="4" w:tplc="91D2920A">
      <w:start w:val="1"/>
      <w:numFmt w:val="bullet"/>
      <w:lvlText w:val="o"/>
      <w:lvlJc w:val="left"/>
      <w:pPr>
        <w:ind w:left="3600" w:hanging="360"/>
      </w:pPr>
      <w:rPr>
        <w:rFonts w:ascii="Courier New" w:hAnsi="Courier New" w:hint="default"/>
      </w:rPr>
    </w:lvl>
    <w:lvl w:ilvl="5" w:tplc="1E24CFF4">
      <w:start w:val="1"/>
      <w:numFmt w:val="bullet"/>
      <w:lvlText w:val=""/>
      <w:lvlJc w:val="left"/>
      <w:pPr>
        <w:ind w:left="4320" w:hanging="360"/>
      </w:pPr>
      <w:rPr>
        <w:rFonts w:ascii="Wingdings" w:hAnsi="Wingdings" w:hint="default"/>
      </w:rPr>
    </w:lvl>
    <w:lvl w:ilvl="6" w:tplc="3FD0673E">
      <w:start w:val="1"/>
      <w:numFmt w:val="bullet"/>
      <w:lvlText w:val=""/>
      <w:lvlJc w:val="left"/>
      <w:pPr>
        <w:ind w:left="5040" w:hanging="360"/>
      </w:pPr>
      <w:rPr>
        <w:rFonts w:ascii="Symbol" w:hAnsi="Symbol" w:hint="default"/>
      </w:rPr>
    </w:lvl>
    <w:lvl w:ilvl="7" w:tplc="428A19DE">
      <w:start w:val="1"/>
      <w:numFmt w:val="bullet"/>
      <w:lvlText w:val="o"/>
      <w:lvlJc w:val="left"/>
      <w:pPr>
        <w:ind w:left="5760" w:hanging="360"/>
      </w:pPr>
      <w:rPr>
        <w:rFonts w:ascii="Courier New" w:hAnsi="Courier New" w:hint="default"/>
      </w:rPr>
    </w:lvl>
    <w:lvl w:ilvl="8" w:tplc="E2185166">
      <w:start w:val="1"/>
      <w:numFmt w:val="bullet"/>
      <w:lvlText w:val=""/>
      <w:lvlJc w:val="left"/>
      <w:pPr>
        <w:ind w:left="6480" w:hanging="360"/>
      </w:pPr>
      <w:rPr>
        <w:rFonts w:ascii="Wingdings" w:hAnsi="Wingdings" w:hint="default"/>
      </w:rPr>
    </w:lvl>
  </w:abstractNum>
  <w:abstractNum w:abstractNumId="116" w15:restartNumberingAfterBreak="0">
    <w:nsid w:val="796F6C0D"/>
    <w:multiLevelType w:val="hybridMultilevel"/>
    <w:tmpl w:val="E2EE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4B6827"/>
    <w:multiLevelType w:val="hybridMultilevel"/>
    <w:tmpl w:val="D1288FD4"/>
    <w:lvl w:ilvl="0" w:tplc="57B2D9BA">
      <w:start w:val="1"/>
      <w:numFmt w:val="bullet"/>
      <w:lvlText w:val=""/>
      <w:lvlJc w:val="left"/>
      <w:pPr>
        <w:ind w:left="720" w:hanging="360"/>
      </w:pPr>
      <w:rPr>
        <w:rFonts w:ascii="Symbol" w:hAnsi="Symbol" w:hint="default"/>
      </w:rPr>
    </w:lvl>
    <w:lvl w:ilvl="1" w:tplc="6C94E2F6">
      <w:start w:val="1"/>
      <w:numFmt w:val="bullet"/>
      <w:lvlText w:val="o"/>
      <w:lvlJc w:val="left"/>
      <w:pPr>
        <w:ind w:left="1440" w:hanging="360"/>
      </w:pPr>
      <w:rPr>
        <w:rFonts w:ascii="Courier New" w:hAnsi="Courier New" w:hint="default"/>
      </w:rPr>
    </w:lvl>
    <w:lvl w:ilvl="2" w:tplc="8DA45730">
      <w:start w:val="1"/>
      <w:numFmt w:val="bullet"/>
      <w:lvlText w:val=""/>
      <w:lvlJc w:val="left"/>
      <w:pPr>
        <w:ind w:left="2160" w:hanging="360"/>
      </w:pPr>
      <w:rPr>
        <w:rFonts w:ascii="Wingdings" w:hAnsi="Wingdings" w:hint="default"/>
      </w:rPr>
    </w:lvl>
    <w:lvl w:ilvl="3" w:tplc="42984A36">
      <w:start w:val="1"/>
      <w:numFmt w:val="bullet"/>
      <w:lvlText w:val=""/>
      <w:lvlJc w:val="left"/>
      <w:pPr>
        <w:ind w:left="2880" w:hanging="360"/>
      </w:pPr>
      <w:rPr>
        <w:rFonts w:ascii="Symbol" w:hAnsi="Symbol" w:hint="default"/>
      </w:rPr>
    </w:lvl>
    <w:lvl w:ilvl="4" w:tplc="77A44C60">
      <w:start w:val="1"/>
      <w:numFmt w:val="bullet"/>
      <w:lvlText w:val="o"/>
      <w:lvlJc w:val="left"/>
      <w:pPr>
        <w:ind w:left="3600" w:hanging="360"/>
      </w:pPr>
      <w:rPr>
        <w:rFonts w:ascii="Courier New" w:hAnsi="Courier New" w:hint="default"/>
      </w:rPr>
    </w:lvl>
    <w:lvl w:ilvl="5" w:tplc="771CFCBA">
      <w:start w:val="1"/>
      <w:numFmt w:val="bullet"/>
      <w:lvlText w:val=""/>
      <w:lvlJc w:val="left"/>
      <w:pPr>
        <w:ind w:left="4320" w:hanging="360"/>
      </w:pPr>
      <w:rPr>
        <w:rFonts w:ascii="Wingdings" w:hAnsi="Wingdings" w:hint="default"/>
      </w:rPr>
    </w:lvl>
    <w:lvl w:ilvl="6" w:tplc="FBD23890">
      <w:start w:val="1"/>
      <w:numFmt w:val="bullet"/>
      <w:lvlText w:val=""/>
      <w:lvlJc w:val="left"/>
      <w:pPr>
        <w:ind w:left="5040" w:hanging="360"/>
      </w:pPr>
      <w:rPr>
        <w:rFonts w:ascii="Symbol" w:hAnsi="Symbol" w:hint="default"/>
      </w:rPr>
    </w:lvl>
    <w:lvl w:ilvl="7" w:tplc="7CB24C1E">
      <w:start w:val="1"/>
      <w:numFmt w:val="bullet"/>
      <w:lvlText w:val="o"/>
      <w:lvlJc w:val="left"/>
      <w:pPr>
        <w:ind w:left="5760" w:hanging="360"/>
      </w:pPr>
      <w:rPr>
        <w:rFonts w:ascii="Courier New" w:hAnsi="Courier New" w:hint="default"/>
      </w:rPr>
    </w:lvl>
    <w:lvl w:ilvl="8" w:tplc="70864FFC">
      <w:start w:val="1"/>
      <w:numFmt w:val="bullet"/>
      <w:lvlText w:val=""/>
      <w:lvlJc w:val="left"/>
      <w:pPr>
        <w:ind w:left="6480" w:hanging="360"/>
      </w:pPr>
      <w:rPr>
        <w:rFonts w:ascii="Wingdings" w:hAnsi="Wingdings" w:hint="default"/>
      </w:rPr>
    </w:lvl>
  </w:abstractNum>
  <w:abstractNum w:abstractNumId="118" w15:restartNumberingAfterBreak="0">
    <w:nsid w:val="7A8109DD"/>
    <w:multiLevelType w:val="hybridMultilevel"/>
    <w:tmpl w:val="315A8EC2"/>
    <w:lvl w:ilvl="0" w:tplc="22D80EE0">
      <w:start w:val="1"/>
      <w:numFmt w:val="bullet"/>
      <w:lvlText w:val=""/>
      <w:lvlJc w:val="left"/>
      <w:pPr>
        <w:ind w:left="720" w:hanging="360"/>
      </w:pPr>
      <w:rPr>
        <w:rFonts w:ascii="Symbol" w:hAnsi="Symbol" w:hint="default"/>
      </w:rPr>
    </w:lvl>
    <w:lvl w:ilvl="1" w:tplc="21AE69D2">
      <w:start w:val="1"/>
      <w:numFmt w:val="bullet"/>
      <w:lvlText w:val="o"/>
      <w:lvlJc w:val="left"/>
      <w:pPr>
        <w:ind w:left="1440" w:hanging="360"/>
      </w:pPr>
      <w:rPr>
        <w:rFonts w:ascii="Courier New" w:hAnsi="Courier New" w:hint="default"/>
      </w:rPr>
    </w:lvl>
    <w:lvl w:ilvl="2" w:tplc="3CDE7DB4">
      <w:start w:val="1"/>
      <w:numFmt w:val="bullet"/>
      <w:lvlText w:val=""/>
      <w:lvlJc w:val="left"/>
      <w:pPr>
        <w:ind w:left="2160" w:hanging="360"/>
      </w:pPr>
      <w:rPr>
        <w:rFonts w:ascii="Wingdings" w:hAnsi="Wingdings" w:hint="default"/>
      </w:rPr>
    </w:lvl>
    <w:lvl w:ilvl="3" w:tplc="E26E2616">
      <w:start w:val="1"/>
      <w:numFmt w:val="bullet"/>
      <w:lvlText w:val=""/>
      <w:lvlJc w:val="left"/>
      <w:pPr>
        <w:ind w:left="2880" w:hanging="360"/>
      </w:pPr>
      <w:rPr>
        <w:rFonts w:ascii="Symbol" w:hAnsi="Symbol" w:hint="default"/>
      </w:rPr>
    </w:lvl>
    <w:lvl w:ilvl="4" w:tplc="8B02632E">
      <w:start w:val="1"/>
      <w:numFmt w:val="bullet"/>
      <w:lvlText w:val="o"/>
      <w:lvlJc w:val="left"/>
      <w:pPr>
        <w:ind w:left="3600" w:hanging="360"/>
      </w:pPr>
      <w:rPr>
        <w:rFonts w:ascii="Courier New" w:hAnsi="Courier New" w:hint="default"/>
      </w:rPr>
    </w:lvl>
    <w:lvl w:ilvl="5" w:tplc="6D445094">
      <w:start w:val="1"/>
      <w:numFmt w:val="bullet"/>
      <w:lvlText w:val=""/>
      <w:lvlJc w:val="left"/>
      <w:pPr>
        <w:ind w:left="4320" w:hanging="360"/>
      </w:pPr>
      <w:rPr>
        <w:rFonts w:ascii="Wingdings" w:hAnsi="Wingdings" w:hint="default"/>
      </w:rPr>
    </w:lvl>
    <w:lvl w:ilvl="6" w:tplc="9DA44468">
      <w:start w:val="1"/>
      <w:numFmt w:val="bullet"/>
      <w:lvlText w:val=""/>
      <w:lvlJc w:val="left"/>
      <w:pPr>
        <w:ind w:left="5040" w:hanging="360"/>
      </w:pPr>
      <w:rPr>
        <w:rFonts w:ascii="Symbol" w:hAnsi="Symbol" w:hint="default"/>
      </w:rPr>
    </w:lvl>
    <w:lvl w:ilvl="7" w:tplc="D8AE0864">
      <w:start w:val="1"/>
      <w:numFmt w:val="bullet"/>
      <w:lvlText w:val="o"/>
      <w:lvlJc w:val="left"/>
      <w:pPr>
        <w:ind w:left="5760" w:hanging="360"/>
      </w:pPr>
      <w:rPr>
        <w:rFonts w:ascii="Courier New" w:hAnsi="Courier New" w:hint="default"/>
      </w:rPr>
    </w:lvl>
    <w:lvl w:ilvl="8" w:tplc="2230F7D8">
      <w:start w:val="1"/>
      <w:numFmt w:val="bullet"/>
      <w:lvlText w:val=""/>
      <w:lvlJc w:val="left"/>
      <w:pPr>
        <w:ind w:left="6480" w:hanging="360"/>
      </w:pPr>
      <w:rPr>
        <w:rFonts w:ascii="Wingdings" w:hAnsi="Wingdings" w:hint="default"/>
      </w:rPr>
    </w:lvl>
  </w:abstractNum>
  <w:abstractNum w:abstractNumId="119" w15:restartNumberingAfterBreak="0">
    <w:nsid w:val="7BE55A1C"/>
    <w:multiLevelType w:val="hybridMultilevel"/>
    <w:tmpl w:val="69BA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EA265E"/>
    <w:multiLevelType w:val="hybridMultilevel"/>
    <w:tmpl w:val="FFFFFFFF"/>
    <w:lvl w:ilvl="0" w:tplc="3B44FE78">
      <w:start w:val="1"/>
      <w:numFmt w:val="bullet"/>
      <w:lvlText w:val=""/>
      <w:lvlJc w:val="left"/>
      <w:pPr>
        <w:ind w:left="720" w:hanging="360"/>
      </w:pPr>
      <w:rPr>
        <w:rFonts w:ascii="Symbol" w:hAnsi="Symbol" w:hint="default"/>
      </w:rPr>
    </w:lvl>
    <w:lvl w:ilvl="1" w:tplc="FB86FD78">
      <w:start w:val="1"/>
      <w:numFmt w:val="bullet"/>
      <w:lvlText w:val="o"/>
      <w:lvlJc w:val="left"/>
      <w:pPr>
        <w:ind w:left="1440" w:hanging="360"/>
      </w:pPr>
      <w:rPr>
        <w:rFonts w:ascii="Courier New" w:hAnsi="Courier New" w:hint="default"/>
      </w:rPr>
    </w:lvl>
    <w:lvl w:ilvl="2" w:tplc="77322188">
      <w:start w:val="1"/>
      <w:numFmt w:val="bullet"/>
      <w:lvlText w:val=""/>
      <w:lvlJc w:val="left"/>
      <w:pPr>
        <w:ind w:left="2160" w:hanging="360"/>
      </w:pPr>
      <w:rPr>
        <w:rFonts w:ascii="Wingdings" w:hAnsi="Wingdings" w:hint="default"/>
      </w:rPr>
    </w:lvl>
    <w:lvl w:ilvl="3" w:tplc="CA0A594E">
      <w:start w:val="1"/>
      <w:numFmt w:val="bullet"/>
      <w:lvlText w:val=""/>
      <w:lvlJc w:val="left"/>
      <w:pPr>
        <w:ind w:left="2880" w:hanging="360"/>
      </w:pPr>
      <w:rPr>
        <w:rFonts w:ascii="Symbol" w:hAnsi="Symbol" w:hint="default"/>
      </w:rPr>
    </w:lvl>
    <w:lvl w:ilvl="4" w:tplc="746CED3A">
      <w:start w:val="1"/>
      <w:numFmt w:val="bullet"/>
      <w:lvlText w:val="o"/>
      <w:lvlJc w:val="left"/>
      <w:pPr>
        <w:ind w:left="3600" w:hanging="360"/>
      </w:pPr>
      <w:rPr>
        <w:rFonts w:ascii="Courier New" w:hAnsi="Courier New" w:hint="default"/>
      </w:rPr>
    </w:lvl>
    <w:lvl w:ilvl="5" w:tplc="8CA04F84">
      <w:start w:val="1"/>
      <w:numFmt w:val="bullet"/>
      <w:lvlText w:val=""/>
      <w:lvlJc w:val="left"/>
      <w:pPr>
        <w:ind w:left="4320" w:hanging="360"/>
      </w:pPr>
      <w:rPr>
        <w:rFonts w:ascii="Wingdings" w:hAnsi="Wingdings" w:hint="default"/>
      </w:rPr>
    </w:lvl>
    <w:lvl w:ilvl="6" w:tplc="ECF40A5A">
      <w:start w:val="1"/>
      <w:numFmt w:val="bullet"/>
      <w:lvlText w:val=""/>
      <w:lvlJc w:val="left"/>
      <w:pPr>
        <w:ind w:left="5040" w:hanging="360"/>
      </w:pPr>
      <w:rPr>
        <w:rFonts w:ascii="Symbol" w:hAnsi="Symbol" w:hint="default"/>
      </w:rPr>
    </w:lvl>
    <w:lvl w:ilvl="7" w:tplc="79B48106">
      <w:start w:val="1"/>
      <w:numFmt w:val="bullet"/>
      <w:lvlText w:val="o"/>
      <w:lvlJc w:val="left"/>
      <w:pPr>
        <w:ind w:left="5760" w:hanging="360"/>
      </w:pPr>
      <w:rPr>
        <w:rFonts w:ascii="Courier New" w:hAnsi="Courier New" w:hint="default"/>
      </w:rPr>
    </w:lvl>
    <w:lvl w:ilvl="8" w:tplc="2D662E9A">
      <w:start w:val="1"/>
      <w:numFmt w:val="bullet"/>
      <w:lvlText w:val=""/>
      <w:lvlJc w:val="left"/>
      <w:pPr>
        <w:ind w:left="6480" w:hanging="360"/>
      </w:pPr>
      <w:rPr>
        <w:rFonts w:ascii="Wingdings" w:hAnsi="Wingdings" w:hint="default"/>
      </w:rPr>
    </w:lvl>
  </w:abstractNum>
  <w:abstractNum w:abstractNumId="121" w15:restartNumberingAfterBreak="0">
    <w:nsid w:val="7C1510A8"/>
    <w:multiLevelType w:val="hybridMultilevel"/>
    <w:tmpl w:val="FFFFFFFF"/>
    <w:lvl w:ilvl="0" w:tplc="FFFFFFFF">
      <w:start w:val="1"/>
      <w:numFmt w:val="bullet"/>
      <w:lvlText w:val=""/>
      <w:lvlJc w:val="left"/>
      <w:pPr>
        <w:ind w:left="720" w:hanging="360"/>
      </w:pPr>
    </w:lvl>
    <w:lvl w:ilvl="1" w:tplc="F54AA950">
      <w:start w:val="1"/>
      <w:numFmt w:val="lowerLetter"/>
      <w:lvlText w:val="%2."/>
      <w:lvlJc w:val="left"/>
      <w:pPr>
        <w:ind w:left="1440" w:hanging="360"/>
      </w:pPr>
    </w:lvl>
    <w:lvl w:ilvl="2" w:tplc="D0EA500C">
      <w:start w:val="1"/>
      <w:numFmt w:val="lowerRoman"/>
      <w:lvlText w:val="%3."/>
      <w:lvlJc w:val="right"/>
      <w:pPr>
        <w:ind w:left="2160" w:hanging="180"/>
      </w:pPr>
    </w:lvl>
    <w:lvl w:ilvl="3" w:tplc="734C92B8">
      <w:start w:val="1"/>
      <w:numFmt w:val="decimal"/>
      <w:lvlText w:val="%4."/>
      <w:lvlJc w:val="left"/>
      <w:pPr>
        <w:ind w:left="2880" w:hanging="360"/>
      </w:pPr>
    </w:lvl>
    <w:lvl w:ilvl="4" w:tplc="4800BEA6">
      <w:start w:val="1"/>
      <w:numFmt w:val="lowerLetter"/>
      <w:lvlText w:val="%5."/>
      <w:lvlJc w:val="left"/>
      <w:pPr>
        <w:ind w:left="3600" w:hanging="360"/>
      </w:pPr>
    </w:lvl>
    <w:lvl w:ilvl="5" w:tplc="84366C1C">
      <w:start w:val="1"/>
      <w:numFmt w:val="lowerRoman"/>
      <w:lvlText w:val="%6."/>
      <w:lvlJc w:val="right"/>
      <w:pPr>
        <w:ind w:left="4320" w:hanging="180"/>
      </w:pPr>
    </w:lvl>
    <w:lvl w:ilvl="6" w:tplc="D3061E3C">
      <w:start w:val="1"/>
      <w:numFmt w:val="decimal"/>
      <w:lvlText w:val="%7."/>
      <w:lvlJc w:val="left"/>
      <w:pPr>
        <w:ind w:left="5040" w:hanging="360"/>
      </w:pPr>
    </w:lvl>
    <w:lvl w:ilvl="7" w:tplc="2A126AD0">
      <w:start w:val="1"/>
      <w:numFmt w:val="lowerLetter"/>
      <w:lvlText w:val="%8."/>
      <w:lvlJc w:val="left"/>
      <w:pPr>
        <w:ind w:left="5760" w:hanging="360"/>
      </w:pPr>
    </w:lvl>
    <w:lvl w:ilvl="8" w:tplc="38BCF3D2">
      <w:start w:val="1"/>
      <w:numFmt w:val="lowerRoman"/>
      <w:lvlText w:val="%9."/>
      <w:lvlJc w:val="right"/>
      <w:pPr>
        <w:ind w:left="6480" w:hanging="180"/>
      </w:pPr>
    </w:lvl>
  </w:abstractNum>
  <w:abstractNum w:abstractNumId="122" w15:restartNumberingAfterBreak="0">
    <w:nsid w:val="7D853004"/>
    <w:multiLevelType w:val="hybridMultilevel"/>
    <w:tmpl w:val="84E4B388"/>
    <w:lvl w:ilvl="0" w:tplc="FCE8FC4A">
      <w:start w:val="1"/>
      <w:numFmt w:val="bullet"/>
      <w:lvlText w:val=""/>
      <w:lvlJc w:val="left"/>
      <w:pPr>
        <w:ind w:left="720" w:hanging="360"/>
      </w:pPr>
      <w:rPr>
        <w:rFonts w:ascii="Symbol" w:hAnsi="Symbol" w:hint="default"/>
      </w:rPr>
    </w:lvl>
    <w:lvl w:ilvl="1" w:tplc="26644F14">
      <w:start w:val="1"/>
      <w:numFmt w:val="bullet"/>
      <w:lvlText w:val="o"/>
      <w:lvlJc w:val="left"/>
      <w:pPr>
        <w:ind w:left="1440" w:hanging="360"/>
      </w:pPr>
      <w:rPr>
        <w:rFonts w:ascii="Courier New" w:hAnsi="Courier New" w:hint="default"/>
      </w:rPr>
    </w:lvl>
    <w:lvl w:ilvl="2" w:tplc="1CB6C256">
      <w:start w:val="1"/>
      <w:numFmt w:val="bullet"/>
      <w:lvlText w:val=""/>
      <w:lvlJc w:val="left"/>
      <w:pPr>
        <w:ind w:left="2160" w:hanging="360"/>
      </w:pPr>
      <w:rPr>
        <w:rFonts w:ascii="Wingdings" w:hAnsi="Wingdings" w:hint="default"/>
      </w:rPr>
    </w:lvl>
    <w:lvl w:ilvl="3" w:tplc="DEA615E4">
      <w:start w:val="1"/>
      <w:numFmt w:val="bullet"/>
      <w:lvlText w:val=""/>
      <w:lvlJc w:val="left"/>
      <w:pPr>
        <w:ind w:left="2880" w:hanging="360"/>
      </w:pPr>
      <w:rPr>
        <w:rFonts w:ascii="Symbol" w:hAnsi="Symbol" w:hint="default"/>
      </w:rPr>
    </w:lvl>
    <w:lvl w:ilvl="4" w:tplc="306AD6A0">
      <w:start w:val="1"/>
      <w:numFmt w:val="bullet"/>
      <w:lvlText w:val="o"/>
      <w:lvlJc w:val="left"/>
      <w:pPr>
        <w:ind w:left="3600" w:hanging="360"/>
      </w:pPr>
      <w:rPr>
        <w:rFonts w:ascii="Courier New" w:hAnsi="Courier New" w:hint="default"/>
      </w:rPr>
    </w:lvl>
    <w:lvl w:ilvl="5" w:tplc="6F8A86FC">
      <w:start w:val="1"/>
      <w:numFmt w:val="bullet"/>
      <w:lvlText w:val=""/>
      <w:lvlJc w:val="left"/>
      <w:pPr>
        <w:ind w:left="4320" w:hanging="360"/>
      </w:pPr>
      <w:rPr>
        <w:rFonts w:ascii="Wingdings" w:hAnsi="Wingdings" w:hint="default"/>
      </w:rPr>
    </w:lvl>
    <w:lvl w:ilvl="6" w:tplc="12A2535C">
      <w:start w:val="1"/>
      <w:numFmt w:val="bullet"/>
      <w:lvlText w:val=""/>
      <w:lvlJc w:val="left"/>
      <w:pPr>
        <w:ind w:left="5040" w:hanging="360"/>
      </w:pPr>
      <w:rPr>
        <w:rFonts w:ascii="Symbol" w:hAnsi="Symbol" w:hint="default"/>
      </w:rPr>
    </w:lvl>
    <w:lvl w:ilvl="7" w:tplc="4C0CEDD2">
      <w:start w:val="1"/>
      <w:numFmt w:val="bullet"/>
      <w:lvlText w:val="o"/>
      <w:lvlJc w:val="left"/>
      <w:pPr>
        <w:ind w:left="5760" w:hanging="360"/>
      </w:pPr>
      <w:rPr>
        <w:rFonts w:ascii="Courier New" w:hAnsi="Courier New" w:hint="default"/>
      </w:rPr>
    </w:lvl>
    <w:lvl w:ilvl="8" w:tplc="13E22028">
      <w:start w:val="1"/>
      <w:numFmt w:val="bullet"/>
      <w:lvlText w:val=""/>
      <w:lvlJc w:val="left"/>
      <w:pPr>
        <w:ind w:left="6480" w:hanging="360"/>
      </w:pPr>
      <w:rPr>
        <w:rFonts w:ascii="Wingdings" w:hAnsi="Wingdings" w:hint="default"/>
      </w:rPr>
    </w:lvl>
  </w:abstractNum>
  <w:abstractNum w:abstractNumId="123" w15:restartNumberingAfterBreak="0">
    <w:nsid w:val="7DF572CD"/>
    <w:multiLevelType w:val="hybridMultilevel"/>
    <w:tmpl w:val="F796C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F1F2BA3"/>
    <w:multiLevelType w:val="hybridMultilevel"/>
    <w:tmpl w:val="8D4C1798"/>
    <w:lvl w:ilvl="0" w:tplc="784C9E78">
      <w:start w:val="1"/>
      <w:numFmt w:val="lowerLetter"/>
      <w:lvlText w:val="%1."/>
      <w:lvlJc w:val="left"/>
      <w:pPr>
        <w:ind w:left="720" w:hanging="360"/>
      </w:pPr>
    </w:lvl>
    <w:lvl w:ilvl="1" w:tplc="046E6FC8">
      <w:start w:val="1"/>
      <w:numFmt w:val="lowerLetter"/>
      <w:lvlText w:val="%2."/>
      <w:lvlJc w:val="left"/>
      <w:pPr>
        <w:ind w:left="1440" w:hanging="360"/>
      </w:pPr>
    </w:lvl>
    <w:lvl w:ilvl="2" w:tplc="D26E69DC">
      <w:start w:val="1"/>
      <w:numFmt w:val="lowerRoman"/>
      <w:lvlText w:val="%3."/>
      <w:lvlJc w:val="right"/>
      <w:pPr>
        <w:ind w:left="2160" w:hanging="180"/>
      </w:pPr>
    </w:lvl>
    <w:lvl w:ilvl="3" w:tplc="949E1A80">
      <w:start w:val="1"/>
      <w:numFmt w:val="decimal"/>
      <w:lvlText w:val="%4."/>
      <w:lvlJc w:val="left"/>
      <w:pPr>
        <w:ind w:left="2880" w:hanging="360"/>
      </w:pPr>
    </w:lvl>
    <w:lvl w:ilvl="4" w:tplc="0BDA2E14">
      <w:start w:val="1"/>
      <w:numFmt w:val="lowerLetter"/>
      <w:lvlText w:val="%5."/>
      <w:lvlJc w:val="left"/>
      <w:pPr>
        <w:ind w:left="3600" w:hanging="360"/>
      </w:pPr>
    </w:lvl>
    <w:lvl w:ilvl="5" w:tplc="0686C4EC">
      <w:start w:val="1"/>
      <w:numFmt w:val="lowerRoman"/>
      <w:lvlText w:val="%6."/>
      <w:lvlJc w:val="right"/>
      <w:pPr>
        <w:ind w:left="4320" w:hanging="180"/>
      </w:pPr>
    </w:lvl>
    <w:lvl w:ilvl="6" w:tplc="11E4992C">
      <w:start w:val="1"/>
      <w:numFmt w:val="decimal"/>
      <w:lvlText w:val="%7."/>
      <w:lvlJc w:val="left"/>
      <w:pPr>
        <w:ind w:left="5040" w:hanging="360"/>
      </w:pPr>
    </w:lvl>
    <w:lvl w:ilvl="7" w:tplc="B8A2A9CE">
      <w:start w:val="1"/>
      <w:numFmt w:val="lowerLetter"/>
      <w:lvlText w:val="%8."/>
      <w:lvlJc w:val="left"/>
      <w:pPr>
        <w:ind w:left="5760" w:hanging="360"/>
      </w:pPr>
    </w:lvl>
    <w:lvl w:ilvl="8" w:tplc="DE12EAB4">
      <w:start w:val="1"/>
      <w:numFmt w:val="lowerRoman"/>
      <w:lvlText w:val="%9."/>
      <w:lvlJc w:val="right"/>
      <w:pPr>
        <w:ind w:left="6480" w:hanging="180"/>
      </w:pPr>
    </w:lvl>
  </w:abstractNum>
  <w:num w:numId="1">
    <w:abstractNumId w:val="27"/>
  </w:num>
  <w:num w:numId="2">
    <w:abstractNumId w:val="97"/>
  </w:num>
  <w:num w:numId="3">
    <w:abstractNumId w:val="48"/>
  </w:num>
  <w:num w:numId="4">
    <w:abstractNumId w:val="117"/>
  </w:num>
  <w:num w:numId="5">
    <w:abstractNumId w:val="108"/>
  </w:num>
  <w:num w:numId="6">
    <w:abstractNumId w:val="32"/>
  </w:num>
  <w:num w:numId="7">
    <w:abstractNumId w:val="37"/>
  </w:num>
  <w:num w:numId="8">
    <w:abstractNumId w:val="12"/>
  </w:num>
  <w:num w:numId="9">
    <w:abstractNumId w:val="20"/>
  </w:num>
  <w:num w:numId="10">
    <w:abstractNumId w:val="61"/>
  </w:num>
  <w:num w:numId="11">
    <w:abstractNumId w:val="112"/>
  </w:num>
  <w:num w:numId="12">
    <w:abstractNumId w:val="94"/>
  </w:num>
  <w:num w:numId="13">
    <w:abstractNumId w:val="46"/>
  </w:num>
  <w:num w:numId="14">
    <w:abstractNumId w:val="89"/>
  </w:num>
  <w:num w:numId="15">
    <w:abstractNumId w:val="5"/>
  </w:num>
  <w:num w:numId="16">
    <w:abstractNumId w:val="65"/>
  </w:num>
  <w:num w:numId="17">
    <w:abstractNumId w:val="96"/>
  </w:num>
  <w:num w:numId="18">
    <w:abstractNumId w:val="67"/>
  </w:num>
  <w:num w:numId="19">
    <w:abstractNumId w:val="76"/>
  </w:num>
  <w:num w:numId="20">
    <w:abstractNumId w:val="118"/>
  </w:num>
  <w:num w:numId="21">
    <w:abstractNumId w:val="17"/>
  </w:num>
  <w:num w:numId="22">
    <w:abstractNumId w:val="10"/>
  </w:num>
  <w:num w:numId="23">
    <w:abstractNumId w:val="64"/>
  </w:num>
  <w:num w:numId="24">
    <w:abstractNumId w:val="25"/>
  </w:num>
  <w:num w:numId="25">
    <w:abstractNumId w:val="50"/>
  </w:num>
  <w:num w:numId="26">
    <w:abstractNumId w:val="93"/>
  </w:num>
  <w:num w:numId="27">
    <w:abstractNumId w:val="105"/>
  </w:num>
  <w:num w:numId="28">
    <w:abstractNumId w:val="56"/>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54"/>
  </w:num>
  <w:num w:numId="36">
    <w:abstractNumId w:val="102"/>
  </w:num>
  <w:num w:numId="37">
    <w:abstractNumId w:val="116"/>
  </w:num>
  <w:num w:numId="38">
    <w:abstractNumId w:val="17"/>
  </w:num>
  <w:num w:numId="39">
    <w:abstractNumId w:val="52"/>
  </w:num>
  <w:num w:numId="40">
    <w:abstractNumId w:val="53"/>
  </w:num>
  <w:num w:numId="41">
    <w:abstractNumId w:val="98"/>
  </w:num>
  <w:num w:numId="42">
    <w:abstractNumId w:val="2"/>
  </w:num>
  <w:num w:numId="43">
    <w:abstractNumId w:val="111"/>
  </w:num>
  <w:num w:numId="44">
    <w:abstractNumId w:val="23"/>
  </w:num>
  <w:num w:numId="45">
    <w:abstractNumId w:val="62"/>
  </w:num>
  <w:num w:numId="46">
    <w:abstractNumId w:val="49"/>
  </w:num>
  <w:num w:numId="47">
    <w:abstractNumId w:val="104"/>
  </w:num>
  <w:num w:numId="48">
    <w:abstractNumId w:val="60"/>
  </w:num>
  <w:num w:numId="49">
    <w:abstractNumId w:val="60"/>
    <w:lvlOverride w:ilvl="0">
      <w:startOverride w:val="1"/>
    </w:lvlOverride>
  </w:num>
  <w:num w:numId="50">
    <w:abstractNumId w:val="60"/>
    <w:lvlOverride w:ilvl="0">
      <w:startOverride w:val="1"/>
    </w:lvlOverride>
  </w:num>
  <w:num w:numId="51">
    <w:abstractNumId w:val="60"/>
    <w:lvlOverride w:ilvl="0">
      <w:startOverride w:val="1"/>
    </w:lvlOverride>
  </w:num>
  <w:num w:numId="52">
    <w:abstractNumId w:val="99"/>
  </w:num>
  <w:num w:numId="53">
    <w:abstractNumId w:val="60"/>
  </w:num>
  <w:num w:numId="54">
    <w:abstractNumId w:val="60"/>
  </w:num>
  <w:num w:numId="55">
    <w:abstractNumId w:val="17"/>
  </w:num>
  <w:num w:numId="56">
    <w:abstractNumId w:val="17"/>
  </w:num>
  <w:num w:numId="57">
    <w:abstractNumId w:val="28"/>
  </w:num>
  <w:num w:numId="58">
    <w:abstractNumId w:val="17"/>
  </w:num>
  <w:num w:numId="59">
    <w:abstractNumId w:val="3"/>
  </w:num>
  <w:num w:numId="60">
    <w:abstractNumId w:val="1"/>
  </w:num>
  <w:num w:numId="61">
    <w:abstractNumId w:val="107"/>
  </w:num>
  <w:num w:numId="62">
    <w:abstractNumId w:val="16"/>
  </w:num>
  <w:num w:numId="63">
    <w:abstractNumId w:val="114"/>
  </w:num>
  <w:num w:numId="6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0"/>
  </w:num>
  <w:num w:numId="66">
    <w:abstractNumId w:val="113"/>
  </w:num>
  <w:num w:numId="67">
    <w:abstractNumId w:val="75"/>
  </w:num>
  <w:num w:numId="68">
    <w:abstractNumId w:val="92"/>
  </w:num>
  <w:num w:numId="69">
    <w:abstractNumId w:val="58"/>
  </w:num>
  <w:num w:numId="70">
    <w:abstractNumId w:val="81"/>
  </w:num>
  <w:num w:numId="71">
    <w:abstractNumId w:val="85"/>
  </w:num>
  <w:num w:numId="72">
    <w:abstractNumId w:val="57"/>
  </w:num>
  <w:num w:numId="73">
    <w:abstractNumId w:val="43"/>
  </w:num>
  <w:num w:numId="74">
    <w:abstractNumId w:val="74"/>
  </w:num>
  <w:num w:numId="75">
    <w:abstractNumId w:val="95"/>
  </w:num>
  <w:num w:numId="76">
    <w:abstractNumId w:val="34"/>
  </w:num>
  <w:num w:numId="77">
    <w:abstractNumId w:val="103"/>
  </w:num>
  <w:num w:numId="78">
    <w:abstractNumId w:val="13"/>
  </w:num>
  <w:num w:numId="79">
    <w:abstractNumId w:val="45"/>
  </w:num>
  <w:num w:numId="80">
    <w:abstractNumId w:val="17"/>
    <w:lvlOverride w:ilvl="0">
      <w:lvl w:ilvl="0" w:tplc="CBBA4978">
        <w:numFmt w:val="decimal"/>
        <w:lvlText w:val="%1."/>
        <w:lvlJc w:val="left"/>
        <w:pPr>
          <w:ind w:left="360" w:hanging="360"/>
        </w:pPr>
        <w:rPr>
          <w:rFonts w:hint="default"/>
        </w:rPr>
      </w:lvl>
    </w:lvlOverride>
    <w:lvlOverride w:ilvl="1">
      <w:lvl w:ilvl="1" w:tplc="CC7653A0">
        <w:start w:val="1"/>
        <w:numFmt w:val="decimal"/>
        <w:lvlText w:val="%1.%2."/>
        <w:lvlJc w:val="left"/>
        <w:pPr>
          <w:ind w:left="1080" w:hanging="360"/>
        </w:pPr>
        <w:rPr>
          <w:rFonts w:hint="default"/>
          <w:i w:val="0"/>
        </w:rPr>
      </w:lvl>
    </w:lvlOverride>
    <w:lvlOverride w:ilvl="2">
      <w:lvl w:ilvl="2" w:tplc="A4501B6C">
        <w:start w:val="1"/>
        <w:numFmt w:val="lowerRoman"/>
        <w:lvlText w:val="%3."/>
        <w:lvlJc w:val="right"/>
        <w:pPr>
          <w:ind w:left="1800" w:hanging="180"/>
        </w:pPr>
        <w:rPr>
          <w:rFonts w:hint="default"/>
        </w:rPr>
      </w:lvl>
    </w:lvlOverride>
    <w:lvlOverride w:ilvl="3">
      <w:lvl w:ilvl="3" w:tplc="436CDC16">
        <w:start w:val="1"/>
        <w:numFmt w:val="decimal"/>
        <w:lvlText w:val="%4."/>
        <w:lvlJc w:val="left"/>
        <w:pPr>
          <w:ind w:left="2520" w:hanging="360"/>
        </w:pPr>
        <w:rPr>
          <w:rFonts w:hint="default"/>
        </w:rPr>
      </w:lvl>
    </w:lvlOverride>
    <w:lvlOverride w:ilvl="4">
      <w:lvl w:ilvl="4" w:tplc="EAE01EB2">
        <w:start w:val="1"/>
        <w:numFmt w:val="lowerLetter"/>
        <w:lvlText w:val="%5."/>
        <w:lvlJc w:val="left"/>
        <w:pPr>
          <w:ind w:left="3240" w:hanging="360"/>
        </w:pPr>
        <w:rPr>
          <w:rFonts w:hint="default"/>
        </w:rPr>
      </w:lvl>
    </w:lvlOverride>
    <w:lvlOverride w:ilvl="5">
      <w:lvl w:ilvl="5" w:tplc="ED183F32">
        <w:start w:val="1"/>
        <w:numFmt w:val="lowerRoman"/>
        <w:lvlText w:val="%6."/>
        <w:lvlJc w:val="right"/>
        <w:pPr>
          <w:ind w:left="3960" w:hanging="180"/>
        </w:pPr>
        <w:rPr>
          <w:rFonts w:hint="default"/>
        </w:rPr>
      </w:lvl>
    </w:lvlOverride>
    <w:lvlOverride w:ilvl="6">
      <w:lvl w:ilvl="6" w:tplc="D242CDEA">
        <w:start w:val="1"/>
        <w:numFmt w:val="decimal"/>
        <w:lvlText w:val="%7."/>
        <w:lvlJc w:val="left"/>
        <w:pPr>
          <w:ind w:left="4680" w:hanging="360"/>
        </w:pPr>
        <w:rPr>
          <w:rFonts w:hint="default"/>
        </w:rPr>
      </w:lvl>
    </w:lvlOverride>
    <w:lvlOverride w:ilvl="7">
      <w:lvl w:ilvl="7" w:tplc="45B2277C">
        <w:start w:val="1"/>
        <w:numFmt w:val="lowerLetter"/>
        <w:lvlText w:val="%8."/>
        <w:lvlJc w:val="left"/>
        <w:pPr>
          <w:ind w:left="5400" w:hanging="360"/>
        </w:pPr>
        <w:rPr>
          <w:rFonts w:hint="default"/>
        </w:rPr>
      </w:lvl>
    </w:lvlOverride>
    <w:lvlOverride w:ilvl="8">
      <w:lvl w:ilvl="8" w:tplc="3B9C45EE">
        <w:start w:val="1"/>
        <w:numFmt w:val="lowerRoman"/>
        <w:lvlText w:val="%9."/>
        <w:lvlJc w:val="right"/>
        <w:pPr>
          <w:ind w:left="6120" w:hanging="180"/>
        </w:pPr>
        <w:rPr>
          <w:rFonts w:hint="default"/>
        </w:rPr>
      </w:lvl>
    </w:lvlOverride>
  </w:num>
  <w:num w:numId="81">
    <w:abstractNumId w:val="17"/>
  </w:num>
  <w:num w:numId="82">
    <w:abstractNumId w:val="59"/>
  </w:num>
  <w:num w:numId="83">
    <w:abstractNumId w:val="91"/>
  </w:num>
  <w:num w:numId="84">
    <w:abstractNumId w:val="121"/>
  </w:num>
  <w:num w:numId="85">
    <w:abstractNumId w:val="90"/>
  </w:num>
  <w:num w:numId="86">
    <w:abstractNumId w:val="11"/>
  </w:num>
  <w:num w:numId="87">
    <w:abstractNumId w:val="77"/>
  </w:num>
  <w:num w:numId="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
  </w:num>
  <w:num w:numId="90">
    <w:abstractNumId w:val="21"/>
  </w:num>
  <w:num w:numId="91">
    <w:abstractNumId w:val="63"/>
  </w:num>
  <w:num w:numId="92">
    <w:abstractNumId w:val="119"/>
  </w:num>
  <w:num w:numId="93">
    <w:abstractNumId w:val="14"/>
  </w:num>
  <w:num w:numId="94">
    <w:abstractNumId w:val="30"/>
  </w:num>
  <w:num w:numId="95">
    <w:abstractNumId w:val="55"/>
  </w:num>
  <w:num w:numId="96">
    <w:abstractNumId w:val="7"/>
  </w:num>
  <w:num w:numId="97">
    <w:abstractNumId w:val="38"/>
  </w:num>
  <w:num w:numId="98">
    <w:abstractNumId w:val="68"/>
  </w:num>
  <w:num w:numId="99">
    <w:abstractNumId w:val="35"/>
  </w:num>
  <w:num w:numId="100">
    <w:abstractNumId w:val="100"/>
  </w:num>
  <w:num w:numId="101">
    <w:abstractNumId w:val="72"/>
  </w:num>
  <w:num w:numId="102">
    <w:abstractNumId w:val="84"/>
  </w:num>
  <w:num w:numId="103">
    <w:abstractNumId w:val="87"/>
  </w:num>
  <w:num w:numId="104">
    <w:abstractNumId w:val="6"/>
  </w:num>
  <w:num w:numId="105">
    <w:abstractNumId w:val="88"/>
  </w:num>
  <w:num w:numId="106">
    <w:abstractNumId w:val="83"/>
  </w:num>
  <w:num w:numId="107">
    <w:abstractNumId w:val="120"/>
  </w:num>
  <w:num w:numId="108">
    <w:abstractNumId w:val="40"/>
  </w:num>
  <w:num w:numId="109">
    <w:abstractNumId w:val="66"/>
  </w:num>
  <w:num w:numId="110">
    <w:abstractNumId w:val="73"/>
  </w:num>
  <w:num w:numId="111">
    <w:abstractNumId w:val="39"/>
  </w:num>
  <w:num w:numId="112">
    <w:abstractNumId w:val="17"/>
    <w:lvlOverride w:ilvl="0">
      <w:startOverride w:val="1"/>
    </w:lvlOverride>
  </w:num>
  <w:num w:numId="113">
    <w:abstractNumId w:val="17"/>
    <w:lvlOverride w:ilvl="0">
      <w:startOverride w:val="1"/>
    </w:lvlOverride>
  </w:num>
  <w:num w:numId="114">
    <w:abstractNumId w:val="123"/>
  </w:num>
  <w:num w:numId="115">
    <w:abstractNumId w:val="8"/>
  </w:num>
  <w:num w:numId="116">
    <w:abstractNumId w:val="109"/>
  </w:num>
  <w:num w:numId="117">
    <w:abstractNumId w:val="122"/>
  </w:num>
  <w:num w:numId="118">
    <w:abstractNumId w:val="82"/>
  </w:num>
  <w:num w:numId="1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1"/>
  </w:num>
  <w:num w:numId="121">
    <w:abstractNumId w:val="44"/>
  </w:num>
  <w:num w:numId="122">
    <w:abstractNumId w:val="31"/>
  </w:num>
  <w:num w:numId="123">
    <w:abstractNumId w:val="0"/>
  </w:num>
  <w:num w:numId="124">
    <w:abstractNumId w:val="26"/>
  </w:num>
  <w:num w:numId="125">
    <w:abstractNumId w:val="45"/>
    <w:lvlOverride w:ilvl="0">
      <w:startOverride w:val="1"/>
    </w:lvlOverride>
  </w:num>
  <w:num w:numId="126">
    <w:abstractNumId w:val="15"/>
  </w:num>
  <w:num w:numId="1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
  </w:num>
  <w:num w:numId="129">
    <w:abstractNumId w:val="29"/>
  </w:num>
  <w:num w:numId="130">
    <w:abstractNumId w:val="36"/>
  </w:num>
  <w:num w:numId="131">
    <w:abstractNumId w:val="115"/>
  </w:num>
  <w:num w:numId="132">
    <w:abstractNumId w:val="9"/>
  </w:num>
  <w:num w:numId="1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8"/>
    <w:lvlOverride w:ilvl="0">
      <w:startOverride w:val="1"/>
    </w:lvlOverride>
  </w:num>
  <w:num w:numId="139">
    <w:abstractNumId w:val="59"/>
    <w:lvlOverride w:ilvl="0">
      <w:startOverride w:val="1"/>
    </w:lvlOverride>
  </w:num>
  <w:num w:numId="140">
    <w:abstractNumId w:val="59"/>
    <w:lvlOverride w:ilvl="0">
      <w:startOverride w:val="1"/>
    </w:lvlOverride>
  </w:num>
  <w:num w:numId="141">
    <w:abstractNumId w:val="78"/>
  </w:num>
  <w:num w:numId="1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1"/>
  </w:num>
  <w:num w:numId="144">
    <w:abstractNumId w:val="90"/>
    <w:lvlOverride w:ilvl="0">
      <w:lvl w:ilvl="0" w:tplc="FFFFFFFF">
        <w:numFmt w:val="decimal"/>
        <w:lvlText w:val="%1."/>
        <w:lvlJc w:val="left"/>
        <w:pPr>
          <w:ind w:left="360" w:hanging="360"/>
        </w:pPr>
        <w:rPr>
          <w:rFonts w:hint="default"/>
        </w:rPr>
      </w:lvl>
    </w:lvlOverride>
    <w:lvlOverride w:ilvl="1">
      <w:lvl w:ilvl="1" w:tplc="C848F446">
        <w:start w:val="1"/>
        <w:numFmt w:val="decimal"/>
        <w:lvlText w:val="%1.%2."/>
        <w:lvlJc w:val="left"/>
        <w:pPr>
          <w:ind w:left="1080" w:hanging="360"/>
        </w:pPr>
        <w:rPr>
          <w:rFonts w:hint="default"/>
          <w:i w:val="0"/>
        </w:rPr>
      </w:lvl>
    </w:lvlOverride>
    <w:lvlOverride w:ilvl="2">
      <w:lvl w:ilvl="2" w:tplc="A2FC2880">
        <w:start w:val="1"/>
        <w:numFmt w:val="lowerRoman"/>
        <w:lvlText w:val="%3."/>
        <w:lvlJc w:val="right"/>
        <w:pPr>
          <w:ind w:left="1800" w:hanging="180"/>
        </w:pPr>
        <w:rPr>
          <w:rFonts w:hint="default"/>
        </w:rPr>
      </w:lvl>
    </w:lvlOverride>
    <w:lvlOverride w:ilvl="3">
      <w:lvl w:ilvl="3" w:tplc="02F85972">
        <w:start w:val="1"/>
        <w:numFmt w:val="decimal"/>
        <w:lvlText w:val="%4."/>
        <w:lvlJc w:val="left"/>
        <w:pPr>
          <w:ind w:left="2520" w:hanging="360"/>
        </w:pPr>
        <w:rPr>
          <w:rFonts w:hint="default"/>
        </w:rPr>
      </w:lvl>
    </w:lvlOverride>
    <w:lvlOverride w:ilvl="4">
      <w:lvl w:ilvl="4" w:tplc="F0522F32">
        <w:start w:val="1"/>
        <w:numFmt w:val="lowerLetter"/>
        <w:lvlText w:val="%5."/>
        <w:lvlJc w:val="left"/>
        <w:pPr>
          <w:ind w:left="3240" w:hanging="360"/>
        </w:pPr>
        <w:rPr>
          <w:rFonts w:hint="default"/>
        </w:rPr>
      </w:lvl>
    </w:lvlOverride>
    <w:lvlOverride w:ilvl="5">
      <w:lvl w:ilvl="5" w:tplc="0A886526">
        <w:start w:val="1"/>
        <w:numFmt w:val="lowerRoman"/>
        <w:lvlText w:val="%6."/>
        <w:lvlJc w:val="right"/>
        <w:pPr>
          <w:ind w:left="3960" w:hanging="180"/>
        </w:pPr>
        <w:rPr>
          <w:rFonts w:hint="default"/>
        </w:rPr>
      </w:lvl>
    </w:lvlOverride>
    <w:lvlOverride w:ilvl="6">
      <w:lvl w:ilvl="6" w:tplc="EA542E3A">
        <w:start w:val="1"/>
        <w:numFmt w:val="decimal"/>
        <w:lvlText w:val="%7."/>
        <w:lvlJc w:val="left"/>
        <w:pPr>
          <w:ind w:left="4680" w:hanging="360"/>
        </w:pPr>
        <w:rPr>
          <w:rFonts w:hint="default"/>
        </w:rPr>
      </w:lvl>
    </w:lvlOverride>
    <w:lvlOverride w:ilvl="7">
      <w:lvl w:ilvl="7" w:tplc="F488B1D6">
        <w:start w:val="1"/>
        <w:numFmt w:val="lowerLetter"/>
        <w:lvlText w:val="%8."/>
        <w:lvlJc w:val="left"/>
        <w:pPr>
          <w:ind w:left="5400" w:hanging="360"/>
        </w:pPr>
        <w:rPr>
          <w:rFonts w:hint="default"/>
        </w:rPr>
      </w:lvl>
    </w:lvlOverride>
    <w:lvlOverride w:ilvl="8">
      <w:lvl w:ilvl="8" w:tplc="FE0A6ABC">
        <w:start w:val="1"/>
        <w:numFmt w:val="lowerRoman"/>
        <w:lvlText w:val="%9."/>
        <w:lvlJc w:val="right"/>
        <w:pPr>
          <w:ind w:left="6120" w:hanging="180"/>
        </w:pPr>
        <w:rPr>
          <w:rFonts w:hint="default"/>
        </w:rPr>
      </w:lvl>
    </w:lvlOverride>
  </w:num>
  <w:num w:numId="1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
    <w:lvlOverride w:ilvl="0">
      <w:startOverride w:val="1"/>
    </w:lvlOverride>
  </w:num>
  <w:num w:numId="147">
    <w:abstractNumId w:val="107"/>
    <w:lvlOverride w:ilvl="0">
      <w:startOverride w:val="1"/>
    </w:lvlOverride>
  </w:num>
  <w:num w:numId="148">
    <w:abstractNumId w:val="30"/>
  </w:num>
  <w:num w:numId="14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1"/>
  </w:num>
  <w:num w:numId="151">
    <w:abstractNumId w:val="19"/>
  </w:num>
  <w:num w:numId="152">
    <w:abstractNumId w:val="42"/>
  </w:num>
  <w:num w:numId="153">
    <w:abstractNumId w:val="110"/>
  </w:num>
  <w:num w:numId="154">
    <w:abstractNumId w:val="71"/>
  </w:num>
  <w:num w:numId="155">
    <w:abstractNumId w:val="124"/>
  </w:num>
  <w:num w:numId="156">
    <w:abstractNumId w:val="86"/>
  </w:num>
  <w:num w:numId="157">
    <w:abstractNumId w:val="22"/>
  </w:num>
  <w:num w:numId="158">
    <w:abstractNumId w:val="33"/>
  </w:num>
  <w:num w:numId="159">
    <w:abstractNumId w:val="79"/>
  </w:num>
  <w:num w:numId="160">
    <w:abstractNumId w:val="24"/>
  </w:num>
  <w:num w:numId="161">
    <w:abstractNumId w:val="106"/>
  </w:num>
  <w:num w:numId="162">
    <w:abstractNumId w:val="18"/>
  </w:num>
  <w:num w:numId="163">
    <w:abstractNumId w:val="58"/>
  </w:num>
  <w:num w:numId="164">
    <w:abstractNumId w:val="58"/>
  </w:num>
  <w:num w:numId="165">
    <w:abstractNumId w:val="69"/>
  </w:num>
  <w:num w:numId="166">
    <w:abstractNumId w:val="70"/>
  </w:num>
  <w:num w:numId="167">
    <w:abstractNumId w:val="4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EAD"/>
    <w:rsid w:val="00000E14"/>
    <w:rsid w:val="0000135D"/>
    <w:rsid w:val="000031DA"/>
    <w:rsid w:val="00003252"/>
    <w:rsid w:val="00003A3F"/>
    <w:rsid w:val="00003B7E"/>
    <w:rsid w:val="0000404C"/>
    <w:rsid w:val="000043A3"/>
    <w:rsid w:val="000045AC"/>
    <w:rsid w:val="00004738"/>
    <w:rsid w:val="00004A0E"/>
    <w:rsid w:val="00004C8A"/>
    <w:rsid w:val="00005370"/>
    <w:rsid w:val="000053B9"/>
    <w:rsid w:val="00005DBA"/>
    <w:rsid w:val="00005F2C"/>
    <w:rsid w:val="00006107"/>
    <w:rsid w:val="000064E4"/>
    <w:rsid w:val="00006566"/>
    <w:rsid w:val="000070AA"/>
    <w:rsid w:val="0000722B"/>
    <w:rsid w:val="00007780"/>
    <w:rsid w:val="000079C6"/>
    <w:rsid w:val="000104E3"/>
    <w:rsid w:val="00010A75"/>
    <w:rsid w:val="00010F16"/>
    <w:rsid w:val="0001114F"/>
    <w:rsid w:val="000111A0"/>
    <w:rsid w:val="000115B3"/>
    <w:rsid w:val="00011A11"/>
    <w:rsid w:val="00011AD2"/>
    <w:rsid w:val="00011E7E"/>
    <w:rsid w:val="00011FCA"/>
    <w:rsid w:val="00012579"/>
    <w:rsid w:val="00013255"/>
    <w:rsid w:val="000138E8"/>
    <w:rsid w:val="0001416E"/>
    <w:rsid w:val="00015344"/>
    <w:rsid w:val="000156DC"/>
    <w:rsid w:val="00015873"/>
    <w:rsid w:val="00015967"/>
    <w:rsid w:val="00015BC9"/>
    <w:rsid w:val="000165C9"/>
    <w:rsid w:val="0001664F"/>
    <w:rsid w:val="00016786"/>
    <w:rsid w:val="00016ACA"/>
    <w:rsid w:val="00016EE4"/>
    <w:rsid w:val="00016FD0"/>
    <w:rsid w:val="00017237"/>
    <w:rsid w:val="00020016"/>
    <w:rsid w:val="00020A34"/>
    <w:rsid w:val="00020EB7"/>
    <w:rsid w:val="0002152E"/>
    <w:rsid w:val="00021649"/>
    <w:rsid w:val="00021665"/>
    <w:rsid w:val="000230C1"/>
    <w:rsid w:val="000233DB"/>
    <w:rsid w:val="00023426"/>
    <w:rsid w:val="00023F1A"/>
    <w:rsid w:val="0002427B"/>
    <w:rsid w:val="00024436"/>
    <w:rsid w:val="00024DF9"/>
    <w:rsid w:val="00025413"/>
    <w:rsid w:val="00025688"/>
    <w:rsid w:val="00025B96"/>
    <w:rsid w:val="00025CBC"/>
    <w:rsid w:val="000260C6"/>
    <w:rsid w:val="000268E4"/>
    <w:rsid w:val="000276B7"/>
    <w:rsid w:val="000277CD"/>
    <w:rsid w:val="00027C2C"/>
    <w:rsid w:val="00030254"/>
    <w:rsid w:val="000308CA"/>
    <w:rsid w:val="000308E6"/>
    <w:rsid w:val="00030FAA"/>
    <w:rsid w:val="0003187B"/>
    <w:rsid w:val="000318A4"/>
    <w:rsid w:val="000326D5"/>
    <w:rsid w:val="00032B6C"/>
    <w:rsid w:val="00032D16"/>
    <w:rsid w:val="00032D99"/>
    <w:rsid w:val="000330B0"/>
    <w:rsid w:val="000338D5"/>
    <w:rsid w:val="00033A9A"/>
    <w:rsid w:val="00033CB2"/>
    <w:rsid w:val="00033EA4"/>
    <w:rsid w:val="00035996"/>
    <w:rsid w:val="00035A10"/>
    <w:rsid w:val="00037022"/>
    <w:rsid w:val="00037081"/>
    <w:rsid w:val="0003732D"/>
    <w:rsid w:val="000375A0"/>
    <w:rsid w:val="00037ED9"/>
    <w:rsid w:val="00040A7E"/>
    <w:rsid w:val="00040D75"/>
    <w:rsid w:val="000411A8"/>
    <w:rsid w:val="00041720"/>
    <w:rsid w:val="00041CE4"/>
    <w:rsid w:val="0004231B"/>
    <w:rsid w:val="00042587"/>
    <w:rsid w:val="000425E1"/>
    <w:rsid w:val="000426F7"/>
    <w:rsid w:val="00043844"/>
    <w:rsid w:val="00043B17"/>
    <w:rsid w:val="00043EB9"/>
    <w:rsid w:val="000440D6"/>
    <w:rsid w:val="000441B6"/>
    <w:rsid w:val="00044484"/>
    <w:rsid w:val="000445FA"/>
    <w:rsid w:val="00044D38"/>
    <w:rsid w:val="00045BD8"/>
    <w:rsid w:val="00046313"/>
    <w:rsid w:val="00046358"/>
    <w:rsid w:val="00046836"/>
    <w:rsid w:val="00046AD2"/>
    <w:rsid w:val="00046CCD"/>
    <w:rsid w:val="00047217"/>
    <w:rsid w:val="00047672"/>
    <w:rsid w:val="00050047"/>
    <w:rsid w:val="00050CDA"/>
    <w:rsid w:val="000511A8"/>
    <w:rsid w:val="000512B1"/>
    <w:rsid w:val="00051447"/>
    <w:rsid w:val="0005185F"/>
    <w:rsid w:val="00052CC8"/>
    <w:rsid w:val="00052D2B"/>
    <w:rsid w:val="00052FEA"/>
    <w:rsid w:val="000531D3"/>
    <w:rsid w:val="000533A6"/>
    <w:rsid w:val="00053B91"/>
    <w:rsid w:val="00054534"/>
    <w:rsid w:val="00054D62"/>
    <w:rsid w:val="00055275"/>
    <w:rsid w:val="000557AB"/>
    <w:rsid w:val="00055977"/>
    <w:rsid w:val="00055D82"/>
    <w:rsid w:val="00056B14"/>
    <w:rsid w:val="00056FC1"/>
    <w:rsid w:val="00057918"/>
    <w:rsid w:val="00057996"/>
    <w:rsid w:val="00057A11"/>
    <w:rsid w:val="00057CDA"/>
    <w:rsid w:val="00057FB2"/>
    <w:rsid w:val="0006009A"/>
    <w:rsid w:val="0006042E"/>
    <w:rsid w:val="0006044D"/>
    <w:rsid w:val="000610C4"/>
    <w:rsid w:val="00061268"/>
    <w:rsid w:val="00061414"/>
    <w:rsid w:val="00061A73"/>
    <w:rsid w:val="00062439"/>
    <w:rsid w:val="00062A2B"/>
    <w:rsid w:val="00063479"/>
    <w:rsid w:val="000634F3"/>
    <w:rsid w:val="000635EC"/>
    <w:rsid w:val="00063FF1"/>
    <w:rsid w:val="000657BB"/>
    <w:rsid w:val="00065AB2"/>
    <w:rsid w:val="00066A3D"/>
    <w:rsid w:val="00066C7C"/>
    <w:rsid w:val="00066DAE"/>
    <w:rsid w:val="00067D70"/>
    <w:rsid w:val="00067FEE"/>
    <w:rsid w:val="00070D42"/>
    <w:rsid w:val="0007152B"/>
    <w:rsid w:val="0007169F"/>
    <w:rsid w:val="00071BBE"/>
    <w:rsid w:val="00072405"/>
    <w:rsid w:val="0007275F"/>
    <w:rsid w:val="0007295D"/>
    <w:rsid w:val="0007313C"/>
    <w:rsid w:val="00074156"/>
    <w:rsid w:val="0007441B"/>
    <w:rsid w:val="0007489A"/>
    <w:rsid w:val="00074FEB"/>
    <w:rsid w:val="00075F6B"/>
    <w:rsid w:val="000763C8"/>
    <w:rsid w:val="00077090"/>
    <w:rsid w:val="00077220"/>
    <w:rsid w:val="000776F2"/>
    <w:rsid w:val="00077AD7"/>
    <w:rsid w:val="00077D1F"/>
    <w:rsid w:val="00077D64"/>
    <w:rsid w:val="00077DEE"/>
    <w:rsid w:val="00080809"/>
    <w:rsid w:val="00081555"/>
    <w:rsid w:val="00081807"/>
    <w:rsid w:val="00081C5D"/>
    <w:rsid w:val="00081C79"/>
    <w:rsid w:val="000822DF"/>
    <w:rsid w:val="00082894"/>
    <w:rsid w:val="000830A6"/>
    <w:rsid w:val="000830DD"/>
    <w:rsid w:val="00083539"/>
    <w:rsid w:val="0008377E"/>
    <w:rsid w:val="00084010"/>
    <w:rsid w:val="00084206"/>
    <w:rsid w:val="00084596"/>
    <w:rsid w:val="00084A6E"/>
    <w:rsid w:val="00084D4A"/>
    <w:rsid w:val="000854D6"/>
    <w:rsid w:val="00086195"/>
    <w:rsid w:val="00086437"/>
    <w:rsid w:val="00086873"/>
    <w:rsid w:val="00086A33"/>
    <w:rsid w:val="00086B37"/>
    <w:rsid w:val="00087291"/>
    <w:rsid w:val="0008741F"/>
    <w:rsid w:val="000876F2"/>
    <w:rsid w:val="00090AA5"/>
    <w:rsid w:val="0009152B"/>
    <w:rsid w:val="000916C6"/>
    <w:rsid w:val="000919B9"/>
    <w:rsid w:val="00091B6E"/>
    <w:rsid w:val="00091F17"/>
    <w:rsid w:val="0009267B"/>
    <w:rsid w:val="000926D8"/>
    <w:rsid w:val="00092E31"/>
    <w:rsid w:val="000930C1"/>
    <w:rsid w:val="0009335E"/>
    <w:rsid w:val="000933AF"/>
    <w:rsid w:val="0009362B"/>
    <w:rsid w:val="00093BA7"/>
    <w:rsid w:val="00093C9D"/>
    <w:rsid w:val="00093E33"/>
    <w:rsid w:val="00094058"/>
    <w:rsid w:val="00094958"/>
    <w:rsid w:val="00095F8C"/>
    <w:rsid w:val="00096B9C"/>
    <w:rsid w:val="000977ED"/>
    <w:rsid w:val="00097D96"/>
    <w:rsid w:val="0009E385"/>
    <w:rsid w:val="000A06BE"/>
    <w:rsid w:val="000A06FB"/>
    <w:rsid w:val="000A07B1"/>
    <w:rsid w:val="000A0DA7"/>
    <w:rsid w:val="000A0F66"/>
    <w:rsid w:val="000A1544"/>
    <w:rsid w:val="000A205E"/>
    <w:rsid w:val="000A26D1"/>
    <w:rsid w:val="000A27DD"/>
    <w:rsid w:val="000A2D8F"/>
    <w:rsid w:val="000A3571"/>
    <w:rsid w:val="000A3A3A"/>
    <w:rsid w:val="000A4394"/>
    <w:rsid w:val="000A535A"/>
    <w:rsid w:val="000A5428"/>
    <w:rsid w:val="000A6775"/>
    <w:rsid w:val="000B03EB"/>
    <w:rsid w:val="000B0C48"/>
    <w:rsid w:val="000B1511"/>
    <w:rsid w:val="000B1989"/>
    <w:rsid w:val="000B2480"/>
    <w:rsid w:val="000B27CD"/>
    <w:rsid w:val="000B2879"/>
    <w:rsid w:val="000B2F43"/>
    <w:rsid w:val="000B310D"/>
    <w:rsid w:val="000B4910"/>
    <w:rsid w:val="000B53FA"/>
    <w:rsid w:val="000B584A"/>
    <w:rsid w:val="000B5A9F"/>
    <w:rsid w:val="000B5ABB"/>
    <w:rsid w:val="000B5CB8"/>
    <w:rsid w:val="000B625B"/>
    <w:rsid w:val="000B656F"/>
    <w:rsid w:val="000B66D5"/>
    <w:rsid w:val="000B67F2"/>
    <w:rsid w:val="000B6B32"/>
    <w:rsid w:val="000B6C7A"/>
    <w:rsid w:val="000B738A"/>
    <w:rsid w:val="000B7E5A"/>
    <w:rsid w:val="000C02EB"/>
    <w:rsid w:val="000C04FC"/>
    <w:rsid w:val="000C0E75"/>
    <w:rsid w:val="000C1595"/>
    <w:rsid w:val="000C1639"/>
    <w:rsid w:val="000C1DC4"/>
    <w:rsid w:val="000C23CA"/>
    <w:rsid w:val="000C2D4B"/>
    <w:rsid w:val="000C3471"/>
    <w:rsid w:val="000C34EF"/>
    <w:rsid w:val="000C4975"/>
    <w:rsid w:val="000C4F08"/>
    <w:rsid w:val="000C5882"/>
    <w:rsid w:val="000C5E61"/>
    <w:rsid w:val="000D0272"/>
    <w:rsid w:val="000D044C"/>
    <w:rsid w:val="000D059C"/>
    <w:rsid w:val="000D0A50"/>
    <w:rsid w:val="000D1701"/>
    <w:rsid w:val="000D20A4"/>
    <w:rsid w:val="000D2E1C"/>
    <w:rsid w:val="000D2EB0"/>
    <w:rsid w:val="000D434A"/>
    <w:rsid w:val="000D4F84"/>
    <w:rsid w:val="000D66F7"/>
    <w:rsid w:val="000D6C02"/>
    <w:rsid w:val="000D6F3D"/>
    <w:rsid w:val="000D745E"/>
    <w:rsid w:val="000D7705"/>
    <w:rsid w:val="000D7E80"/>
    <w:rsid w:val="000E015A"/>
    <w:rsid w:val="000E05BC"/>
    <w:rsid w:val="000E088A"/>
    <w:rsid w:val="000E0E51"/>
    <w:rsid w:val="000E1540"/>
    <w:rsid w:val="000E1DED"/>
    <w:rsid w:val="000E1E50"/>
    <w:rsid w:val="000E22F4"/>
    <w:rsid w:val="000E2468"/>
    <w:rsid w:val="000E32EF"/>
    <w:rsid w:val="000E3855"/>
    <w:rsid w:val="000E3E6C"/>
    <w:rsid w:val="000E3F33"/>
    <w:rsid w:val="000E3F8D"/>
    <w:rsid w:val="000E5FE4"/>
    <w:rsid w:val="000E6339"/>
    <w:rsid w:val="000E672F"/>
    <w:rsid w:val="000E6798"/>
    <w:rsid w:val="000E68CB"/>
    <w:rsid w:val="000E7F00"/>
    <w:rsid w:val="000F054C"/>
    <w:rsid w:val="000F094C"/>
    <w:rsid w:val="000F0CE7"/>
    <w:rsid w:val="000F0EE8"/>
    <w:rsid w:val="000F201D"/>
    <w:rsid w:val="000F2502"/>
    <w:rsid w:val="000F2654"/>
    <w:rsid w:val="000F290A"/>
    <w:rsid w:val="000F29F4"/>
    <w:rsid w:val="000F2A47"/>
    <w:rsid w:val="000F2DAD"/>
    <w:rsid w:val="000F3446"/>
    <w:rsid w:val="000F400A"/>
    <w:rsid w:val="000F4282"/>
    <w:rsid w:val="000F4549"/>
    <w:rsid w:val="000F4674"/>
    <w:rsid w:val="000F5776"/>
    <w:rsid w:val="000F5841"/>
    <w:rsid w:val="000F5E71"/>
    <w:rsid w:val="000F60E9"/>
    <w:rsid w:val="000F62AB"/>
    <w:rsid w:val="000F63F9"/>
    <w:rsid w:val="000F761C"/>
    <w:rsid w:val="000F76EA"/>
    <w:rsid w:val="000F7A13"/>
    <w:rsid w:val="000F7B0C"/>
    <w:rsid w:val="000F7D56"/>
    <w:rsid w:val="0010014F"/>
    <w:rsid w:val="00100524"/>
    <w:rsid w:val="00100594"/>
    <w:rsid w:val="00100863"/>
    <w:rsid w:val="00100B1A"/>
    <w:rsid w:val="00100CDD"/>
    <w:rsid w:val="001012B5"/>
    <w:rsid w:val="001013D8"/>
    <w:rsid w:val="001015C9"/>
    <w:rsid w:val="00101626"/>
    <w:rsid w:val="00102091"/>
    <w:rsid w:val="00102D2F"/>
    <w:rsid w:val="001036C6"/>
    <w:rsid w:val="00103DA3"/>
    <w:rsid w:val="00103F20"/>
    <w:rsid w:val="00104064"/>
    <w:rsid w:val="00104437"/>
    <w:rsid w:val="001050C2"/>
    <w:rsid w:val="001052CD"/>
    <w:rsid w:val="00105685"/>
    <w:rsid w:val="00105AA5"/>
    <w:rsid w:val="00105E30"/>
    <w:rsid w:val="0010616F"/>
    <w:rsid w:val="001061A3"/>
    <w:rsid w:val="00106411"/>
    <w:rsid w:val="00106581"/>
    <w:rsid w:val="00106F71"/>
    <w:rsid w:val="00107360"/>
    <w:rsid w:val="001073BE"/>
    <w:rsid w:val="0011051A"/>
    <w:rsid w:val="00111769"/>
    <w:rsid w:val="00111C0D"/>
    <w:rsid w:val="00112167"/>
    <w:rsid w:val="00112C76"/>
    <w:rsid w:val="0011369B"/>
    <w:rsid w:val="0011456A"/>
    <w:rsid w:val="0011461B"/>
    <w:rsid w:val="001148E8"/>
    <w:rsid w:val="0011562A"/>
    <w:rsid w:val="001157A5"/>
    <w:rsid w:val="001158E3"/>
    <w:rsid w:val="00115EBF"/>
    <w:rsid w:val="00115EED"/>
    <w:rsid w:val="001161D1"/>
    <w:rsid w:val="0011675D"/>
    <w:rsid w:val="00117368"/>
    <w:rsid w:val="00117859"/>
    <w:rsid w:val="00117B12"/>
    <w:rsid w:val="001202E0"/>
    <w:rsid w:val="001208D8"/>
    <w:rsid w:val="00120E04"/>
    <w:rsid w:val="00121B51"/>
    <w:rsid w:val="001223F2"/>
    <w:rsid w:val="001224ED"/>
    <w:rsid w:val="001227D1"/>
    <w:rsid w:val="00122CBC"/>
    <w:rsid w:val="00122DE4"/>
    <w:rsid w:val="00123BD0"/>
    <w:rsid w:val="001243C9"/>
    <w:rsid w:val="001249AD"/>
    <w:rsid w:val="00124A6A"/>
    <w:rsid w:val="00124CAE"/>
    <w:rsid w:val="001255DA"/>
    <w:rsid w:val="00125B07"/>
    <w:rsid w:val="00125B9D"/>
    <w:rsid w:val="001261D1"/>
    <w:rsid w:val="001263EB"/>
    <w:rsid w:val="001266BB"/>
    <w:rsid w:val="0012684E"/>
    <w:rsid w:val="001269E5"/>
    <w:rsid w:val="00126A3F"/>
    <w:rsid w:val="00126F3B"/>
    <w:rsid w:val="00127103"/>
    <w:rsid w:val="001273C2"/>
    <w:rsid w:val="001275FE"/>
    <w:rsid w:val="0012778B"/>
    <w:rsid w:val="00127BAF"/>
    <w:rsid w:val="00127E33"/>
    <w:rsid w:val="0013010A"/>
    <w:rsid w:val="001306DD"/>
    <w:rsid w:val="00130BD6"/>
    <w:rsid w:val="0013214F"/>
    <w:rsid w:val="001323A8"/>
    <w:rsid w:val="0013277F"/>
    <w:rsid w:val="00133416"/>
    <w:rsid w:val="001344DC"/>
    <w:rsid w:val="00134ADE"/>
    <w:rsid w:val="00134BA9"/>
    <w:rsid w:val="00134E1C"/>
    <w:rsid w:val="00135663"/>
    <w:rsid w:val="001362DC"/>
    <w:rsid w:val="00136A59"/>
    <w:rsid w:val="001400B9"/>
    <w:rsid w:val="0014098B"/>
    <w:rsid w:val="00140D24"/>
    <w:rsid w:val="00140D8C"/>
    <w:rsid w:val="00140EE6"/>
    <w:rsid w:val="001414FB"/>
    <w:rsid w:val="00141980"/>
    <w:rsid w:val="00142997"/>
    <w:rsid w:val="00142B7A"/>
    <w:rsid w:val="00142FD4"/>
    <w:rsid w:val="001436C4"/>
    <w:rsid w:val="00143CC6"/>
    <w:rsid w:val="001448A5"/>
    <w:rsid w:val="00144A6F"/>
    <w:rsid w:val="00144AA8"/>
    <w:rsid w:val="00144C0D"/>
    <w:rsid w:val="0014567B"/>
    <w:rsid w:val="001457D4"/>
    <w:rsid w:val="00145E86"/>
    <w:rsid w:val="00146731"/>
    <w:rsid w:val="001469F0"/>
    <w:rsid w:val="00147124"/>
    <w:rsid w:val="001474A2"/>
    <w:rsid w:val="001479E1"/>
    <w:rsid w:val="00147F62"/>
    <w:rsid w:val="0014FABE"/>
    <w:rsid w:val="00150052"/>
    <w:rsid w:val="0015005D"/>
    <w:rsid w:val="001500AD"/>
    <w:rsid w:val="001502AF"/>
    <w:rsid w:val="001508E0"/>
    <w:rsid w:val="001508E7"/>
    <w:rsid w:val="001511F4"/>
    <w:rsid w:val="001513D7"/>
    <w:rsid w:val="00152601"/>
    <w:rsid w:val="00152B34"/>
    <w:rsid w:val="00152C82"/>
    <w:rsid w:val="00152FEA"/>
    <w:rsid w:val="0015325B"/>
    <w:rsid w:val="001534A5"/>
    <w:rsid w:val="001538B4"/>
    <w:rsid w:val="00153F5F"/>
    <w:rsid w:val="001545DC"/>
    <w:rsid w:val="00154746"/>
    <w:rsid w:val="00154B0E"/>
    <w:rsid w:val="00154C73"/>
    <w:rsid w:val="00155DC1"/>
    <w:rsid w:val="00156038"/>
    <w:rsid w:val="001568B5"/>
    <w:rsid w:val="00156A25"/>
    <w:rsid w:val="00156B5E"/>
    <w:rsid w:val="001570D9"/>
    <w:rsid w:val="00157337"/>
    <w:rsid w:val="00157620"/>
    <w:rsid w:val="00160034"/>
    <w:rsid w:val="00160650"/>
    <w:rsid w:val="00160A48"/>
    <w:rsid w:val="0016120D"/>
    <w:rsid w:val="001612A7"/>
    <w:rsid w:val="001616A1"/>
    <w:rsid w:val="00162B74"/>
    <w:rsid w:val="001633AA"/>
    <w:rsid w:val="0016340E"/>
    <w:rsid w:val="00163F52"/>
    <w:rsid w:val="001644BF"/>
    <w:rsid w:val="001644CC"/>
    <w:rsid w:val="00164692"/>
    <w:rsid w:val="00164AF1"/>
    <w:rsid w:val="0016532C"/>
    <w:rsid w:val="00165605"/>
    <w:rsid w:val="00165C31"/>
    <w:rsid w:val="001660DD"/>
    <w:rsid w:val="001665B9"/>
    <w:rsid w:val="00166DCA"/>
    <w:rsid w:val="001670A4"/>
    <w:rsid w:val="00167456"/>
    <w:rsid w:val="0016772C"/>
    <w:rsid w:val="00170D3B"/>
    <w:rsid w:val="00170F2F"/>
    <w:rsid w:val="00170F92"/>
    <w:rsid w:val="00171777"/>
    <w:rsid w:val="00172724"/>
    <w:rsid w:val="001736F1"/>
    <w:rsid w:val="00173756"/>
    <w:rsid w:val="00173AFD"/>
    <w:rsid w:val="00173D19"/>
    <w:rsid w:val="00174BE8"/>
    <w:rsid w:val="00174FA8"/>
    <w:rsid w:val="00175032"/>
    <w:rsid w:val="00175548"/>
    <w:rsid w:val="00175B95"/>
    <w:rsid w:val="00175BE7"/>
    <w:rsid w:val="00175FC2"/>
    <w:rsid w:val="0017623A"/>
    <w:rsid w:val="0017645E"/>
    <w:rsid w:val="0017684A"/>
    <w:rsid w:val="00176F37"/>
    <w:rsid w:val="001775DD"/>
    <w:rsid w:val="0017781D"/>
    <w:rsid w:val="00177F65"/>
    <w:rsid w:val="001807A1"/>
    <w:rsid w:val="00180FC2"/>
    <w:rsid w:val="00181192"/>
    <w:rsid w:val="001813FB"/>
    <w:rsid w:val="00181B72"/>
    <w:rsid w:val="00182462"/>
    <w:rsid w:val="00182F07"/>
    <w:rsid w:val="001837D1"/>
    <w:rsid w:val="00183C8B"/>
    <w:rsid w:val="00183F4E"/>
    <w:rsid w:val="00184579"/>
    <w:rsid w:val="0018492A"/>
    <w:rsid w:val="00184FEF"/>
    <w:rsid w:val="001854BC"/>
    <w:rsid w:val="0018559D"/>
    <w:rsid w:val="0018638D"/>
    <w:rsid w:val="001866C7"/>
    <w:rsid w:val="00186710"/>
    <w:rsid w:val="00186F45"/>
    <w:rsid w:val="00187132"/>
    <w:rsid w:val="001871C0"/>
    <w:rsid w:val="00190362"/>
    <w:rsid w:val="00191612"/>
    <w:rsid w:val="00191BB0"/>
    <w:rsid w:val="0019218E"/>
    <w:rsid w:val="001924C3"/>
    <w:rsid w:val="001929D2"/>
    <w:rsid w:val="00192BD2"/>
    <w:rsid w:val="001933EB"/>
    <w:rsid w:val="00193658"/>
    <w:rsid w:val="00193D91"/>
    <w:rsid w:val="0019477E"/>
    <w:rsid w:val="0019498C"/>
    <w:rsid w:val="00194C5D"/>
    <w:rsid w:val="00195189"/>
    <w:rsid w:val="00195751"/>
    <w:rsid w:val="00195DF4"/>
    <w:rsid w:val="001961E1"/>
    <w:rsid w:val="001962C8"/>
    <w:rsid w:val="001964C7"/>
    <w:rsid w:val="00196C06"/>
    <w:rsid w:val="0019768E"/>
    <w:rsid w:val="00197847"/>
    <w:rsid w:val="00199E6D"/>
    <w:rsid w:val="001A0744"/>
    <w:rsid w:val="001A0C50"/>
    <w:rsid w:val="001A0CE5"/>
    <w:rsid w:val="001A18D1"/>
    <w:rsid w:val="001A2310"/>
    <w:rsid w:val="001A290A"/>
    <w:rsid w:val="001A29D5"/>
    <w:rsid w:val="001A29F1"/>
    <w:rsid w:val="001A3024"/>
    <w:rsid w:val="001A30A9"/>
    <w:rsid w:val="001A3285"/>
    <w:rsid w:val="001A3A2A"/>
    <w:rsid w:val="001A3AB1"/>
    <w:rsid w:val="001A3B80"/>
    <w:rsid w:val="001A3BB6"/>
    <w:rsid w:val="001A44C2"/>
    <w:rsid w:val="001A4805"/>
    <w:rsid w:val="001A5BCF"/>
    <w:rsid w:val="001A5C17"/>
    <w:rsid w:val="001A5D1E"/>
    <w:rsid w:val="001A600C"/>
    <w:rsid w:val="001A6369"/>
    <w:rsid w:val="001A659C"/>
    <w:rsid w:val="001A6862"/>
    <w:rsid w:val="001A719D"/>
    <w:rsid w:val="001A7BD4"/>
    <w:rsid w:val="001A7F8A"/>
    <w:rsid w:val="001ACD9F"/>
    <w:rsid w:val="001B095E"/>
    <w:rsid w:val="001B0BC9"/>
    <w:rsid w:val="001B13D9"/>
    <w:rsid w:val="001B18CE"/>
    <w:rsid w:val="001B263F"/>
    <w:rsid w:val="001B2DC3"/>
    <w:rsid w:val="001B3406"/>
    <w:rsid w:val="001B3439"/>
    <w:rsid w:val="001B3D97"/>
    <w:rsid w:val="001B46F5"/>
    <w:rsid w:val="001B4773"/>
    <w:rsid w:val="001B4A97"/>
    <w:rsid w:val="001B4AD0"/>
    <w:rsid w:val="001B4ADA"/>
    <w:rsid w:val="001B4F11"/>
    <w:rsid w:val="001B53FA"/>
    <w:rsid w:val="001B5DA6"/>
    <w:rsid w:val="001B6295"/>
    <w:rsid w:val="001B6627"/>
    <w:rsid w:val="001B6B09"/>
    <w:rsid w:val="001B6F30"/>
    <w:rsid w:val="001B6FBF"/>
    <w:rsid w:val="001B71F7"/>
    <w:rsid w:val="001B75CC"/>
    <w:rsid w:val="001B77C5"/>
    <w:rsid w:val="001B7965"/>
    <w:rsid w:val="001C03E8"/>
    <w:rsid w:val="001C0FF1"/>
    <w:rsid w:val="001C1523"/>
    <w:rsid w:val="001C2174"/>
    <w:rsid w:val="001C2305"/>
    <w:rsid w:val="001C2863"/>
    <w:rsid w:val="001C2905"/>
    <w:rsid w:val="001C31F2"/>
    <w:rsid w:val="001C3323"/>
    <w:rsid w:val="001C3518"/>
    <w:rsid w:val="001C3BEC"/>
    <w:rsid w:val="001C3E32"/>
    <w:rsid w:val="001C5245"/>
    <w:rsid w:val="001C55DC"/>
    <w:rsid w:val="001C574A"/>
    <w:rsid w:val="001C58CB"/>
    <w:rsid w:val="001C5AFF"/>
    <w:rsid w:val="001C6447"/>
    <w:rsid w:val="001C69A7"/>
    <w:rsid w:val="001C6C49"/>
    <w:rsid w:val="001C6E02"/>
    <w:rsid w:val="001C7036"/>
    <w:rsid w:val="001C7855"/>
    <w:rsid w:val="001D022D"/>
    <w:rsid w:val="001D1411"/>
    <w:rsid w:val="001D18CC"/>
    <w:rsid w:val="001D1DB6"/>
    <w:rsid w:val="001D2414"/>
    <w:rsid w:val="001D2A54"/>
    <w:rsid w:val="001D2CF9"/>
    <w:rsid w:val="001D2E51"/>
    <w:rsid w:val="001D3C50"/>
    <w:rsid w:val="001D3E6B"/>
    <w:rsid w:val="001D3E8E"/>
    <w:rsid w:val="001D49DB"/>
    <w:rsid w:val="001D4D65"/>
    <w:rsid w:val="001D4E5B"/>
    <w:rsid w:val="001D56D4"/>
    <w:rsid w:val="001D586D"/>
    <w:rsid w:val="001D5D34"/>
    <w:rsid w:val="001D5F4A"/>
    <w:rsid w:val="001D68E6"/>
    <w:rsid w:val="001D71AD"/>
    <w:rsid w:val="001D72D3"/>
    <w:rsid w:val="001D7861"/>
    <w:rsid w:val="001E00A5"/>
    <w:rsid w:val="001E024C"/>
    <w:rsid w:val="001E03DA"/>
    <w:rsid w:val="001E043C"/>
    <w:rsid w:val="001E0BF8"/>
    <w:rsid w:val="001E1244"/>
    <w:rsid w:val="001E124D"/>
    <w:rsid w:val="001E1F74"/>
    <w:rsid w:val="001E2258"/>
    <w:rsid w:val="001E26F1"/>
    <w:rsid w:val="001E2BDD"/>
    <w:rsid w:val="001E3550"/>
    <w:rsid w:val="001E3AD1"/>
    <w:rsid w:val="001E3DAA"/>
    <w:rsid w:val="001E4432"/>
    <w:rsid w:val="001E4656"/>
    <w:rsid w:val="001E4827"/>
    <w:rsid w:val="001E4BAF"/>
    <w:rsid w:val="001E57F3"/>
    <w:rsid w:val="001E5AFE"/>
    <w:rsid w:val="001E5D8E"/>
    <w:rsid w:val="001E5EBC"/>
    <w:rsid w:val="001E70E0"/>
    <w:rsid w:val="001E7876"/>
    <w:rsid w:val="001E794A"/>
    <w:rsid w:val="001EB575"/>
    <w:rsid w:val="001F00EE"/>
    <w:rsid w:val="001F0685"/>
    <w:rsid w:val="001F073F"/>
    <w:rsid w:val="001F0AD9"/>
    <w:rsid w:val="001F0C6C"/>
    <w:rsid w:val="001F0E80"/>
    <w:rsid w:val="001F0F96"/>
    <w:rsid w:val="001F1CB9"/>
    <w:rsid w:val="001F26A7"/>
    <w:rsid w:val="001F2A54"/>
    <w:rsid w:val="001F2A62"/>
    <w:rsid w:val="001F2CCE"/>
    <w:rsid w:val="001F2D01"/>
    <w:rsid w:val="001F3281"/>
    <w:rsid w:val="001F3304"/>
    <w:rsid w:val="001F36DA"/>
    <w:rsid w:val="001F3891"/>
    <w:rsid w:val="001F3CA5"/>
    <w:rsid w:val="001F4353"/>
    <w:rsid w:val="001F5051"/>
    <w:rsid w:val="001F52B1"/>
    <w:rsid w:val="001F7302"/>
    <w:rsid w:val="001F760A"/>
    <w:rsid w:val="001F7636"/>
    <w:rsid w:val="001F787D"/>
    <w:rsid w:val="00201502"/>
    <w:rsid w:val="00201E40"/>
    <w:rsid w:val="00202716"/>
    <w:rsid w:val="00202D82"/>
    <w:rsid w:val="00202DD2"/>
    <w:rsid w:val="002033D1"/>
    <w:rsid w:val="00203D75"/>
    <w:rsid w:val="00204397"/>
    <w:rsid w:val="002043EF"/>
    <w:rsid w:val="0020461F"/>
    <w:rsid w:val="0020465D"/>
    <w:rsid w:val="002056A2"/>
    <w:rsid w:val="00206313"/>
    <w:rsid w:val="002063BD"/>
    <w:rsid w:val="0020652F"/>
    <w:rsid w:val="00206611"/>
    <w:rsid w:val="0020680F"/>
    <w:rsid w:val="00206B86"/>
    <w:rsid w:val="00210297"/>
    <w:rsid w:val="002104A8"/>
    <w:rsid w:val="002105AC"/>
    <w:rsid w:val="00211263"/>
    <w:rsid w:val="00211A88"/>
    <w:rsid w:val="00211EA8"/>
    <w:rsid w:val="00212A58"/>
    <w:rsid w:val="00212E5C"/>
    <w:rsid w:val="00213635"/>
    <w:rsid w:val="00213E96"/>
    <w:rsid w:val="0021410F"/>
    <w:rsid w:val="0021454A"/>
    <w:rsid w:val="002145FF"/>
    <w:rsid w:val="002154A6"/>
    <w:rsid w:val="00215F01"/>
    <w:rsid w:val="00216163"/>
    <w:rsid w:val="0021682E"/>
    <w:rsid w:val="0021693A"/>
    <w:rsid w:val="00216F0B"/>
    <w:rsid w:val="0021762A"/>
    <w:rsid w:val="002209AF"/>
    <w:rsid w:val="00220A87"/>
    <w:rsid w:val="00220C47"/>
    <w:rsid w:val="002212F0"/>
    <w:rsid w:val="002219CF"/>
    <w:rsid w:val="00221E3C"/>
    <w:rsid w:val="00222172"/>
    <w:rsid w:val="002235C0"/>
    <w:rsid w:val="00223748"/>
    <w:rsid w:val="00223770"/>
    <w:rsid w:val="0022385B"/>
    <w:rsid w:val="00224057"/>
    <w:rsid w:val="002243D0"/>
    <w:rsid w:val="002246AE"/>
    <w:rsid w:val="002250AF"/>
    <w:rsid w:val="002258D8"/>
    <w:rsid w:val="00226103"/>
    <w:rsid w:val="00226622"/>
    <w:rsid w:val="00226A89"/>
    <w:rsid w:val="00226D58"/>
    <w:rsid w:val="00227573"/>
    <w:rsid w:val="002275DA"/>
    <w:rsid w:val="00227688"/>
    <w:rsid w:val="00227A08"/>
    <w:rsid w:val="00227CE2"/>
    <w:rsid w:val="00231003"/>
    <w:rsid w:val="002316EB"/>
    <w:rsid w:val="00231ACF"/>
    <w:rsid w:val="00231B9B"/>
    <w:rsid w:val="00231E13"/>
    <w:rsid w:val="00232716"/>
    <w:rsid w:val="002327A5"/>
    <w:rsid w:val="00232F9D"/>
    <w:rsid w:val="002332F7"/>
    <w:rsid w:val="00233356"/>
    <w:rsid w:val="002338DB"/>
    <w:rsid w:val="00233F19"/>
    <w:rsid w:val="00234780"/>
    <w:rsid w:val="0023491A"/>
    <w:rsid w:val="0023492C"/>
    <w:rsid w:val="00234D3B"/>
    <w:rsid w:val="00234D7A"/>
    <w:rsid w:val="002354C8"/>
    <w:rsid w:val="00235C0A"/>
    <w:rsid w:val="00236843"/>
    <w:rsid w:val="00237017"/>
    <w:rsid w:val="00237C32"/>
    <w:rsid w:val="00237E94"/>
    <w:rsid w:val="002401DD"/>
    <w:rsid w:val="0024069C"/>
    <w:rsid w:val="002406CD"/>
    <w:rsid w:val="0024070F"/>
    <w:rsid w:val="00240FA2"/>
    <w:rsid w:val="002411FD"/>
    <w:rsid w:val="002413C4"/>
    <w:rsid w:val="002421D5"/>
    <w:rsid w:val="00242523"/>
    <w:rsid w:val="00242932"/>
    <w:rsid w:val="002434FE"/>
    <w:rsid w:val="002435B5"/>
    <w:rsid w:val="00243A18"/>
    <w:rsid w:val="00244A1B"/>
    <w:rsid w:val="00244B96"/>
    <w:rsid w:val="00244D90"/>
    <w:rsid w:val="00245428"/>
    <w:rsid w:val="00246106"/>
    <w:rsid w:val="00246B95"/>
    <w:rsid w:val="00246EB7"/>
    <w:rsid w:val="00247EF4"/>
    <w:rsid w:val="00250774"/>
    <w:rsid w:val="00250B31"/>
    <w:rsid w:val="00250C11"/>
    <w:rsid w:val="00250F9D"/>
    <w:rsid w:val="0025116F"/>
    <w:rsid w:val="00251347"/>
    <w:rsid w:val="0025146E"/>
    <w:rsid w:val="002517B4"/>
    <w:rsid w:val="002518D1"/>
    <w:rsid w:val="00251E22"/>
    <w:rsid w:val="00251EC0"/>
    <w:rsid w:val="00251F0F"/>
    <w:rsid w:val="00252798"/>
    <w:rsid w:val="002527BA"/>
    <w:rsid w:val="00252B7D"/>
    <w:rsid w:val="00252CE2"/>
    <w:rsid w:val="00252E10"/>
    <w:rsid w:val="00253119"/>
    <w:rsid w:val="00253139"/>
    <w:rsid w:val="00253FBA"/>
    <w:rsid w:val="00254E57"/>
    <w:rsid w:val="00256151"/>
    <w:rsid w:val="002562D2"/>
    <w:rsid w:val="00256A72"/>
    <w:rsid w:val="00256EA0"/>
    <w:rsid w:val="002572FD"/>
    <w:rsid w:val="0025794F"/>
    <w:rsid w:val="00257A05"/>
    <w:rsid w:val="002601F8"/>
    <w:rsid w:val="00260345"/>
    <w:rsid w:val="002614A8"/>
    <w:rsid w:val="00261566"/>
    <w:rsid w:val="002615B2"/>
    <w:rsid w:val="00261A4D"/>
    <w:rsid w:val="00262380"/>
    <w:rsid w:val="00262D25"/>
    <w:rsid w:val="002630C0"/>
    <w:rsid w:val="002633D8"/>
    <w:rsid w:val="00263563"/>
    <w:rsid w:val="00263CC0"/>
    <w:rsid w:val="00263E22"/>
    <w:rsid w:val="00264524"/>
    <w:rsid w:val="00264723"/>
    <w:rsid w:val="002649AE"/>
    <w:rsid w:val="00264FE0"/>
    <w:rsid w:val="00265140"/>
    <w:rsid w:val="00265EF5"/>
    <w:rsid w:val="002665D5"/>
    <w:rsid w:val="002672A8"/>
    <w:rsid w:val="00267AA0"/>
    <w:rsid w:val="00267E1C"/>
    <w:rsid w:val="002706A4"/>
    <w:rsid w:val="00270831"/>
    <w:rsid w:val="002712F9"/>
    <w:rsid w:val="00271D6B"/>
    <w:rsid w:val="00271E3D"/>
    <w:rsid w:val="002721C1"/>
    <w:rsid w:val="00272B5A"/>
    <w:rsid w:val="002739F5"/>
    <w:rsid w:val="0027444E"/>
    <w:rsid w:val="002747C3"/>
    <w:rsid w:val="0027497F"/>
    <w:rsid w:val="00274B66"/>
    <w:rsid w:val="002751CB"/>
    <w:rsid w:val="0027527A"/>
    <w:rsid w:val="0027547E"/>
    <w:rsid w:val="00275855"/>
    <w:rsid w:val="00275FB8"/>
    <w:rsid w:val="0027625C"/>
    <w:rsid w:val="00276664"/>
    <w:rsid w:val="00276924"/>
    <w:rsid w:val="002771C7"/>
    <w:rsid w:val="00277709"/>
    <w:rsid w:val="00277D86"/>
    <w:rsid w:val="002800B9"/>
    <w:rsid w:val="00280706"/>
    <w:rsid w:val="00280B5E"/>
    <w:rsid w:val="00281B1B"/>
    <w:rsid w:val="002820BE"/>
    <w:rsid w:val="00282748"/>
    <w:rsid w:val="002829AA"/>
    <w:rsid w:val="002829BE"/>
    <w:rsid w:val="00283194"/>
    <w:rsid w:val="002831C7"/>
    <w:rsid w:val="00283B42"/>
    <w:rsid w:val="002847D5"/>
    <w:rsid w:val="00284A02"/>
    <w:rsid w:val="00285549"/>
    <w:rsid w:val="00285A45"/>
    <w:rsid w:val="00285ED1"/>
    <w:rsid w:val="00286074"/>
    <w:rsid w:val="002860DB"/>
    <w:rsid w:val="00286181"/>
    <w:rsid w:val="00286192"/>
    <w:rsid w:val="00286806"/>
    <w:rsid w:val="002869BD"/>
    <w:rsid w:val="00286EEA"/>
    <w:rsid w:val="002870CF"/>
    <w:rsid w:val="00287201"/>
    <w:rsid w:val="00287584"/>
    <w:rsid w:val="00287970"/>
    <w:rsid w:val="00290471"/>
    <w:rsid w:val="00290517"/>
    <w:rsid w:val="00290739"/>
    <w:rsid w:val="00290A71"/>
    <w:rsid w:val="0029101D"/>
    <w:rsid w:val="0029104B"/>
    <w:rsid w:val="0029105A"/>
    <w:rsid w:val="00291842"/>
    <w:rsid w:val="00291872"/>
    <w:rsid w:val="00291A28"/>
    <w:rsid w:val="00291ADA"/>
    <w:rsid w:val="002932E5"/>
    <w:rsid w:val="0029387A"/>
    <w:rsid w:val="00293C60"/>
    <w:rsid w:val="00293CAE"/>
    <w:rsid w:val="00294216"/>
    <w:rsid w:val="0029443E"/>
    <w:rsid w:val="00294E7D"/>
    <w:rsid w:val="00295082"/>
    <w:rsid w:val="002960A8"/>
    <w:rsid w:val="002964B7"/>
    <w:rsid w:val="00296535"/>
    <w:rsid w:val="002969BF"/>
    <w:rsid w:val="00297E6A"/>
    <w:rsid w:val="002983CA"/>
    <w:rsid w:val="002A0028"/>
    <w:rsid w:val="002A0104"/>
    <w:rsid w:val="002A0649"/>
    <w:rsid w:val="002A0D61"/>
    <w:rsid w:val="002A0E4E"/>
    <w:rsid w:val="002A1C27"/>
    <w:rsid w:val="002A24FB"/>
    <w:rsid w:val="002A2F2F"/>
    <w:rsid w:val="002A2FE0"/>
    <w:rsid w:val="002A3A0C"/>
    <w:rsid w:val="002A3D89"/>
    <w:rsid w:val="002A58E1"/>
    <w:rsid w:val="002A5C97"/>
    <w:rsid w:val="002A5DDD"/>
    <w:rsid w:val="002A5F18"/>
    <w:rsid w:val="002A651C"/>
    <w:rsid w:val="002A6573"/>
    <w:rsid w:val="002B0508"/>
    <w:rsid w:val="002B07C3"/>
    <w:rsid w:val="002B0FF2"/>
    <w:rsid w:val="002B1349"/>
    <w:rsid w:val="002B172E"/>
    <w:rsid w:val="002B173F"/>
    <w:rsid w:val="002B18B3"/>
    <w:rsid w:val="002B23E2"/>
    <w:rsid w:val="002B24B9"/>
    <w:rsid w:val="002B2B3F"/>
    <w:rsid w:val="002B3293"/>
    <w:rsid w:val="002B3379"/>
    <w:rsid w:val="002B3427"/>
    <w:rsid w:val="002B34E2"/>
    <w:rsid w:val="002B3C74"/>
    <w:rsid w:val="002B3E4A"/>
    <w:rsid w:val="002B43E6"/>
    <w:rsid w:val="002B4A6A"/>
    <w:rsid w:val="002B4C6E"/>
    <w:rsid w:val="002B51BE"/>
    <w:rsid w:val="002B5387"/>
    <w:rsid w:val="002B53F2"/>
    <w:rsid w:val="002B56C2"/>
    <w:rsid w:val="002B5A13"/>
    <w:rsid w:val="002B5A17"/>
    <w:rsid w:val="002B655C"/>
    <w:rsid w:val="002B6F49"/>
    <w:rsid w:val="002B7654"/>
    <w:rsid w:val="002C0143"/>
    <w:rsid w:val="002C097E"/>
    <w:rsid w:val="002C09BB"/>
    <w:rsid w:val="002C0D45"/>
    <w:rsid w:val="002C1C22"/>
    <w:rsid w:val="002C1FEC"/>
    <w:rsid w:val="002C212F"/>
    <w:rsid w:val="002C2BAD"/>
    <w:rsid w:val="002C38F6"/>
    <w:rsid w:val="002C40F9"/>
    <w:rsid w:val="002C4BE9"/>
    <w:rsid w:val="002C4DC0"/>
    <w:rsid w:val="002C4E1C"/>
    <w:rsid w:val="002C5213"/>
    <w:rsid w:val="002C5343"/>
    <w:rsid w:val="002C53A8"/>
    <w:rsid w:val="002C57A2"/>
    <w:rsid w:val="002C6145"/>
    <w:rsid w:val="002C6696"/>
    <w:rsid w:val="002C6F5F"/>
    <w:rsid w:val="002C7059"/>
    <w:rsid w:val="002C71E4"/>
    <w:rsid w:val="002C75D7"/>
    <w:rsid w:val="002C7E98"/>
    <w:rsid w:val="002CBAA0"/>
    <w:rsid w:val="002D001C"/>
    <w:rsid w:val="002D020A"/>
    <w:rsid w:val="002D05A7"/>
    <w:rsid w:val="002D0C76"/>
    <w:rsid w:val="002D1301"/>
    <w:rsid w:val="002D133D"/>
    <w:rsid w:val="002D178D"/>
    <w:rsid w:val="002D19E9"/>
    <w:rsid w:val="002D1E24"/>
    <w:rsid w:val="002D2486"/>
    <w:rsid w:val="002D3047"/>
    <w:rsid w:val="002D3177"/>
    <w:rsid w:val="002D3200"/>
    <w:rsid w:val="002D36D0"/>
    <w:rsid w:val="002D381A"/>
    <w:rsid w:val="002D3A45"/>
    <w:rsid w:val="002D54A6"/>
    <w:rsid w:val="002D58EB"/>
    <w:rsid w:val="002D5C5D"/>
    <w:rsid w:val="002D5DFA"/>
    <w:rsid w:val="002D6129"/>
    <w:rsid w:val="002D6190"/>
    <w:rsid w:val="002D6785"/>
    <w:rsid w:val="002D6E4A"/>
    <w:rsid w:val="002D7048"/>
    <w:rsid w:val="002D7F86"/>
    <w:rsid w:val="002E05C1"/>
    <w:rsid w:val="002E0BC3"/>
    <w:rsid w:val="002E13E3"/>
    <w:rsid w:val="002E1585"/>
    <w:rsid w:val="002E15AC"/>
    <w:rsid w:val="002E1895"/>
    <w:rsid w:val="002E198C"/>
    <w:rsid w:val="002E1B45"/>
    <w:rsid w:val="002E1D90"/>
    <w:rsid w:val="002E281D"/>
    <w:rsid w:val="002E294C"/>
    <w:rsid w:val="002E29F8"/>
    <w:rsid w:val="002E308D"/>
    <w:rsid w:val="002E314E"/>
    <w:rsid w:val="002E326D"/>
    <w:rsid w:val="002E38BC"/>
    <w:rsid w:val="002E3F66"/>
    <w:rsid w:val="002E4226"/>
    <w:rsid w:val="002E4ACD"/>
    <w:rsid w:val="002E5251"/>
    <w:rsid w:val="002E5383"/>
    <w:rsid w:val="002E5468"/>
    <w:rsid w:val="002E55CC"/>
    <w:rsid w:val="002E58C0"/>
    <w:rsid w:val="002E749D"/>
    <w:rsid w:val="002E7966"/>
    <w:rsid w:val="002F02AC"/>
    <w:rsid w:val="002F0942"/>
    <w:rsid w:val="002F0A80"/>
    <w:rsid w:val="002F0DD8"/>
    <w:rsid w:val="002F0FFD"/>
    <w:rsid w:val="002F142B"/>
    <w:rsid w:val="002F1762"/>
    <w:rsid w:val="002F1A8A"/>
    <w:rsid w:val="002F213B"/>
    <w:rsid w:val="002F220B"/>
    <w:rsid w:val="002F24BD"/>
    <w:rsid w:val="002F273C"/>
    <w:rsid w:val="002F295F"/>
    <w:rsid w:val="002F36D8"/>
    <w:rsid w:val="002F3EA9"/>
    <w:rsid w:val="002F4492"/>
    <w:rsid w:val="002F4852"/>
    <w:rsid w:val="002F4ECF"/>
    <w:rsid w:val="002F589A"/>
    <w:rsid w:val="002F5A1E"/>
    <w:rsid w:val="002F5DD0"/>
    <w:rsid w:val="002F7323"/>
    <w:rsid w:val="002F769B"/>
    <w:rsid w:val="002F7B06"/>
    <w:rsid w:val="002F7B68"/>
    <w:rsid w:val="002F7C19"/>
    <w:rsid w:val="00300758"/>
    <w:rsid w:val="0030091D"/>
    <w:rsid w:val="00301398"/>
    <w:rsid w:val="003014B5"/>
    <w:rsid w:val="00301777"/>
    <w:rsid w:val="00301A99"/>
    <w:rsid w:val="00301AFD"/>
    <w:rsid w:val="00301B1C"/>
    <w:rsid w:val="00301D78"/>
    <w:rsid w:val="00302377"/>
    <w:rsid w:val="0030368D"/>
    <w:rsid w:val="00304072"/>
    <w:rsid w:val="003040DE"/>
    <w:rsid w:val="00304443"/>
    <w:rsid w:val="00304980"/>
    <w:rsid w:val="003050FE"/>
    <w:rsid w:val="00305856"/>
    <w:rsid w:val="003058DB"/>
    <w:rsid w:val="00306587"/>
    <w:rsid w:val="00307010"/>
    <w:rsid w:val="0030728F"/>
    <w:rsid w:val="003073FD"/>
    <w:rsid w:val="00307819"/>
    <w:rsid w:val="00307B65"/>
    <w:rsid w:val="00310289"/>
    <w:rsid w:val="003107AD"/>
    <w:rsid w:val="00310CDA"/>
    <w:rsid w:val="00310DF7"/>
    <w:rsid w:val="00310F5C"/>
    <w:rsid w:val="00311544"/>
    <w:rsid w:val="0031226C"/>
    <w:rsid w:val="00312364"/>
    <w:rsid w:val="003125D7"/>
    <w:rsid w:val="00312AF4"/>
    <w:rsid w:val="00312B04"/>
    <w:rsid w:val="00312C3E"/>
    <w:rsid w:val="00312F0C"/>
    <w:rsid w:val="00312F8B"/>
    <w:rsid w:val="003137B5"/>
    <w:rsid w:val="00313BB3"/>
    <w:rsid w:val="00313E2C"/>
    <w:rsid w:val="00314208"/>
    <w:rsid w:val="00314214"/>
    <w:rsid w:val="0031438A"/>
    <w:rsid w:val="003146C8"/>
    <w:rsid w:val="00314E09"/>
    <w:rsid w:val="00314FC9"/>
    <w:rsid w:val="003152D3"/>
    <w:rsid w:val="0031620C"/>
    <w:rsid w:val="0031663F"/>
    <w:rsid w:val="0031682A"/>
    <w:rsid w:val="003171EB"/>
    <w:rsid w:val="00317410"/>
    <w:rsid w:val="00317480"/>
    <w:rsid w:val="0031759F"/>
    <w:rsid w:val="00317F04"/>
    <w:rsid w:val="00317FFD"/>
    <w:rsid w:val="00320104"/>
    <w:rsid w:val="003210AE"/>
    <w:rsid w:val="00321461"/>
    <w:rsid w:val="003215F9"/>
    <w:rsid w:val="00321917"/>
    <w:rsid w:val="00321BCD"/>
    <w:rsid w:val="00321C7D"/>
    <w:rsid w:val="0032213A"/>
    <w:rsid w:val="0032222A"/>
    <w:rsid w:val="00322786"/>
    <w:rsid w:val="00322C7B"/>
    <w:rsid w:val="00322D13"/>
    <w:rsid w:val="00322DD0"/>
    <w:rsid w:val="00322F5D"/>
    <w:rsid w:val="00323199"/>
    <w:rsid w:val="00323477"/>
    <w:rsid w:val="00323EAC"/>
    <w:rsid w:val="003245DA"/>
    <w:rsid w:val="003255EB"/>
    <w:rsid w:val="0032561B"/>
    <w:rsid w:val="00325A01"/>
    <w:rsid w:val="00326210"/>
    <w:rsid w:val="00326F5C"/>
    <w:rsid w:val="00327B0E"/>
    <w:rsid w:val="00327C71"/>
    <w:rsid w:val="003301F1"/>
    <w:rsid w:val="003308EA"/>
    <w:rsid w:val="00330A12"/>
    <w:rsid w:val="00330E48"/>
    <w:rsid w:val="003313F2"/>
    <w:rsid w:val="003319B5"/>
    <w:rsid w:val="00331A43"/>
    <w:rsid w:val="00331CA5"/>
    <w:rsid w:val="003320D3"/>
    <w:rsid w:val="00332571"/>
    <w:rsid w:val="00333B3B"/>
    <w:rsid w:val="00333FDE"/>
    <w:rsid w:val="0033486D"/>
    <w:rsid w:val="00334A37"/>
    <w:rsid w:val="00335696"/>
    <w:rsid w:val="0033706C"/>
    <w:rsid w:val="00337747"/>
    <w:rsid w:val="003400F2"/>
    <w:rsid w:val="003402EB"/>
    <w:rsid w:val="00340504"/>
    <w:rsid w:val="00340575"/>
    <w:rsid w:val="003406CF"/>
    <w:rsid w:val="00340BF7"/>
    <w:rsid w:val="003411F5"/>
    <w:rsid w:val="003415E6"/>
    <w:rsid w:val="003418BA"/>
    <w:rsid w:val="00341F54"/>
    <w:rsid w:val="003420F8"/>
    <w:rsid w:val="00342229"/>
    <w:rsid w:val="00342897"/>
    <w:rsid w:val="003428EF"/>
    <w:rsid w:val="0034351F"/>
    <w:rsid w:val="00343538"/>
    <w:rsid w:val="003441A3"/>
    <w:rsid w:val="0034444B"/>
    <w:rsid w:val="00344941"/>
    <w:rsid w:val="00344ACB"/>
    <w:rsid w:val="00344FD7"/>
    <w:rsid w:val="0034510F"/>
    <w:rsid w:val="00345203"/>
    <w:rsid w:val="00345A6A"/>
    <w:rsid w:val="0034616D"/>
    <w:rsid w:val="003469A5"/>
    <w:rsid w:val="00346AF6"/>
    <w:rsid w:val="00346C42"/>
    <w:rsid w:val="00346EE0"/>
    <w:rsid w:val="00347A21"/>
    <w:rsid w:val="00347CEA"/>
    <w:rsid w:val="00347E24"/>
    <w:rsid w:val="0035059F"/>
    <w:rsid w:val="003506FC"/>
    <w:rsid w:val="003508A0"/>
    <w:rsid w:val="00350ADA"/>
    <w:rsid w:val="00350C32"/>
    <w:rsid w:val="00350EEC"/>
    <w:rsid w:val="0035119A"/>
    <w:rsid w:val="003517B0"/>
    <w:rsid w:val="00351C73"/>
    <w:rsid w:val="0035210A"/>
    <w:rsid w:val="00352289"/>
    <w:rsid w:val="00352899"/>
    <w:rsid w:val="0035325C"/>
    <w:rsid w:val="003533C9"/>
    <w:rsid w:val="00353B4E"/>
    <w:rsid w:val="00353E7F"/>
    <w:rsid w:val="00354C8E"/>
    <w:rsid w:val="003554B0"/>
    <w:rsid w:val="003554BC"/>
    <w:rsid w:val="003558D3"/>
    <w:rsid w:val="00355C55"/>
    <w:rsid w:val="00356418"/>
    <w:rsid w:val="003567F3"/>
    <w:rsid w:val="00357B2A"/>
    <w:rsid w:val="00360B1A"/>
    <w:rsid w:val="00360B90"/>
    <w:rsid w:val="0036140B"/>
    <w:rsid w:val="00362008"/>
    <w:rsid w:val="003621C5"/>
    <w:rsid w:val="00362BA1"/>
    <w:rsid w:val="00362E86"/>
    <w:rsid w:val="00363452"/>
    <w:rsid w:val="003638E7"/>
    <w:rsid w:val="00363DD3"/>
    <w:rsid w:val="0036461F"/>
    <w:rsid w:val="003647E0"/>
    <w:rsid w:val="00364C97"/>
    <w:rsid w:val="00364D2B"/>
    <w:rsid w:val="00365889"/>
    <w:rsid w:val="00365973"/>
    <w:rsid w:val="00366059"/>
    <w:rsid w:val="00366199"/>
    <w:rsid w:val="003665A4"/>
    <w:rsid w:val="0036753D"/>
    <w:rsid w:val="00367DBB"/>
    <w:rsid w:val="00367F1C"/>
    <w:rsid w:val="00370E2F"/>
    <w:rsid w:val="00370EE7"/>
    <w:rsid w:val="00371C92"/>
    <w:rsid w:val="00371E24"/>
    <w:rsid w:val="00371F9D"/>
    <w:rsid w:val="00372597"/>
    <w:rsid w:val="0037274D"/>
    <w:rsid w:val="00372849"/>
    <w:rsid w:val="003729E5"/>
    <w:rsid w:val="00372AA6"/>
    <w:rsid w:val="003733AB"/>
    <w:rsid w:val="003733AD"/>
    <w:rsid w:val="003736BD"/>
    <w:rsid w:val="00373779"/>
    <w:rsid w:val="00373A38"/>
    <w:rsid w:val="00374049"/>
    <w:rsid w:val="003748D3"/>
    <w:rsid w:val="00374A07"/>
    <w:rsid w:val="00374A7C"/>
    <w:rsid w:val="00374CC0"/>
    <w:rsid w:val="00375278"/>
    <w:rsid w:val="0037527D"/>
    <w:rsid w:val="0037535F"/>
    <w:rsid w:val="00376B5A"/>
    <w:rsid w:val="00376BD9"/>
    <w:rsid w:val="00377166"/>
    <w:rsid w:val="003771A6"/>
    <w:rsid w:val="003776FA"/>
    <w:rsid w:val="00377773"/>
    <w:rsid w:val="00377861"/>
    <w:rsid w:val="003800FD"/>
    <w:rsid w:val="00380E0E"/>
    <w:rsid w:val="0038104A"/>
    <w:rsid w:val="00381939"/>
    <w:rsid w:val="00381EE7"/>
    <w:rsid w:val="00381F9C"/>
    <w:rsid w:val="00382434"/>
    <w:rsid w:val="00382B56"/>
    <w:rsid w:val="00382F67"/>
    <w:rsid w:val="003832A8"/>
    <w:rsid w:val="00383537"/>
    <w:rsid w:val="003839AE"/>
    <w:rsid w:val="00383B7B"/>
    <w:rsid w:val="00383BF5"/>
    <w:rsid w:val="00383CC9"/>
    <w:rsid w:val="00383D77"/>
    <w:rsid w:val="00383F31"/>
    <w:rsid w:val="00384072"/>
    <w:rsid w:val="003844A4"/>
    <w:rsid w:val="0038488C"/>
    <w:rsid w:val="0038508B"/>
    <w:rsid w:val="00385620"/>
    <w:rsid w:val="00386098"/>
    <w:rsid w:val="003876EB"/>
    <w:rsid w:val="00387730"/>
    <w:rsid w:val="00387D72"/>
    <w:rsid w:val="00390037"/>
    <w:rsid w:val="0039047F"/>
    <w:rsid w:val="0039071E"/>
    <w:rsid w:val="003908A6"/>
    <w:rsid w:val="00390C45"/>
    <w:rsid w:val="00390C53"/>
    <w:rsid w:val="003911FF"/>
    <w:rsid w:val="00391245"/>
    <w:rsid w:val="00391774"/>
    <w:rsid w:val="00391AD7"/>
    <w:rsid w:val="003920AE"/>
    <w:rsid w:val="0039218F"/>
    <w:rsid w:val="003921C1"/>
    <w:rsid w:val="003923BD"/>
    <w:rsid w:val="00393EBE"/>
    <w:rsid w:val="00395187"/>
    <w:rsid w:val="00395521"/>
    <w:rsid w:val="00395A65"/>
    <w:rsid w:val="00395C03"/>
    <w:rsid w:val="00395FC4"/>
    <w:rsid w:val="00396F17"/>
    <w:rsid w:val="0039767D"/>
    <w:rsid w:val="0039B4EF"/>
    <w:rsid w:val="003A0AAA"/>
    <w:rsid w:val="003A0B31"/>
    <w:rsid w:val="003A0D2B"/>
    <w:rsid w:val="003A1260"/>
    <w:rsid w:val="003A1A70"/>
    <w:rsid w:val="003A1A97"/>
    <w:rsid w:val="003A1A9E"/>
    <w:rsid w:val="003A1B7A"/>
    <w:rsid w:val="003A23D7"/>
    <w:rsid w:val="003A25FE"/>
    <w:rsid w:val="003A27B0"/>
    <w:rsid w:val="003A2A26"/>
    <w:rsid w:val="003A2EC1"/>
    <w:rsid w:val="003A2FB7"/>
    <w:rsid w:val="003A3163"/>
    <w:rsid w:val="003A3907"/>
    <w:rsid w:val="003A39E4"/>
    <w:rsid w:val="003A3DA4"/>
    <w:rsid w:val="003A3EEE"/>
    <w:rsid w:val="003A3F55"/>
    <w:rsid w:val="003A49FD"/>
    <w:rsid w:val="003A4F6D"/>
    <w:rsid w:val="003A54B8"/>
    <w:rsid w:val="003A580C"/>
    <w:rsid w:val="003A5DB7"/>
    <w:rsid w:val="003A64A2"/>
    <w:rsid w:val="003A69A0"/>
    <w:rsid w:val="003A6F79"/>
    <w:rsid w:val="003A6FEE"/>
    <w:rsid w:val="003A7DCF"/>
    <w:rsid w:val="003B0241"/>
    <w:rsid w:val="003B0BC5"/>
    <w:rsid w:val="003B0FC3"/>
    <w:rsid w:val="003B140F"/>
    <w:rsid w:val="003B1792"/>
    <w:rsid w:val="003B1986"/>
    <w:rsid w:val="003B290B"/>
    <w:rsid w:val="003B2CA9"/>
    <w:rsid w:val="003B2E09"/>
    <w:rsid w:val="003B2E96"/>
    <w:rsid w:val="003B2FA8"/>
    <w:rsid w:val="003B30B6"/>
    <w:rsid w:val="003B328B"/>
    <w:rsid w:val="003B3294"/>
    <w:rsid w:val="003B34A3"/>
    <w:rsid w:val="003B39F4"/>
    <w:rsid w:val="003B3F7E"/>
    <w:rsid w:val="003B4441"/>
    <w:rsid w:val="003B4717"/>
    <w:rsid w:val="003B4CD9"/>
    <w:rsid w:val="003B4E48"/>
    <w:rsid w:val="003B50C6"/>
    <w:rsid w:val="003B5307"/>
    <w:rsid w:val="003B53E7"/>
    <w:rsid w:val="003B577F"/>
    <w:rsid w:val="003B5F4B"/>
    <w:rsid w:val="003B5FDF"/>
    <w:rsid w:val="003B61B9"/>
    <w:rsid w:val="003B61FE"/>
    <w:rsid w:val="003B6554"/>
    <w:rsid w:val="003B6568"/>
    <w:rsid w:val="003B6586"/>
    <w:rsid w:val="003B6F01"/>
    <w:rsid w:val="003B7287"/>
    <w:rsid w:val="003B72B9"/>
    <w:rsid w:val="003B7A14"/>
    <w:rsid w:val="003C006D"/>
    <w:rsid w:val="003C06A2"/>
    <w:rsid w:val="003C06E4"/>
    <w:rsid w:val="003C0C02"/>
    <w:rsid w:val="003C182B"/>
    <w:rsid w:val="003C2148"/>
    <w:rsid w:val="003C26D7"/>
    <w:rsid w:val="003C28A2"/>
    <w:rsid w:val="003C2CE7"/>
    <w:rsid w:val="003C2FAB"/>
    <w:rsid w:val="003C3164"/>
    <w:rsid w:val="003C32A1"/>
    <w:rsid w:val="003C3DFC"/>
    <w:rsid w:val="003C3F88"/>
    <w:rsid w:val="003C4C68"/>
    <w:rsid w:val="003C4D92"/>
    <w:rsid w:val="003C4F46"/>
    <w:rsid w:val="003C570E"/>
    <w:rsid w:val="003C6781"/>
    <w:rsid w:val="003C6E44"/>
    <w:rsid w:val="003D003D"/>
    <w:rsid w:val="003D0A25"/>
    <w:rsid w:val="003D15D2"/>
    <w:rsid w:val="003D20A7"/>
    <w:rsid w:val="003D24DF"/>
    <w:rsid w:val="003D24FB"/>
    <w:rsid w:val="003D2A64"/>
    <w:rsid w:val="003D2F6F"/>
    <w:rsid w:val="003D349B"/>
    <w:rsid w:val="003D378A"/>
    <w:rsid w:val="003D452F"/>
    <w:rsid w:val="003D4757"/>
    <w:rsid w:val="003D5659"/>
    <w:rsid w:val="003D5D68"/>
    <w:rsid w:val="003D6761"/>
    <w:rsid w:val="003D68A4"/>
    <w:rsid w:val="003D69E4"/>
    <w:rsid w:val="003D6AED"/>
    <w:rsid w:val="003D7778"/>
    <w:rsid w:val="003D7BF6"/>
    <w:rsid w:val="003E00EC"/>
    <w:rsid w:val="003E0472"/>
    <w:rsid w:val="003E0BD3"/>
    <w:rsid w:val="003E18CE"/>
    <w:rsid w:val="003E1DD1"/>
    <w:rsid w:val="003E1EA3"/>
    <w:rsid w:val="003E3441"/>
    <w:rsid w:val="003E3626"/>
    <w:rsid w:val="003E3644"/>
    <w:rsid w:val="003E36F4"/>
    <w:rsid w:val="003E395B"/>
    <w:rsid w:val="003E3F7E"/>
    <w:rsid w:val="003E48BE"/>
    <w:rsid w:val="003E496D"/>
    <w:rsid w:val="003E4B53"/>
    <w:rsid w:val="003E4DAF"/>
    <w:rsid w:val="003E5298"/>
    <w:rsid w:val="003E569E"/>
    <w:rsid w:val="003E5880"/>
    <w:rsid w:val="003E5AFB"/>
    <w:rsid w:val="003E6554"/>
    <w:rsid w:val="003E6C1E"/>
    <w:rsid w:val="003E6C66"/>
    <w:rsid w:val="003E73DF"/>
    <w:rsid w:val="003E783B"/>
    <w:rsid w:val="003E7A87"/>
    <w:rsid w:val="003E837F"/>
    <w:rsid w:val="003F005D"/>
    <w:rsid w:val="003F03DA"/>
    <w:rsid w:val="003F04CD"/>
    <w:rsid w:val="003F0F89"/>
    <w:rsid w:val="003F1315"/>
    <w:rsid w:val="003F15C1"/>
    <w:rsid w:val="003F1631"/>
    <w:rsid w:val="003F164A"/>
    <w:rsid w:val="003F1797"/>
    <w:rsid w:val="003F1CCD"/>
    <w:rsid w:val="003F222C"/>
    <w:rsid w:val="003F28B9"/>
    <w:rsid w:val="003F32A6"/>
    <w:rsid w:val="003F386D"/>
    <w:rsid w:val="003F38FB"/>
    <w:rsid w:val="003F44A8"/>
    <w:rsid w:val="003F4C7C"/>
    <w:rsid w:val="003F5798"/>
    <w:rsid w:val="003F57DC"/>
    <w:rsid w:val="003F5B78"/>
    <w:rsid w:val="003F6202"/>
    <w:rsid w:val="003F71E3"/>
    <w:rsid w:val="003F735E"/>
    <w:rsid w:val="003F7931"/>
    <w:rsid w:val="003F90AC"/>
    <w:rsid w:val="00400B0C"/>
    <w:rsid w:val="00401335"/>
    <w:rsid w:val="00401432"/>
    <w:rsid w:val="004017C3"/>
    <w:rsid w:val="00401A4F"/>
    <w:rsid w:val="00401C10"/>
    <w:rsid w:val="0040220B"/>
    <w:rsid w:val="00402736"/>
    <w:rsid w:val="00403207"/>
    <w:rsid w:val="00403387"/>
    <w:rsid w:val="004038CC"/>
    <w:rsid w:val="00403FA4"/>
    <w:rsid w:val="00404828"/>
    <w:rsid w:val="00404960"/>
    <w:rsid w:val="004049DE"/>
    <w:rsid w:val="00404DE6"/>
    <w:rsid w:val="00405104"/>
    <w:rsid w:val="00405F5E"/>
    <w:rsid w:val="004065BF"/>
    <w:rsid w:val="004066C2"/>
    <w:rsid w:val="00407BB1"/>
    <w:rsid w:val="00407E83"/>
    <w:rsid w:val="004102D0"/>
    <w:rsid w:val="00410356"/>
    <w:rsid w:val="004103EE"/>
    <w:rsid w:val="0041059D"/>
    <w:rsid w:val="004106E1"/>
    <w:rsid w:val="00410BB1"/>
    <w:rsid w:val="00410D8C"/>
    <w:rsid w:val="00410DCC"/>
    <w:rsid w:val="00411426"/>
    <w:rsid w:val="00411DBF"/>
    <w:rsid w:val="00411E17"/>
    <w:rsid w:val="00411FAF"/>
    <w:rsid w:val="004120BB"/>
    <w:rsid w:val="00412A91"/>
    <w:rsid w:val="00412D4E"/>
    <w:rsid w:val="00412D9E"/>
    <w:rsid w:val="00413295"/>
    <w:rsid w:val="00413367"/>
    <w:rsid w:val="004135B2"/>
    <w:rsid w:val="00413E5D"/>
    <w:rsid w:val="0041464B"/>
    <w:rsid w:val="00414CBE"/>
    <w:rsid w:val="00415200"/>
    <w:rsid w:val="0041620C"/>
    <w:rsid w:val="0041685F"/>
    <w:rsid w:val="00416E62"/>
    <w:rsid w:val="0041745B"/>
    <w:rsid w:val="00417E44"/>
    <w:rsid w:val="00420191"/>
    <w:rsid w:val="004208D9"/>
    <w:rsid w:val="00420D25"/>
    <w:rsid w:val="00421302"/>
    <w:rsid w:val="0042152B"/>
    <w:rsid w:val="00421A35"/>
    <w:rsid w:val="00422780"/>
    <w:rsid w:val="0042281C"/>
    <w:rsid w:val="00422F0B"/>
    <w:rsid w:val="004237CE"/>
    <w:rsid w:val="004239A9"/>
    <w:rsid w:val="00424856"/>
    <w:rsid w:val="00424E6C"/>
    <w:rsid w:val="004256F8"/>
    <w:rsid w:val="0042577A"/>
    <w:rsid w:val="00425C2D"/>
    <w:rsid w:val="00425C49"/>
    <w:rsid w:val="00425DDB"/>
    <w:rsid w:val="00425E72"/>
    <w:rsid w:val="00425F39"/>
    <w:rsid w:val="004269BA"/>
    <w:rsid w:val="004269F6"/>
    <w:rsid w:val="00426C19"/>
    <w:rsid w:val="00426CF4"/>
    <w:rsid w:val="00426DD6"/>
    <w:rsid w:val="00426F92"/>
    <w:rsid w:val="00427A6E"/>
    <w:rsid w:val="00430EF4"/>
    <w:rsid w:val="00431259"/>
    <w:rsid w:val="0043137C"/>
    <w:rsid w:val="004318BB"/>
    <w:rsid w:val="0043217F"/>
    <w:rsid w:val="004322BF"/>
    <w:rsid w:val="00432901"/>
    <w:rsid w:val="00432E84"/>
    <w:rsid w:val="00432F25"/>
    <w:rsid w:val="0043373F"/>
    <w:rsid w:val="00434FB8"/>
    <w:rsid w:val="00435ABF"/>
    <w:rsid w:val="00435E9F"/>
    <w:rsid w:val="00436B68"/>
    <w:rsid w:val="004370D8"/>
    <w:rsid w:val="0043717C"/>
    <w:rsid w:val="0043776B"/>
    <w:rsid w:val="00437E41"/>
    <w:rsid w:val="00440260"/>
    <w:rsid w:val="004405D3"/>
    <w:rsid w:val="00440D00"/>
    <w:rsid w:val="00441618"/>
    <w:rsid w:val="00441BC5"/>
    <w:rsid w:val="00441BFC"/>
    <w:rsid w:val="00441F5A"/>
    <w:rsid w:val="004426F5"/>
    <w:rsid w:val="0044290B"/>
    <w:rsid w:val="00442996"/>
    <w:rsid w:val="0044302C"/>
    <w:rsid w:val="0044369A"/>
    <w:rsid w:val="00443A46"/>
    <w:rsid w:val="00444D23"/>
    <w:rsid w:val="00444E5B"/>
    <w:rsid w:val="0044504A"/>
    <w:rsid w:val="00445146"/>
    <w:rsid w:val="0044561A"/>
    <w:rsid w:val="004460EB"/>
    <w:rsid w:val="00447030"/>
    <w:rsid w:val="0044755B"/>
    <w:rsid w:val="004476AD"/>
    <w:rsid w:val="00447893"/>
    <w:rsid w:val="00447FF3"/>
    <w:rsid w:val="004500BC"/>
    <w:rsid w:val="004501CD"/>
    <w:rsid w:val="004504BE"/>
    <w:rsid w:val="004508B4"/>
    <w:rsid w:val="00451042"/>
    <w:rsid w:val="004511D4"/>
    <w:rsid w:val="0045125C"/>
    <w:rsid w:val="00452324"/>
    <w:rsid w:val="0045277B"/>
    <w:rsid w:val="00452780"/>
    <w:rsid w:val="004529A0"/>
    <w:rsid w:val="00452C40"/>
    <w:rsid w:val="00452CE9"/>
    <w:rsid w:val="00453947"/>
    <w:rsid w:val="004539B1"/>
    <w:rsid w:val="00453A1B"/>
    <w:rsid w:val="00453F6E"/>
    <w:rsid w:val="00454056"/>
    <w:rsid w:val="00454107"/>
    <w:rsid w:val="004541F2"/>
    <w:rsid w:val="004546EB"/>
    <w:rsid w:val="00454D52"/>
    <w:rsid w:val="00454F98"/>
    <w:rsid w:val="004555DE"/>
    <w:rsid w:val="004561AD"/>
    <w:rsid w:val="00456620"/>
    <w:rsid w:val="00456C0A"/>
    <w:rsid w:val="004573A2"/>
    <w:rsid w:val="0045747E"/>
    <w:rsid w:val="00457F98"/>
    <w:rsid w:val="00457F9D"/>
    <w:rsid w:val="004601B7"/>
    <w:rsid w:val="0046024A"/>
    <w:rsid w:val="00460646"/>
    <w:rsid w:val="00460808"/>
    <w:rsid w:val="004609E8"/>
    <w:rsid w:val="00460C4C"/>
    <w:rsid w:val="00460FBB"/>
    <w:rsid w:val="004610DA"/>
    <w:rsid w:val="004611BA"/>
    <w:rsid w:val="00461953"/>
    <w:rsid w:val="0046278E"/>
    <w:rsid w:val="00462C5B"/>
    <w:rsid w:val="00463107"/>
    <w:rsid w:val="004632DA"/>
    <w:rsid w:val="00463476"/>
    <w:rsid w:val="00463802"/>
    <w:rsid w:val="00464069"/>
    <w:rsid w:val="004649BF"/>
    <w:rsid w:val="00465ECA"/>
    <w:rsid w:val="00465F4C"/>
    <w:rsid w:val="00466200"/>
    <w:rsid w:val="00466B34"/>
    <w:rsid w:val="00466EAE"/>
    <w:rsid w:val="00466F03"/>
    <w:rsid w:val="00467A24"/>
    <w:rsid w:val="00470931"/>
    <w:rsid w:val="00470941"/>
    <w:rsid w:val="004712FF"/>
    <w:rsid w:val="00471339"/>
    <w:rsid w:val="00471BCB"/>
    <w:rsid w:val="00472597"/>
    <w:rsid w:val="00472C0C"/>
    <w:rsid w:val="0047312F"/>
    <w:rsid w:val="00473A6F"/>
    <w:rsid w:val="00473C10"/>
    <w:rsid w:val="00473E9D"/>
    <w:rsid w:val="00474297"/>
    <w:rsid w:val="0047432D"/>
    <w:rsid w:val="0047435E"/>
    <w:rsid w:val="00474A6B"/>
    <w:rsid w:val="004757B0"/>
    <w:rsid w:val="00475F43"/>
    <w:rsid w:val="004761DE"/>
    <w:rsid w:val="004764D4"/>
    <w:rsid w:val="00476647"/>
    <w:rsid w:val="00476800"/>
    <w:rsid w:val="00477C93"/>
    <w:rsid w:val="00477DFB"/>
    <w:rsid w:val="0048052A"/>
    <w:rsid w:val="0048055B"/>
    <w:rsid w:val="0048081A"/>
    <w:rsid w:val="0048145C"/>
    <w:rsid w:val="00481B83"/>
    <w:rsid w:val="00481EC6"/>
    <w:rsid w:val="00482080"/>
    <w:rsid w:val="00482B77"/>
    <w:rsid w:val="00482E4D"/>
    <w:rsid w:val="00482E70"/>
    <w:rsid w:val="0048341A"/>
    <w:rsid w:val="00483C90"/>
    <w:rsid w:val="0048533D"/>
    <w:rsid w:val="00485DDE"/>
    <w:rsid w:val="004860C0"/>
    <w:rsid w:val="004864EC"/>
    <w:rsid w:val="00486BB4"/>
    <w:rsid w:val="0048713D"/>
    <w:rsid w:val="0048730C"/>
    <w:rsid w:val="00487484"/>
    <w:rsid w:val="00487B8A"/>
    <w:rsid w:val="00487D38"/>
    <w:rsid w:val="00490354"/>
    <w:rsid w:val="0049096D"/>
    <w:rsid w:val="00490C98"/>
    <w:rsid w:val="00490CF4"/>
    <w:rsid w:val="00490F92"/>
    <w:rsid w:val="00490FEA"/>
    <w:rsid w:val="0049187D"/>
    <w:rsid w:val="00491B71"/>
    <w:rsid w:val="00491C39"/>
    <w:rsid w:val="00491C9D"/>
    <w:rsid w:val="00492928"/>
    <w:rsid w:val="00492D2C"/>
    <w:rsid w:val="00493026"/>
    <w:rsid w:val="00493257"/>
    <w:rsid w:val="0049353A"/>
    <w:rsid w:val="00493C88"/>
    <w:rsid w:val="00493CCA"/>
    <w:rsid w:val="00494D8C"/>
    <w:rsid w:val="00494FC2"/>
    <w:rsid w:val="00495E62"/>
    <w:rsid w:val="004960A4"/>
    <w:rsid w:val="0049614D"/>
    <w:rsid w:val="004968B3"/>
    <w:rsid w:val="00496E45"/>
    <w:rsid w:val="004977BA"/>
    <w:rsid w:val="00497F53"/>
    <w:rsid w:val="004A06F3"/>
    <w:rsid w:val="004A18A6"/>
    <w:rsid w:val="004A19CC"/>
    <w:rsid w:val="004A1A78"/>
    <w:rsid w:val="004A1F9E"/>
    <w:rsid w:val="004A2443"/>
    <w:rsid w:val="004A28CF"/>
    <w:rsid w:val="004A29D7"/>
    <w:rsid w:val="004A2E44"/>
    <w:rsid w:val="004A2F3C"/>
    <w:rsid w:val="004A3395"/>
    <w:rsid w:val="004A34FD"/>
    <w:rsid w:val="004A36F6"/>
    <w:rsid w:val="004A5A5F"/>
    <w:rsid w:val="004A5AB4"/>
    <w:rsid w:val="004A5BF5"/>
    <w:rsid w:val="004A5E1C"/>
    <w:rsid w:val="004A5F9C"/>
    <w:rsid w:val="004A6142"/>
    <w:rsid w:val="004A6583"/>
    <w:rsid w:val="004A65C7"/>
    <w:rsid w:val="004A65E4"/>
    <w:rsid w:val="004A675F"/>
    <w:rsid w:val="004A7272"/>
    <w:rsid w:val="004A78DF"/>
    <w:rsid w:val="004A7C22"/>
    <w:rsid w:val="004A7D01"/>
    <w:rsid w:val="004B0429"/>
    <w:rsid w:val="004B0B85"/>
    <w:rsid w:val="004B0BEE"/>
    <w:rsid w:val="004B1633"/>
    <w:rsid w:val="004B16A3"/>
    <w:rsid w:val="004B1CD9"/>
    <w:rsid w:val="004B2F96"/>
    <w:rsid w:val="004B318B"/>
    <w:rsid w:val="004B3489"/>
    <w:rsid w:val="004B3922"/>
    <w:rsid w:val="004B3AC0"/>
    <w:rsid w:val="004B3EEA"/>
    <w:rsid w:val="004B4202"/>
    <w:rsid w:val="004B5036"/>
    <w:rsid w:val="004B5981"/>
    <w:rsid w:val="004B62A8"/>
    <w:rsid w:val="004B658C"/>
    <w:rsid w:val="004B69CA"/>
    <w:rsid w:val="004B7131"/>
    <w:rsid w:val="004B7140"/>
    <w:rsid w:val="004B79FC"/>
    <w:rsid w:val="004C05A1"/>
    <w:rsid w:val="004C095D"/>
    <w:rsid w:val="004C09E6"/>
    <w:rsid w:val="004C0BE6"/>
    <w:rsid w:val="004C1F77"/>
    <w:rsid w:val="004C20B6"/>
    <w:rsid w:val="004C212D"/>
    <w:rsid w:val="004C2770"/>
    <w:rsid w:val="004C2C55"/>
    <w:rsid w:val="004C30F6"/>
    <w:rsid w:val="004C3171"/>
    <w:rsid w:val="004C379B"/>
    <w:rsid w:val="004C3A5E"/>
    <w:rsid w:val="004C3C17"/>
    <w:rsid w:val="004C3EBA"/>
    <w:rsid w:val="004C40CA"/>
    <w:rsid w:val="004C4825"/>
    <w:rsid w:val="004C4B09"/>
    <w:rsid w:val="004C5A27"/>
    <w:rsid w:val="004C5B10"/>
    <w:rsid w:val="004C696A"/>
    <w:rsid w:val="004C6AE4"/>
    <w:rsid w:val="004C7432"/>
    <w:rsid w:val="004C774F"/>
    <w:rsid w:val="004C7B2B"/>
    <w:rsid w:val="004C7FC9"/>
    <w:rsid w:val="004D041A"/>
    <w:rsid w:val="004D06C9"/>
    <w:rsid w:val="004D0758"/>
    <w:rsid w:val="004D0A9C"/>
    <w:rsid w:val="004D0F40"/>
    <w:rsid w:val="004D165F"/>
    <w:rsid w:val="004D1D8F"/>
    <w:rsid w:val="004D2027"/>
    <w:rsid w:val="004D2111"/>
    <w:rsid w:val="004D2627"/>
    <w:rsid w:val="004D2748"/>
    <w:rsid w:val="004D27AF"/>
    <w:rsid w:val="004D386C"/>
    <w:rsid w:val="004D3A87"/>
    <w:rsid w:val="004D43DD"/>
    <w:rsid w:val="004D56CF"/>
    <w:rsid w:val="004D5BA9"/>
    <w:rsid w:val="004D6598"/>
    <w:rsid w:val="004D6B61"/>
    <w:rsid w:val="004D756B"/>
    <w:rsid w:val="004D784B"/>
    <w:rsid w:val="004E0184"/>
    <w:rsid w:val="004E025A"/>
    <w:rsid w:val="004E03D2"/>
    <w:rsid w:val="004E09DF"/>
    <w:rsid w:val="004E1291"/>
    <w:rsid w:val="004E135D"/>
    <w:rsid w:val="004E1593"/>
    <w:rsid w:val="004E1744"/>
    <w:rsid w:val="004E2497"/>
    <w:rsid w:val="004E263F"/>
    <w:rsid w:val="004E2945"/>
    <w:rsid w:val="004E3187"/>
    <w:rsid w:val="004E339D"/>
    <w:rsid w:val="004E3965"/>
    <w:rsid w:val="004E4C5F"/>
    <w:rsid w:val="004E4FDC"/>
    <w:rsid w:val="004E55C0"/>
    <w:rsid w:val="004E5AF4"/>
    <w:rsid w:val="004E5FEF"/>
    <w:rsid w:val="004E6086"/>
    <w:rsid w:val="004E617C"/>
    <w:rsid w:val="004E6365"/>
    <w:rsid w:val="004E6D7C"/>
    <w:rsid w:val="004E6ECB"/>
    <w:rsid w:val="004E722D"/>
    <w:rsid w:val="004E7318"/>
    <w:rsid w:val="004EE409"/>
    <w:rsid w:val="004F01B8"/>
    <w:rsid w:val="004F0B87"/>
    <w:rsid w:val="004F10F7"/>
    <w:rsid w:val="004F1509"/>
    <w:rsid w:val="004F1586"/>
    <w:rsid w:val="004F2117"/>
    <w:rsid w:val="004F2A64"/>
    <w:rsid w:val="004F328D"/>
    <w:rsid w:val="004F32F7"/>
    <w:rsid w:val="004F3895"/>
    <w:rsid w:val="004F4BA3"/>
    <w:rsid w:val="004F51B1"/>
    <w:rsid w:val="004F5359"/>
    <w:rsid w:val="004F54EF"/>
    <w:rsid w:val="004F58BB"/>
    <w:rsid w:val="004F5A16"/>
    <w:rsid w:val="004F6AC3"/>
    <w:rsid w:val="004F7334"/>
    <w:rsid w:val="004F7DF5"/>
    <w:rsid w:val="004F8484"/>
    <w:rsid w:val="00500CC8"/>
    <w:rsid w:val="005025BA"/>
    <w:rsid w:val="0050263B"/>
    <w:rsid w:val="005030C0"/>
    <w:rsid w:val="00503850"/>
    <w:rsid w:val="00503980"/>
    <w:rsid w:val="0050415F"/>
    <w:rsid w:val="00504255"/>
    <w:rsid w:val="00504AFF"/>
    <w:rsid w:val="00504B88"/>
    <w:rsid w:val="005057AF"/>
    <w:rsid w:val="00505A42"/>
    <w:rsid w:val="00505CA8"/>
    <w:rsid w:val="005061F8"/>
    <w:rsid w:val="00506394"/>
    <w:rsid w:val="00506444"/>
    <w:rsid w:val="005065A3"/>
    <w:rsid w:val="0050732F"/>
    <w:rsid w:val="0050783C"/>
    <w:rsid w:val="0051008B"/>
    <w:rsid w:val="00510306"/>
    <w:rsid w:val="005109D0"/>
    <w:rsid w:val="00510EF7"/>
    <w:rsid w:val="00511423"/>
    <w:rsid w:val="00511499"/>
    <w:rsid w:val="00511546"/>
    <w:rsid w:val="00511681"/>
    <w:rsid w:val="00512B6E"/>
    <w:rsid w:val="00513022"/>
    <w:rsid w:val="00513247"/>
    <w:rsid w:val="005138D4"/>
    <w:rsid w:val="00513A28"/>
    <w:rsid w:val="00513E45"/>
    <w:rsid w:val="0051434C"/>
    <w:rsid w:val="00514B00"/>
    <w:rsid w:val="005158CC"/>
    <w:rsid w:val="00515CD0"/>
    <w:rsid w:val="00516048"/>
    <w:rsid w:val="00516342"/>
    <w:rsid w:val="0051662E"/>
    <w:rsid w:val="005168C5"/>
    <w:rsid w:val="005169DA"/>
    <w:rsid w:val="00516A27"/>
    <w:rsid w:val="00516C2D"/>
    <w:rsid w:val="00516D70"/>
    <w:rsid w:val="00517039"/>
    <w:rsid w:val="00517847"/>
    <w:rsid w:val="00517A9F"/>
    <w:rsid w:val="00517AB2"/>
    <w:rsid w:val="00517E89"/>
    <w:rsid w:val="00520084"/>
    <w:rsid w:val="0052084F"/>
    <w:rsid w:val="00520F1B"/>
    <w:rsid w:val="005218C9"/>
    <w:rsid w:val="0052198E"/>
    <w:rsid w:val="00521F2E"/>
    <w:rsid w:val="0052249D"/>
    <w:rsid w:val="005224AA"/>
    <w:rsid w:val="005225AF"/>
    <w:rsid w:val="00522F8F"/>
    <w:rsid w:val="005236FF"/>
    <w:rsid w:val="00523746"/>
    <w:rsid w:val="00523D13"/>
    <w:rsid w:val="00523F21"/>
    <w:rsid w:val="00524E1F"/>
    <w:rsid w:val="00525776"/>
    <w:rsid w:val="00525CC1"/>
    <w:rsid w:val="00525E2F"/>
    <w:rsid w:val="00526207"/>
    <w:rsid w:val="005266CE"/>
    <w:rsid w:val="005268C9"/>
    <w:rsid w:val="00526CA6"/>
    <w:rsid w:val="0052761F"/>
    <w:rsid w:val="00530114"/>
    <w:rsid w:val="00530F70"/>
    <w:rsid w:val="005314AC"/>
    <w:rsid w:val="0053158E"/>
    <w:rsid w:val="00531958"/>
    <w:rsid w:val="00531AA2"/>
    <w:rsid w:val="00531E69"/>
    <w:rsid w:val="005322ED"/>
    <w:rsid w:val="0053265B"/>
    <w:rsid w:val="0053332A"/>
    <w:rsid w:val="00533DAD"/>
    <w:rsid w:val="00534AF2"/>
    <w:rsid w:val="00535A0F"/>
    <w:rsid w:val="00535DDE"/>
    <w:rsid w:val="00536299"/>
    <w:rsid w:val="0053629E"/>
    <w:rsid w:val="0053654A"/>
    <w:rsid w:val="005369AC"/>
    <w:rsid w:val="00536CB3"/>
    <w:rsid w:val="00537078"/>
    <w:rsid w:val="00537787"/>
    <w:rsid w:val="00540314"/>
    <w:rsid w:val="00540BF4"/>
    <w:rsid w:val="0054105A"/>
    <w:rsid w:val="0054136E"/>
    <w:rsid w:val="005413B5"/>
    <w:rsid w:val="0054179E"/>
    <w:rsid w:val="00541833"/>
    <w:rsid w:val="00541D44"/>
    <w:rsid w:val="00542120"/>
    <w:rsid w:val="00542635"/>
    <w:rsid w:val="00542CBD"/>
    <w:rsid w:val="00542E74"/>
    <w:rsid w:val="00542FD4"/>
    <w:rsid w:val="0054490D"/>
    <w:rsid w:val="00544B06"/>
    <w:rsid w:val="00545724"/>
    <w:rsid w:val="00546649"/>
    <w:rsid w:val="00546795"/>
    <w:rsid w:val="00547422"/>
    <w:rsid w:val="005477AE"/>
    <w:rsid w:val="0054788E"/>
    <w:rsid w:val="00547E19"/>
    <w:rsid w:val="0054A4CF"/>
    <w:rsid w:val="00550139"/>
    <w:rsid w:val="00550476"/>
    <w:rsid w:val="00551256"/>
    <w:rsid w:val="005515FD"/>
    <w:rsid w:val="0055197B"/>
    <w:rsid w:val="00551B80"/>
    <w:rsid w:val="00551DD5"/>
    <w:rsid w:val="005526E7"/>
    <w:rsid w:val="00552E32"/>
    <w:rsid w:val="00553581"/>
    <w:rsid w:val="00553773"/>
    <w:rsid w:val="005537C9"/>
    <w:rsid w:val="00553AB6"/>
    <w:rsid w:val="00553D48"/>
    <w:rsid w:val="0055409D"/>
    <w:rsid w:val="0055443B"/>
    <w:rsid w:val="00554593"/>
    <w:rsid w:val="00554815"/>
    <w:rsid w:val="00554AA6"/>
    <w:rsid w:val="0055506D"/>
    <w:rsid w:val="005552CE"/>
    <w:rsid w:val="00555AD3"/>
    <w:rsid w:val="005565C5"/>
    <w:rsid w:val="005568F5"/>
    <w:rsid w:val="005577EE"/>
    <w:rsid w:val="00557C56"/>
    <w:rsid w:val="00557DB3"/>
    <w:rsid w:val="00557F4C"/>
    <w:rsid w:val="005600B5"/>
    <w:rsid w:val="005602CF"/>
    <w:rsid w:val="0056097F"/>
    <w:rsid w:val="00561866"/>
    <w:rsid w:val="00561C6A"/>
    <w:rsid w:val="00562855"/>
    <w:rsid w:val="00562879"/>
    <w:rsid w:val="0056398D"/>
    <w:rsid w:val="00564044"/>
    <w:rsid w:val="00564199"/>
    <w:rsid w:val="00564538"/>
    <w:rsid w:val="005646E2"/>
    <w:rsid w:val="00564AC0"/>
    <w:rsid w:val="00564AC9"/>
    <w:rsid w:val="00564B42"/>
    <w:rsid w:val="0056576E"/>
    <w:rsid w:val="005662A8"/>
    <w:rsid w:val="005664E7"/>
    <w:rsid w:val="00566695"/>
    <w:rsid w:val="00566A20"/>
    <w:rsid w:val="00566A61"/>
    <w:rsid w:val="00566B2E"/>
    <w:rsid w:val="00566B6C"/>
    <w:rsid w:val="005671BB"/>
    <w:rsid w:val="00567469"/>
    <w:rsid w:val="005674C9"/>
    <w:rsid w:val="00567FEF"/>
    <w:rsid w:val="00570E9A"/>
    <w:rsid w:val="005711A2"/>
    <w:rsid w:val="00571292"/>
    <w:rsid w:val="00571BD0"/>
    <w:rsid w:val="00571D2D"/>
    <w:rsid w:val="0057286D"/>
    <w:rsid w:val="005729BD"/>
    <w:rsid w:val="00572BBD"/>
    <w:rsid w:val="00572BE8"/>
    <w:rsid w:val="00572E0C"/>
    <w:rsid w:val="00572E21"/>
    <w:rsid w:val="0057318E"/>
    <w:rsid w:val="005732AD"/>
    <w:rsid w:val="00573571"/>
    <w:rsid w:val="0057379F"/>
    <w:rsid w:val="00573906"/>
    <w:rsid w:val="00574165"/>
    <w:rsid w:val="0057500D"/>
    <w:rsid w:val="005750DE"/>
    <w:rsid w:val="005756BA"/>
    <w:rsid w:val="00576033"/>
    <w:rsid w:val="00576740"/>
    <w:rsid w:val="005767B0"/>
    <w:rsid w:val="00577077"/>
    <w:rsid w:val="005770E9"/>
    <w:rsid w:val="00577222"/>
    <w:rsid w:val="00577970"/>
    <w:rsid w:val="00577CF5"/>
    <w:rsid w:val="0057F0E5"/>
    <w:rsid w:val="00580258"/>
    <w:rsid w:val="00581401"/>
    <w:rsid w:val="00581670"/>
    <w:rsid w:val="005817A7"/>
    <w:rsid w:val="00581A0E"/>
    <w:rsid w:val="005824B9"/>
    <w:rsid w:val="005828E4"/>
    <w:rsid w:val="0058290C"/>
    <w:rsid w:val="00583038"/>
    <w:rsid w:val="00583B27"/>
    <w:rsid w:val="00583B8E"/>
    <w:rsid w:val="00583BD8"/>
    <w:rsid w:val="00583D73"/>
    <w:rsid w:val="00583DAE"/>
    <w:rsid w:val="00583F64"/>
    <w:rsid w:val="0058490B"/>
    <w:rsid w:val="00584AA3"/>
    <w:rsid w:val="00584F5F"/>
    <w:rsid w:val="00584F71"/>
    <w:rsid w:val="005852ED"/>
    <w:rsid w:val="00585372"/>
    <w:rsid w:val="0058543D"/>
    <w:rsid w:val="00586A22"/>
    <w:rsid w:val="005875AE"/>
    <w:rsid w:val="005876EC"/>
    <w:rsid w:val="00587822"/>
    <w:rsid w:val="00590484"/>
    <w:rsid w:val="00590487"/>
    <w:rsid w:val="0059068F"/>
    <w:rsid w:val="00590D87"/>
    <w:rsid w:val="00591745"/>
    <w:rsid w:val="00591CB2"/>
    <w:rsid w:val="005920FA"/>
    <w:rsid w:val="005922EC"/>
    <w:rsid w:val="0059264A"/>
    <w:rsid w:val="00592FC7"/>
    <w:rsid w:val="005936C9"/>
    <w:rsid w:val="00593C60"/>
    <w:rsid w:val="0059404D"/>
    <w:rsid w:val="005940D6"/>
    <w:rsid w:val="00595DD8"/>
    <w:rsid w:val="0059629C"/>
    <w:rsid w:val="00596A7B"/>
    <w:rsid w:val="00597162"/>
    <w:rsid w:val="0059741E"/>
    <w:rsid w:val="0059771A"/>
    <w:rsid w:val="00597892"/>
    <w:rsid w:val="00597BDD"/>
    <w:rsid w:val="00597CB1"/>
    <w:rsid w:val="00597D54"/>
    <w:rsid w:val="005A1105"/>
    <w:rsid w:val="005A137E"/>
    <w:rsid w:val="005A1DC3"/>
    <w:rsid w:val="005A20C3"/>
    <w:rsid w:val="005A2873"/>
    <w:rsid w:val="005A2F72"/>
    <w:rsid w:val="005A35B8"/>
    <w:rsid w:val="005A3DAA"/>
    <w:rsid w:val="005A3E97"/>
    <w:rsid w:val="005A4295"/>
    <w:rsid w:val="005A48DC"/>
    <w:rsid w:val="005A576F"/>
    <w:rsid w:val="005A58A4"/>
    <w:rsid w:val="005A5FAD"/>
    <w:rsid w:val="005A6D32"/>
    <w:rsid w:val="005A7FCC"/>
    <w:rsid w:val="005B087F"/>
    <w:rsid w:val="005B0A57"/>
    <w:rsid w:val="005B14CC"/>
    <w:rsid w:val="005B1B24"/>
    <w:rsid w:val="005B1DEB"/>
    <w:rsid w:val="005B287E"/>
    <w:rsid w:val="005B3065"/>
    <w:rsid w:val="005B33AD"/>
    <w:rsid w:val="005B37D8"/>
    <w:rsid w:val="005B3ABD"/>
    <w:rsid w:val="005B3B06"/>
    <w:rsid w:val="005B45E9"/>
    <w:rsid w:val="005B6211"/>
    <w:rsid w:val="005B63FD"/>
    <w:rsid w:val="005B677F"/>
    <w:rsid w:val="005B6BCC"/>
    <w:rsid w:val="005B6BF1"/>
    <w:rsid w:val="005B76EE"/>
    <w:rsid w:val="005B78CC"/>
    <w:rsid w:val="005C0706"/>
    <w:rsid w:val="005C08CC"/>
    <w:rsid w:val="005C1916"/>
    <w:rsid w:val="005C2378"/>
    <w:rsid w:val="005C3021"/>
    <w:rsid w:val="005C37A9"/>
    <w:rsid w:val="005C3988"/>
    <w:rsid w:val="005C4255"/>
    <w:rsid w:val="005C448A"/>
    <w:rsid w:val="005C4B6C"/>
    <w:rsid w:val="005C4D93"/>
    <w:rsid w:val="005C4F5D"/>
    <w:rsid w:val="005C5B20"/>
    <w:rsid w:val="005C5CCD"/>
    <w:rsid w:val="005C61B1"/>
    <w:rsid w:val="005C66D4"/>
    <w:rsid w:val="005C6E2E"/>
    <w:rsid w:val="005D03E6"/>
    <w:rsid w:val="005D0435"/>
    <w:rsid w:val="005D09F0"/>
    <w:rsid w:val="005D0BEB"/>
    <w:rsid w:val="005D1F17"/>
    <w:rsid w:val="005D24FB"/>
    <w:rsid w:val="005D276E"/>
    <w:rsid w:val="005D29A5"/>
    <w:rsid w:val="005D2B23"/>
    <w:rsid w:val="005D2BB0"/>
    <w:rsid w:val="005D3483"/>
    <w:rsid w:val="005D63DE"/>
    <w:rsid w:val="005D6712"/>
    <w:rsid w:val="005D6CE0"/>
    <w:rsid w:val="005D6D9A"/>
    <w:rsid w:val="005D72D3"/>
    <w:rsid w:val="005D77E9"/>
    <w:rsid w:val="005D7DD8"/>
    <w:rsid w:val="005E16D3"/>
    <w:rsid w:val="005E1806"/>
    <w:rsid w:val="005E1A35"/>
    <w:rsid w:val="005E1F0C"/>
    <w:rsid w:val="005E2251"/>
    <w:rsid w:val="005E28A2"/>
    <w:rsid w:val="005E2A72"/>
    <w:rsid w:val="005E2CA4"/>
    <w:rsid w:val="005E3832"/>
    <w:rsid w:val="005E396F"/>
    <w:rsid w:val="005E3A36"/>
    <w:rsid w:val="005E3BDB"/>
    <w:rsid w:val="005E445D"/>
    <w:rsid w:val="005E46EB"/>
    <w:rsid w:val="005E472E"/>
    <w:rsid w:val="005E4994"/>
    <w:rsid w:val="005E4CAA"/>
    <w:rsid w:val="005E588C"/>
    <w:rsid w:val="005E5DB7"/>
    <w:rsid w:val="005E62A5"/>
    <w:rsid w:val="005E669F"/>
    <w:rsid w:val="005E68FA"/>
    <w:rsid w:val="005E6B9B"/>
    <w:rsid w:val="005E6D4E"/>
    <w:rsid w:val="005E7107"/>
    <w:rsid w:val="005E762D"/>
    <w:rsid w:val="005E765B"/>
    <w:rsid w:val="005EDAC0"/>
    <w:rsid w:val="005F056D"/>
    <w:rsid w:val="005F0783"/>
    <w:rsid w:val="005F0ECA"/>
    <w:rsid w:val="005F0F31"/>
    <w:rsid w:val="005F126D"/>
    <w:rsid w:val="005F1272"/>
    <w:rsid w:val="005F15BB"/>
    <w:rsid w:val="005F187D"/>
    <w:rsid w:val="005F203D"/>
    <w:rsid w:val="005F216C"/>
    <w:rsid w:val="005F28A6"/>
    <w:rsid w:val="005F2F75"/>
    <w:rsid w:val="005F3EE3"/>
    <w:rsid w:val="005F4AA3"/>
    <w:rsid w:val="005F4C72"/>
    <w:rsid w:val="005F50A5"/>
    <w:rsid w:val="005F540E"/>
    <w:rsid w:val="005F5C34"/>
    <w:rsid w:val="005F7CE4"/>
    <w:rsid w:val="0060025F"/>
    <w:rsid w:val="0060068A"/>
    <w:rsid w:val="00601477"/>
    <w:rsid w:val="00601F0D"/>
    <w:rsid w:val="00602CFA"/>
    <w:rsid w:val="00603043"/>
    <w:rsid w:val="006031AB"/>
    <w:rsid w:val="006031FB"/>
    <w:rsid w:val="00603511"/>
    <w:rsid w:val="00603CB3"/>
    <w:rsid w:val="00603F0A"/>
    <w:rsid w:val="00604791"/>
    <w:rsid w:val="00604861"/>
    <w:rsid w:val="00604A2F"/>
    <w:rsid w:val="00605753"/>
    <w:rsid w:val="00605F89"/>
    <w:rsid w:val="00606C8A"/>
    <w:rsid w:val="006072A3"/>
    <w:rsid w:val="006072CD"/>
    <w:rsid w:val="00607682"/>
    <w:rsid w:val="006078FE"/>
    <w:rsid w:val="006116A7"/>
    <w:rsid w:val="006117CC"/>
    <w:rsid w:val="00611E86"/>
    <w:rsid w:val="006123AF"/>
    <w:rsid w:val="00612444"/>
    <w:rsid w:val="00612611"/>
    <w:rsid w:val="0061277A"/>
    <w:rsid w:val="00612B4C"/>
    <w:rsid w:val="00612EF3"/>
    <w:rsid w:val="00613871"/>
    <w:rsid w:val="00613E79"/>
    <w:rsid w:val="00614564"/>
    <w:rsid w:val="0061517D"/>
    <w:rsid w:val="00615520"/>
    <w:rsid w:val="00615BAF"/>
    <w:rsid w:val="00616332"/>
    <w:rsid w:val="00616680"/>
    <w:rsid w:val="006174B4"/>
    <w:rsid w:val="00617A40"/>
    <w:rsid w:val="00617C2D"/>
    <w:rsid w:val="0062022B"/>
    <w:rsid w:val="00620CF4"/>
    <w:rsid w:val="00620DD1"/>
    <w:rsid w:val="006223C9"/>
    <w:rsid w:val="00622A5F"/>
    <w:rsid w:val="00622D36"/>
    <w:rsid w:val="00623E4A"/>
    <w:rsid w:val="00623E96"/>
    <w:rsid w:val="00624419"/>
    <w:rsid w:val="006254E6"/>
    <w:rsid w:val="006255F5"/>
    <w:rsid w:val="00625AE0"/>
    <w:rsid w:val="00625C50"/>
    <w:rsid w:val="00625EF3"/>
    <w:rsid w:val="00626ADD"/>
    <w:rsid w:val="00626B30"/>
    <w:rsid w:val="00626C7E"/>
    <w:rsid w:val="00627227"/>
    <w:rsid w:val="00627508"/>
    <w:rsid w:val="006275A7"/>
    <w:rsid w:val="00627CC5"/>
    <w:rsid w:val="00630440"/>
    <w:rsid w:val="00630890"/>
    <w:rsid w:val="00630C59"/>
    <w:rsid w:val="00630F4C"/>
    <w:rsid w:val="0063177A"/>
    <w:rsid w:val="00631C0F"/>
    <w:rsid w:val="00631D74"/>
    <w:rsid w:val="00631EE4"/>
    <w:rsid w:val="00632266"/>
    <w:rsid w:val="00632354"/>
    <w:rsid w:val="0063246D"/>
    <w:rsid w:val="00633179"/>
    <w:rsid w:val="006335F3"/>
    <w:rsid w:val="00633B1C"/>
    <w:rsid w:val="00633D42"/>
    <w:rsid w:val="00634D8E"/>
    <w:rsid w:val="00635343"/>
    <w:rsid w:val="00635BF4"/>
    <w:rsid w:val="0063641A"/>
    <w:rsid w:val="0063690C"/>
    <w:rsid w:val="0063735A"/>
    <w:rsid w:val="00637551"/>
    <w:rsid w:val="00637B8B"/>
    <w:rsid w:val="0063DFB4"/>
    <w:rsid w:val="0063E5EF"/>
    <w:rsid w:val="00640550"/>
    <w:rsid w:val="006409A6"/>
    <w:rsid w:val="00640A23"/>
    <w:rsid w:val="00640B9B"/>
    <w:rsid w:val="00641628"/>
    <w:rsid w:val="00641F39"/>
    <w:rsid w:val="0064290D"/>
    <w:rsid w:val="00642BCB"/>
    <w:rsid w:val="00642D49"/>
    <w:rsid w:val="00642E00"/>
    <w:rsid w:val="006432AB"/>
    <w:rsid w:val="0064338A"/>
    <w:rsid w:val="006437A9"/>
    <w:rsid w:val="00644310"/>
    <w:rsid w:val="00645418"/>
    <w:rsid w:val="00646B3C"/>
    <w:rsid w:val="00646C90"/>
    <w:rsid w:val="0065064B"/>
    <w:rsid w:val="006509C9"/>
    <w:rsid w:val="00650DA0"/>
    <w:rsid w:val="0065247B"/>
    <w:rsid w:val="0065274B"/>
    <w:rsid w:val="006528E1"/>
    <w:rsid w:val="0065290C"/>
    <w:rsid w:val="006529C7"/>
    <w:rsid w:val="0065352B"/>
    <w:rsid w:val="00653757"/>
    <w:rsid w:val="00653D44"/>
    <w:rsid w:val="00653ED1"/>
    <w:rsid w:val="00653FA9"/>
    <w:rsid w:val="006544D2"/>
    <w:rsid w:val="006545DA"/>
    <w:rsid w:val="00654ACD"/>
    <w:rsid w:val="00654D34"/>
    <w:rsid w:val="00654E3B"/>
    <w:rsid w:val="00654E7A"/>
    <w:rsid w:val="006555A4"/>
    <w:rsid w:val="00656894"/>
    <w:rsid w:val="00656931"/>
    <w:rsid w:val="0065711E"/>
    <w:rsid w:val="0065733F"/>
    <w:rsid w:val="00657A53"/>
    <w:rsid w:val="006602FF"/>
    <w:rsid w:val="006605EC"/>
    <w:rsid w:val="006608F5"/>
    <w:rsid w:val="00660B8D"/>
    <w:rsid w:val="00660D26"/>
    <w:rsid w:val="00660F76"/>
    <w:rsid w:val="006611B2"/>
    <w:rsid w:val="00661A1A"/>
    <w:rsid w:val="00661BA3"/>
    <w:rsid w:val="0066206C"/>
    <w:rsid w:val="006624DF"/>
    <w:rsid w:val="00662B7B"/>
    <w:rsid w:val="00662C8F"/>
    <w:rsid w:val="00662CCC"/>
    <w:rsid w:val="00663341"/>
    <w:rsid w:val="006641A8"/>
    <w:rsid w:val="00664E1F"/>
    <w:rsid w:val="00665117"/>
    <w:rsid w:val="00666937"/>
    <w:rsid w:val="00666FE0"/>
    <w:rsid w:val="0066FC8C"/>
    <w:rsid w:val="00670A46"/>
    <w:rsid w:val="00670C77"/>
    <w:rsid w:val="00670F0E"/>
    <w:rsid w:val="0067108B"/>
    <w:rsid w:val="006715D1"/>
    <w:rsid w:val="00671B23"/>
    <w:rsid w:val="00671CB9"/>
    <w:rsid w:val="006723AE"/>
    <w:rsid w:val="006728DE"/>
    <w:rsid w:val="00672BF3"/>
    <w:rsid w:val="00672DA6"/>
    <w:rsid w:val="0067353C"/>
    <w:rsid w:val="006737B7"/>
    <w:rsid w:val="00673888"/>
    <w:rsid w:val="00673D9F"/>
    <w:rsid w:val="00673EF3"/>
    <w:rsid w:val="00673F30"/>
    <w:rsid w:val="00673F60"/>
    <w:rsid w:val="00673FDD"/>
    <w:rsid w:val="006746A5"/>
    <w:rsid w:val="006753DB"/>
    <w:rsid w:val="00675B72"/>
    <w:rsid w:val="0067685B"/>
    <w:rsid w:val="00676877"/>
    <w:rsid w:val="0067736E"/>
    <w:rsid w:val="00677604"/>
    <w:rsid w:val="006776A0"/>
    <w:rsid w:val="00677C05"/>
    <w:rsid w:val="006787D6"/>
    <w:rsid w:val="006801CB"/>
    <w:rsid w:val="0068090D"/>
    <w:rsid w:val="00681748"/>
    <w:rsid w:val="00681B25"/>
    <w:rsid w:val="00681C64"/>
    <w:rsid w:val="00681D08"/>
    <w:rsid w:val="006820D0"/>
    <w:rsid w:val="00682D48"/>
    <w:rsid w:val="00683066"/>
    <w:rsid w:val="00683980"/>
    <w:rsid w:val="00683C06"/>
    <w:rsid w:val="00683C0D"/>
    <w:rsid w:val="00683C4D"/>
    <w:rsid w:val="006843F5"/>
    <w:rsid w:val="00684599"/>
    <w:rsid w:val="00684902"/>
    <w:rsid w:val="0068493E"/>
    <w:rsid w:val="00684DC2"/>
    <w:rsid w:val="006852F3"/>
    <w:rsid w:val="006856C8"/>
    <w:rsid w:val="00685C2F"/>
    <w:rsid w:val="00685EBF"/>
    <w:rsid w:val="00686E44"/>
    <w:rsid w:val="0068766C"/>
    <w:rsid w:val="006879C8"/>
    <w:rsid w:val="00690B3F"/>
    <w:rsid w:val="00690DF8"/>
    <w:rsid w:val="006910F3"/>
    <w:rsid w:val="0069235A"/>
    <w:rsid w:val="006938E7"/>
    <w:rsid w:val="00694852"/>
    <w:rsid w:val="00694D1A"/>
    <w:rsid w:val="00695126"/>
    <w:rsid w:val="00695231"/>
    <w:rsid w:val="006953E0"/>
    <w:rsid w:val="00695FE9"/>
    <w:rsid w:val="00696305"/>
    <w:rsid w:val="00696498"/>
    <w:rsid w:val="006964B4"/>
    <w:rsid w:val="00696D18"/>
    <w:rsid w:val="00696D20"/>
    <w:rsid w:val="00696D87"/>
    <w:rsid w:val="006971FD"/>
    <w:rsid w:val="00697491"/>
    <w:rsid w:val="00697991"/>
    <w:rsid w:val="006A0B79"/>
    <w:rsid w:val="006A0F07"/>
    <w:rsid w:val="006A18EC"/>
    <w:rsid w:val="006A1F8E"/>
    <w:rsid w:val="006A243E"/>
    <w:rsid w:val="006A2AA8"/>
    <w:rsid w:val="006A2B72"/>
    <w:rsid w:val="006A2CBD"/>
    <w:rsid w:val="006A34FC"/>
    <w:rsid w:val="006A3D3C"/>
    <w:rsid w:val="006A5388"/>
    <w:rsid w:val="006A645F"/>
    <w:rsid w:val="006A6692"/>
    <w:rsid w:val="006A6DBB"/>
    <w:rsid w:val="006A6FC4"/>
    <w:rsid w:val="006A78CA"/>
    <w:rsid w:val="006B038F"/>
    <w:rsid w:val="006B1594"/>
    <w:rsid w:val="006B1659"/>
    <w:rsid w:val="006B1BF7"/>
    <w:rsid w:val="006B2CB7"/>
    <w:rsid w:val="006B340C"/>
    <w:rsid w:val="006B3A40"/>
    <w:rsid w:val="006B43A5"/>
    <w:rsid w:val="006B452F"/>
    <w:rsid w:val="006B4635"/>
    <w:rsid w:val="006B46C6"/>
    <w:rsid w:val="006B49F8"/>
    <w:rsid w:val="006B4C88"/>
    <w:rsid w:val="006B4F42"/>
    <w:rsid w:val="006B5983"/>
    <w:rsid w:val="006B6EB9"/>
    <w:rsid w:val="006B73A5"/>
    <w:rsid w:val="006B7557"/>
    <w:rsid w:val="006B785C"/>
    <w:rsid w:val="006C0538"/>
    <w:rsid w:val="006C0F47"/>
    <w:rsid w:val="006C1612"/>
    <w:rsid w:val="006C1F03"/>
    <w:rsid w:val="006C2103"/>
    <w:rsid w:val="006C2C1F"/>
    <w:rsid w:val="006C2F7A"/>
    <w:rsid w:val="006C371F"/>
    <w:rsid w:val="006C3741"/>
    <w:rsid w:val="006C382C"/>
    <w:rsid w:val="006C3ABF"/>
    <w:rsid w:val="006C4CC0"/>
    <w:rsid w:val="006C4E66"/>
    <w:rsid w:val="006C5022"/>
    <w:rsid w:val="006C5175"/>
    <w:rsid w:val="006C5381"/>
    <w:rsid w:val="006C56A7"/>
    <w:rsid w:val="006C572B"/>
    <w:rsid w:val="006C6A76"/>
    <w:rsid w:val="006C7129"/>
    <w:rsid w:val="006C71D2"/>
    <w:rsid w:val="006C7527"/>
    <w:rsid w:val="006C7632"/>
    <w:rsid w:val="006D00A6"/>
    <w:rsid w:val="006D02BE"/>
    <w:rsid w:val="006D0A4E"/>
    <w:rsid w:val="006D0C3E"/>
    <w:rsid w:val="006D0FD4"/>
    <w:rsid w:val="006D117E"/>
    <w:rsid w:val="006D1558"/>
    <w:rsid w:val="006D1911"/>
    <w:rsid w:val="006D1C2A"/>
    <w:rsid w:val="006D1CBA"/>
    <w:rsid w:val="006D207C"/>
    <w:rsid w:val="006D2C80"/>
    <w:rsid w:val="006D2CF0"/>
    <w:rsid w:val="006D2E57"/>
    <w:rsid w:val="006D352E"/>
    <w:rsid w:val="006D35ED"/>
    <w:rsid w:val="006D3770"/>
    <w:rsid w:val="006D37CB"/>
    <w:rsid w:val="006D3AE5"/>
    <w:rsid w:val="006D3BB8"/>
    <w:rsid w:val="006D3E23"/>
    <w:rsid w:val="006D496A"/>
    <w:rsid w:val="006D4DF9"/>
    <w:rsid w:val="006D533A"/>
    <w:rsid w:val="006D62CA"/>
    <w:rsid w:val="006D6609"/>
    <w:rsid w:val="006D6759"/>
    <w:rsid w:val="006D6900"/>
    <w:rsid w:val="006D6B69"/>
    <w:rsid w:val="006D73D0"/>
    <w:rsid w:val="006D7660"/>
    <w:rsid w:val="006E01ED"/>
    <w:rsid w:val="006E087F"/>
    <w:rsid w:val="006E0E3A"/>
    <w:rsid w:val="006E12AA"/>
    <w:rsid w:val="006E14C0"/>
    <w:rsid w:val="006E1BB9"/>
    <w:rsid w:val="006E1DC5"/>
    <w:rsid w:val="006E2A07"/>
    <w:rsid w:val="006E3038"/>
    <w:rsid w:val="006E37EC"/>
    <w:rsid w:val="006E3DEF"/>
    <w:rsid w:val="006E4A92"/>
    <w:rsid w:val="006E557B"/>
    <w:rsid w:val="006E5773"/>
    <w:rsid w:val="006E5DD3"/>
    <w:rsid w:val="006E5DE7"/>
    <w:rsid w:val="006E5E0C"/>
    <w:rsid w:val="006E6173"/>
    <w:rsid w:val="006E6212"/>
    <w:rsid w:val="006E6341"/>
    <w:rsid w:val="006E65B0"/>
    <w:rsid w:val="006E6EE2"/>
    <w:rsid w:val="006E6FF2"/>
    <w:rsid w:val="006E71D1"/>
    <w:rsid w:val="006E7B6B"/>
    <w:rsid w:val="006F00C4"/>
    <w:rsid w:val="006F07A6"/>
    <w:rsid w:val="006F14B7"/>
    <w:rsid w:val="006F26BA"/>
    <w:rsid w:val="006F289D"/>
    <w:rsid w:val="006F33FB"/>
    <w:rsid w:val="006F3653"/>
    <w:rsid w:val="006F3C54"/>
    <w:rsid w:val="006F3E59"/>
    <w:rsid w:val="006F42F5"/>
    <w:rsid w:val="006F473B"/>
    <w:rsid w:val="006F4A5F"/>
    <w:rsid w:val="006F4F3F"/>
    <w:rsid w:val="006F5492"/>
    <w:rsid w:val="006F5550"/>
    <w:rsid w:val="006F5D81"/>
    <w:rsid w:val="006F5E26"/>
    <w:rsid w:val="006F62CF"/>
    <w:rsid w:val="006F716F"/>
    <w:rsid w:val="006F7A20"/>
    <w:rsid w:val="006F7E1F"/>
    <w:rsid w:val="006F7F5F"/>
    <w:rsid w:val="0070014E"/>
    <w:rsid w:val="0070074E"/>
    <w:rsid w:val="00700895"/>
    <w:rsid w:val="007008EC"/>
    <w:rsid w:val="00701971"/>
    <w:rsid w:val="0070294F"/>
    <w:rsid w:val="00702BCE"/>
    <w:rsid w:val="00702E2F"/>
    <w:rsid w:val="00703524"/>
    <w:rsid w:val="00703B00"/>
    <w:rsid w:val="00703C4F"/>
    <w:rsid w:val="0070409E"/>
    <w:rsid w:val="007041A7"/>
    <w:rsid w:val="00704567"/>
    <w:rsid w:val="0070467D"/>
    <w:rsid w:val="007046E0"/>
    <w:rsid w:val="00704B5E"/>
    <w:rsid w:val="00705239"/>
    <w:rsid w:val="00705674"/>
    <w:rsid w:val="0070581C"/>
    <w:rsid w:val="007058A6"/>
    <w:rsid w:val="007067A9"/>
    <w:rsid w:val="00706B0C"/>
    <w:rsid w:val="0070716B"/>
    <w:rsid w:val="007077F9"/>
    <w:rsid w:val="00707A71"/>
    <w:rsid w:val="00710070"/>
    <w:rsid w:val="007102EE"/>
    <w:rsid w:val="007106A7"/>
    <w:rsid w:val="0071094E"/>
    <w:rsid w:val="00710C95"/>
    <w:rsid w:val="00710C99"/>
    <w:rsid w:val="00711702"/>
    <w:rsid w:val="007118A0"/>
    <w:rsid w:val="007119EB"/>
    <w:rsid w:val="007120D1"/>
    <w:rsid w:val="0071213F"/>
    <w:rsid w:val="00712203"/>
    <w:rsid w:val="00712F05"/>
    <w:rsid w:val="00713B1B"/>
    <w:rsid w:val="007140CF"/>
    <w:rsid w:val="007145AF"/>
    <w:rsid w:val="00714827"/>
    <w:rsid w:val="00714C25"/>
    <w:rsid w:val="0071548C"/>
    <w:rsid w:val="0071585F"/>
    <w:rsid w:val="00716022"/>
    <w:rsid w:val="007161A1"/>
    <w:rsid w:val="007168BA"/>
    <w:rsid w:val="00716932"/>
    <w:rsid w:val="00716CF3"/>
    <w:rsid w:val="00716DD8"/>
    <w:rsid w:val="0071721E"/>
    <w:rsid w:val="00717697"/>
    <w:rsid w:val="00717B23"/>
    <w:rsid w:val="00720A26"/>
    <w:rsid w:val="00720DDF"/>
    <w:rsid w:val="00720FE1"/>
    <w:rsid w:val="00721251"/>
    <w:rsid w:val="007213D4"/>
    <w:rsid w:val="00722117"/>
    <w:rsid w:val="00722132"/>
    <w:rsid w:val="007223DB"/>
    <w:rsid w:val="0072332E"/>
    <w:rsid w:val="00723A71"/>
    <w:rsid w:val="00723E9F"/>
    <w:rsid w:val="00724E65"/>
    <w:rsid w:val="00724EA4"/>
    <w:rsid w:val="00724F53"/>
    <w:rsid w:val="0072517A"/>
    <w:rsid w:val="00725C37"/>
    <w:rsid w:val="00725F55"/>
    <w:rsid w:val="00726330"/>
    <w:rsid w:val="007264D9"/>
    <w:rsid w:val="00726AC6"/>
    <w:rsid w:val="00726B52"/>
    <w:rsid w:val="00726D60"/>
    <w:rsid w:val="0072706D"/>
    <w:rsid w:val="007275EB"/>
    <w:rsid w:val="00727811"/>
    <w:rsid w:val="00727A03"/>
    <w:rsid w:val="0072AED9"/>
    <w:rsid w:val="0072E16F"/>
    <w:rsid w:val="00730E73"/>
    <w:rsid w:val="00730EF8"/>
    <w:rsid w:val="007310AF"/>
    <w:rsid w:val="0073120B"/>
    <w:rsid w:val="007313EF"/>
    <w:rsid w:val="00731F73"/>
    <w:rsid w:val="00732627"/>
    <w:rsid w:val="00732665"/>
    <w:rsid w:val="00732864"/>
    <w:rsid w:val="00732DBC"/>
    <w:rsid w:val="007333BA"/>
    <w:rsid w:val="00733494"/>
    <w:rsid w:val="00734183"/>
    <w:rsid w:val="007346E0"/>
    <w:rsid w:val="00735AD2"/>
    <w:rsid w:val="0073647B"/>
    <w:rsid w:val="0073673C"/>
    <w:rsid w:val="00736FB7"/>
    <w:rsid w:val="0073705F"/>
    <w:rsid w:val="007370BB"/>
    <w:rsid w:val="007374EA"/>
    <w:rsid w:val="0073793F"/>
    <w:rsid w:val="00740822"/>
    <w:rsid w:val="00740FD5"/>
    <w:rsid w:val="00741CF7"/>
    <w:rsid w:val="00741E22"/>
    <w:rsid w:val="00741E9A"/>
    <w:rsid w:val="00741ED4"/>
    <w:rsid w:val="007437ED"/>
    <w:rsid w:val="00743942"/>
    <w:rsid w:val="007439E4"/>
    <w:rsid w:val="00743B7D"/>
    <w:rsid w:val="007446B6"/>
    <w:rsid w:val="007448B4"/>
    <w:rsid w:val="00744F82"/>
    <w:rsid w:val="00745358"/>
    <w:rsid w:val="0074558B"/>
    <w:rsid w:val="00745958"/>
    <w:rsid w:val="00745D1D"/>
    <w:rsid w:val="00745E1E"/>
    <w:rsid w:val="00750293"/>
    <w:rsid w:val="007502A1"/>
    <w:rsid w:val="00750AA0"/>
    <w:rsid w:val="00750C5C"/>
    <w:rsid w:val="0075137F"/>
    <w:rsid w:val="00751ABD"/>
    <w:rsid w:val="00751CF1"/>
    <w:rsid w:val="00751ED8"/>
    <w:rsid w:val="00751FD2"/>
    <w:rsid w:val="0075248B"/>
    <w:rsid w:val="0075253F"/>
    <w:rsid w:val="00754C38"/>
    <w:rsid w:val="00755011"/>
    <w:rsid w:val="007550C6"/>
    <w:rsid w:val="007551F8"/>
    <w:rsid w:val="00755C31"/>
    <w:rsid w:val="0075662A"/>
    <w:rsid w:val="00756DB0"/>
    <w:rsid w:val="00756F24"/>
    <w:rsid w:val="0075798C"/>
    <w:rsid w:val="00757AAE"/>
    <w:rsid w:val="00758620"/>
    <w:rsid w:val="0075F65A"/>
    <w:rsid w:val="007601D7"/>
    <w:rsid w:val="00761256"/>
    <w:rsid w:val="00762187"/>
    <w:rsid w:val="00762851"/>
    <w:rsid w:val="00762EB0"/>
    <w:rsid w:val="00763D57"/>
    <w:rsid w:val="0076437D"/>
    <w:rsid w:val="007643D5"/>
    <w:rsid w:val="00764BC1"/>
    <w:rsid w:val="00764DFC"/>
    <w:rsid w:val="0076584E"/>
    <w:rsid w:val="00765F16"/>
    <w:rsid w:val="0076626D"/>
    <w:rsid w:val="007665EA"/>
    <w:rsid w:val="00767A9D"/>
    <w:rsid w:val="00770730"/>
    <w:rsid w:val="0077082E"/>
    <w:rsid w:val="007708A3"/>
    <w:rsid w:val="00770F31"/>
    <w:rsid w:val="0077115C"/>
    <w:rsid w:val="00772818"/>
    <w:rsid w:val="007728BA"/>
    <w:rsid w:val="0077312C"/>
    <w:rsid w:val="0077378F"/>
    <w:rsid w:val="00773DF0"/>
    <w:rsid w:val="00773F0F"/>
    <w:rsid w:val="00774298"/>
    <w:rsid w:val="007742D3"/>
    <w:rsid w:val="00774767"/>
    <w:rsid w:val="00774D49"/>
    <w:rsid w:val="0077562C"/>
    <w:rsid w:val="00775B5E"/>
    <w:rsid w:val="00775C6B"/>
    <w:rsid w:val="007760C2"/>
    <w:rsid w:val="0077651F"/>
    <w:rsid w:val="00776EA6"/>
    <w:rsid w:val="00780E71"/>
    <w:rsid w:val="00780F9D"/>
    <w:rsid w:val="0078158A"/>
    <w:rsid w:val="00782654"/>
    <w:rsid w:val="00783121"/>
    <w:rsid w:val="007837C8"/>
    <w:rsid w:val="0078395D"/>
    <w:rsid w:val="00783AE7"/>
    <w:rsid w:val="00783F39"/>
    <w:rsid w:val="00784C5B"/>
    <w:rsid w:val="00784E87"/>
    <w:rsid w:val="00785126"/>
    <w:rsid w:val="007851FB"/>
    <w:rsid w:val="007852F8"/>
    <w:rsid w:val="0078559B"/>
    <w:rsid w:val="0078578A"/>
    <w:rsid w:val="00785D87"/>
    <w:rsid w:val="007860DB"/>
    <w:rsid w:val="007862EC"/>
    <w:rsid w:val="00786903"/>
    <w:rsid w:val="00786BDB"/>
    <w:rsid w:val="00786F43"/>
    <w:rsid w:val="00787541"/>
    <w:rsid w:val="007876FF"/>
    <w:rsid w:val="00787AAA"/>
    <w:rsid w:val="00790080"/>
    <w:rsid w:val="007905D8"/>
    <w:rsid w:val="00790E08"/>
    <w:rsid w:val="00791435"/>
    <w:rsid w:val="007918B0"/>
    <w:rsid w:val="00793128"/>
    <w:rsid w:val="00793680"/>
    <w:rsid w:val="00793E07"/>
    <w:rsid w:val="007943FD"/>
    <w:rsid w:val="00794878"/>
    <w:rsid w:val="00796349"/>
    <w:rsid w:val="00796868"/>
    <w:rsid w:val="00796A5D"/>
    <w:rsid w:val="00796AF5"/>
    <w:rsid w:val="00796E24"/>
    <w:rsid w:val="00796EDD"/>
    <w:rsid w:val="00797B02"/>
    <w:rsid w:val="007A0210"/>
    <w:rsid w:val="007A0351"/>
    <w:rsid w:val="007A042D"/>
    <w:rsid w:val="007A1004"/>
    <w:rsid w:val="007A1B81"/>
    <w:rsid w:val="007A2136"/>
    <w:rsid w:val="007A2562"/>
    <w:rsid w:val="007A2CCA"/>
    <w:rsid w:val="007A30A2"/>
    <w:rsid w:val="007A3176"/>
    <w:rsid w:val="007A3DD6"/>
    <w:rsid w:val="007A41E5"/>
    <w:rsid w:val="007A4EF3"/>
    <w:rsid w:val="007A528C"/>
    <w:rsid w:val="007A56A7"/>
    <w:rsid w:val="007A5D3A"/>
    <w:rsid w:val="007A5DFC"/>
    <w:rsid w:val="007A64DC"/>
    <w:rsid w:val="007A6DFE"/>
    <w:rsid w:val="007A6FD0"/>
    <w:rsid w:val="007A761C"/>
    <w:rsid w:val="007A7EC1"/>
    <w:rsid w:val="007B00F4"/>
    <w:rsid w:val="007B051B"/>
    <w:rsid w:val="007B094A"/>
    <w:rsid w:val="007B0D85"/>
    <w:rsid w:val="007B1705"/>
    <w:rsid w:val="007B1856"/>
    <w:rsid w:val="007B1F5A"/>
    <w:rsid w:val="007B22AA"/>
    <w:rsid w:val="007B2BEE"/>
    <w:rsid w:val="007B2CFD"/>
    <w:rsid w:val="007B2F45"/>
    <w:rsid w:val="007B36D2"/>
    <w:rsid w:val="007B36E5"/>
    <w:rsid w:val="007B464D"/>
    <w:rsid w:val="007B4CB1"/>
    <w:rsid w:val="007B4FF5"/>
    <w:rsid w:val="007B583E"/>
    <w:rsid w:val="007B5855"/>
    <w:rsid w:val="007B5D75"/>
    <w:rsid w:val="007B60F1"/>
    <w:rsid w:val="007B61A3"/>
    <w:rsid w:val="007B623B"/>
    <w:rsid w:val="007B633F"/>
    <w:rsid w:val="007B634E"/>
    <w:rsid w:val="007B63BC"/>
    <w:rsid w:val="007B69F0"/>
    <w:rsid w:val="007B6A6C"/>
    <w:rsid w:val="007B6C10"/>
    <w:rsid w:val="007B7EEF"/>
    <w:rsid w:val="007C0451"/>
    <w:rsid w:val="007C053A"/>
    <w:rsid w:val="007C0B6C"/>
    <w:rsid w:val="007C119F"/>
    <w:rsid w:val="007C2346"/>
    <w:rsid w:val="007C2770"/>
    <w:rsid w:val="007C2D8D"/>
    <w:rsid w:val="007C3619"/>
    <w:rsid w:val="007C3787"/>
    <w:rsid w:val="007C38C9"/>
    <w:rsid w:val="007C3AA3"/>
    <w:rsid w:val="007C3EEF"/>
    <w:rsid w:val="007C428B"/>
    <w:rsid w:val="007C43DC"/>
    <w:rsid w:val="007C4E3B"/>
    <w:rsid w:val="007C5196"/>
    <w:rsid w:val="007C5A25"/>
    <w:rsid w:val="007C5A88"/>
    <w:rsid w:val="007C5E47"/>
    <w:rsid w:val="007C5E61"/>
    <w:rsid w:val="007C6083"/>
    <w:rsid w:val="007C64D2"/>
    <w:rsid w:val="007C671E"/>
    <w:rsid w:val="007C6DB6"/>
    <w:rsid w:val="007C6FF1"/>
    <w:rsid w:val="007C71DB"/>
    <w:rsid w:val="007C7364"/>
    <w:rsid w:val="007C7C0D"/>
    <w:rsid w:val="007C7E63"/>
    <w:rsid w:val="007D075B"/>
    <w:rsid w:val="007D0B4B"/>
    <w:rsid w:val="007D1488"/>
    <w:rsid w:val="007D1C52"/>
    <w:rsid w:val="007D1C76"/>
    <w:rsid w:val="007D2475"/>
    <w:rsid w:val="007D3748"/>
    <w:rsid w:val="007D3CCC"/>
    <w:rsid w:val="007D43BD"/>
    <w:rsid w:val="007D4730"/>
    <w:rsid w:val="007D4E7D"/>
    <w:rsid w:val="007D4F5E"/>
    <w:rsid w:val="007D54CC"/>
    <w:rsid w:val="007D5DC9"/>
    <w:rsid w:val="007D6403"/>
    <w:rsid w:val="007D6546"/>
    <w:rsid w:val="007D6621"/>
    <w:rsid w:val="007D67EE"/>
    <w:rsid w:val="007D689A"/>
    <w:rsid w:val="007D6C91"/>
    <w:rsid w:val="007D6F38"/>
    <w:rsid w:val="007E05FE"/>
    <w:rsid w:val="007E0AEF"/>
    <w:rsid w:val="007E0C9B"/>
    <w:rsid w:val="007E0D8E"/>
    <w:rsid w:val="007E1084"/>
    <w:rsid w:val="007E163B"/>
    <w:rsid w:val="007E1FD3"/>
    <w:rsid w:val="007E2038"/>
    <w:rsid w:val="007E21AA"/>
    <w:rsid w:val="007E2359"/>
    <w:rsid w:val="007E285D"/>
    <w:rsid w:val="007E32D3"/>
    <w:rsid w:val="007E3A91"/>
    <w:rsid w:val="007E3C72"/>
    <w:rsid w:val="007E3F32"/>
    <w:rsid w:val="007E3FE9"/>
    <w:rsid w:val="007E4F6A"/>
    <w:rsid w:val="007E4F8E"/>
    <w:rsid w:val="007E5C50"/>
    <w:rsid w:val="007E62CD"/>
    <w:rsid w:val="007E717A"/>
    <w:rsid w:val="007E7199"/>
    <w:rsid w:val="007E76A2"/>
    <w:rsid w:val="007E7BA2"/>
    <w:rsid w:val="007E7C7B"/>
    <w:rsid w:val="007E7D36"/>
    <w:rsid w:val="007E85A9"/>
    <w:rsid w:val="007ED15B"/>
    <w:rsid w:val="007F020F"/>
    <w:rsid w:val="007F11D6"/>
    <w:rsid w:val="007F1260"/>
    <w:rsid w:val="007F2549"/>
    <w:rsid w:val="007F2F94"/>
    <w:rsid w:val="007F3360"/>
    <w:rsid w:val="007F34D7"/>
    <w:rsid w:val="007F3555"/>
    <w:rsid w:val="007F372D"/>
    <w:rsid w:val="007F38A8"/>
    <w:rsid w:val="007F3E96"/>
    <w:rsid w:val="007F4B53"/>
    <w:rsid w:val="007F4EF9"/>
    <w:rsid w:val="007F5144"/>
    <w:rsid w:val="007F5CAA"/>
    <w:rsid w:val="007F6140"/>
    <w:rsid w:val="007F61C5"/>
    <w:rsid w:val="007F6986"/>
    <w:rsid w:val="007F7A8C"/>
    <w:rsid w:val="007F7C98"/>
    <w:rsid w:val="008002AD"/>
    <w:rsid w:val="008002B8"/>
    <w:rsid w:val="00800E92"/>
    <w:rsid w:val="00802361"/>
    <w:rsid w:val="0080242D"/>
    <w:rsid w:val="0080244A"/>
    <w:rsid w:val="00802E04"/>
    <w:rsid w:val="00803477"/>
    <w:rsid w:val="00803F3E"/>
    <w:rsid w:val="00804E47"/>
    <w:rsid w:val="00805053"/>
    <w:rsid w:val="008050A2"/>
    <w:rsid w:val="0080566F"/>
    <w:rsid w:val="0080586A"/>
    <w:rsid w:val="00805C17"/>
    <w:rsid w:val="00805C7A"/>
    <w:rsid w:val="00805FAE"/>
    <w:rsid w:val="00806506"/>
    <w:rsid w:val="00806827"/>
    <w:rsid w:val="00807A39"/>
    <w:rsid w:val="00807C21"/>
    <w:rsid w:val="0081078A"/>
    <w:rsid w:val="00810BED"/>
    <w:rsid w:val="0081142C"/>
    <w:rsid w:val="0081165E"/>
    <w:rsid w:val="00812211"/>
    <w:rsid w:val="00812669"/>
    <w:rsid w:val="00813F56"/>
    <w:rsid w:val="00814E8E"/>
    <w:rsid w:val="0081521D"/>
    <w:rsid w:val="00815534"/>
    <w:rsid w:val="008158C1"/>
    <w:rsid w:val="0081598B"/>
    <w:rsid w:val="00815A15"/>
    <w:rsid w:val="00815D6E"/>
    <w:rsid w:val="0081625B"/>
    <w:rsid w:val="0081665F"/>
    <w:rsid w:val="00816B26"/>
    <w:rsid w:val="00816D75"/>
    <w:rsid w:val="0081709A"/>
    <w:rsid w:val="00820133"/>
    <w:rsid w:val="00820684"/>
    <w:rsid w:val="0082071B"/>
    <w:rsid w:val="00821068"/>
    <w:rsid w:val="008223F1"/>
    <w:rsid w:val="008228AB"/>
    <w:rsid w:val="00822E73"/>
    <w:rsid w:val="00822F28"/>
    <w:rsid w:val="00823D38"/>
    <w:rsid w:val="0082401C"/>
    <w:rsid w:val="00824117"/>
    <w:rsid w:val="00825187"/>
    <w:rsid w:val="008255F4"/>
    <w:rsid w:val="0082567F"/>
    <w:rsid w:val="00826168"/>
    <w:rsid w:val="008261A9"/>
    <w:rsid w:val="0082655E"/>
    <w:rsid w:val="00826913"/>
    <w:rsid w:val="00827780"/>
    <w:rsid w:val="0082782F"/>
    <w:rsid w:val="00827CD6"/>
    <w:rsid w:val="00827D3C"/>
    <w:rsid w:val="0082BFCE"/>
    <w:rsid w:val="0082D187"/>
    <w:rsid w:val="00830217"/>
    <w:rsid w:val="00830333"/>
    <w:rsid w:val="00832003"/>
    <w:rsid w:val="00833195"/>
    <w:rsid w:val="00833677"/>
    <w:rsid w:val="00833D98"/>
    <w:rsid w:val="00834F32"/>
    <w:rsid w:val="00835A9E"/>
    <w:rsid w:val="00837285"/>
    <w:rsid w:val="00837341"/>
    <w:rsid w:val="0083765C"/>
    <w:rsid w:val="0083788F"/>
    <w:rsid w:val="00837913"/>
    <w:rsid w:val="00837F56"/>
    <w:rsid w:val="0084003C"/>
    <w:rsid w:val="008403AD"/>
    <w:rsid w:val="008410CA"/>
    <w:rsid w:val="008410F0"/>
    <w:rsid w:val="00841749"/>
    <w:rsid w:val="008419A2"/>
    <w:rsid w:val="00842979"/>
    <w:rsid w:val="0084298E"/>
    <w:rsid w:val="00842B96"/>
    <w:rsid w:val="0084321B"/>
    <w:rsid w:val="008437CC"/>
    <w:rsid w:val="00844A76"/>
    <w:rsid w:val="00844B9B"/>
    <w:rsid w:val="00844BE5"/>
    <w:rsid w:val="00844C16"/>
    <w:rsid w:val="0084539D"/>
    <w:rsid w:val="0084557C"/>
    <w:rsid w:val="00845890"/>
    <w:rsid w:val="00847711"/>
    <w:rsid w:val="008477F2"/>
    <w:rsid w:val="008479F3"/>
    <w:rsid w:val="00847BDA"/>
    <w:rsid w:val="00847CB1"/>
    <w:rsid w:val="00847D4E"/>
    <w:rsid w:val="008506D9"/>
    <w:rsid w:val="00850E50"/>
    <w:rsid w:val="00851851"/>
    <w:rsid w:val="00851B80"/>
    <w:rsid w:val="008527F4"/>
    <w:rsid w:val="0085324C"/>
    <w:rsid w:val="0085331F"/>
    <w:rsid w:val="00854AF6"/>
    <w:rsid w:val="00854D0C"/>
    <w:rsid w:val="008558DD"/>
    <w:rsid w:val="00855DA9"/>
    <w:rsid w:val="00855E81"/>
    <w:rsid w:val="00855EEF"/>
    <w:rsid w:val="00860092"/>
    <w:rsid w:val="0086123B"/>
    <w:rsid w:val="00861499"/>
    <w:rsid w:val="00862CF5"/>
    <w:rsid w:val="008636C1"/>
    <w:rsid w:val="00863861"/>
    <w:rsid w:val="00864BB7"/>
    <w:rsid w:val="00864C10"/>
    <w:rsid w:val="00864D1C"/>
    <w:rsid w:val="00864E96"/>
    <w:rsid w:val="00864FB7"/>
    <w:rsid w:val="0086585D"/>
    <w:rsid w:val="0086633A"/>
    <w:rsid w:val="0086779F"/>
    <w:rsid w:val="00867B6D"/>
    <w:rsid w:val="008703B7"/>
    <w:rsid w:val="008710DF"/>
    <w:rsid w:val="00871813"/>
    <w:rsid w:val="00871F24"/>
    <w:rsid w:val="00872591"/>
    <w:rsid w:val="008749D0"/>
    <w:rsid w:val="008751CF"/>
    <w:rsid w:val="008754C7"/>
    <w:rsid w:val="00875565"/>
    <w:rsid w:val="00875699"/>
    <w:rsid w:val="00875B23"/>
    <w:rsid w:val="00875C08"/>
    <w:rsid w:val="00875F97"/>
    <w:rsid w:val="00876683"/>
    <w:rsid w:val="008766AF"/>
    <w:rsid w:val="008766C7"/>
    <w:rsid w:val="00876A8C"/>
    <w:rsid w:val="00876CD4"/>
    <w:rsid w:val="008776F7"/>
    <w:rsid w:val="0087E4DC"/>
    <w:rsid w:val="00880DDB"/>
    <w:rsid w:val="00880E4E"/>
    <w:rsid w:val="00881DCE"/>
    <w:rsid w:val="008827B8"/>
    <w:rsid w:val="00882C3D"/>
    <w:rsid w:val="008832FF"/>
    <w:rsid w:val="0088332C"/>
    <w:rsid w:val="0088373E"/>
    <w:rsid w:val="00883864"/>
    <w:rsid w:val="00884905"/>
    <w:rsid w:val="00885BF8"/>
    <w:rsid w:val="008865E9"/>
    <w:rsid w:val="00886775"/>
    <w:rsid w:val="008877C9"/>
    <w:rsid w:val="00887ACC"/>
    <w:rsid w:val="0089074E"/>
    <w:rsid w:val="00890A97"/>
    <w:rsid w:val="00890C38"/>
    <w:rsid w:val="00890E11"/>
    <w:rsid w:val="00891C4C"/>
    <w:rsid w:val="00891E1C"/>
    <w:rsid w:val="0089203C"/>
    <w:rsid w:val="008920C3"/>
    <w:rsid w:val="008924AB"/>
    <w:rsid w:val="0089252D"/>
    <w:rsid w:val="00892B5F"/>
    <w:rsid w:val="00892BE0"/>
    <w:rsid w:val="00893507"/>
    <w:rsid w:val="00893593"/>
    <w:rsid w:val="00893A3D"/>
    <w:rsid w:val="00894154"/>
    <w:rsid w:val="0089423D"/>
    <w:rsid w:val="008947F8"/>
    <w:rsid w:val="00894DE9"/>
    <w:rsid w:val="00894F42"/>
    <w:rsid w:val="00895428"/>
    <w:rsid w:val="0089542D"/>
    <w:rsid w:val="008959AF"/>
    <w:rsid w:val="00895AC9"/>
    <w:rsid w:val="00895D71"/>
    <w:rsid w:val="00895ECE"/>
    <w:rsid w:val="00895FCC"/>
    <w:rsid w:val="00896515"/>
    <w:rsid w:val="00896AD4"/>
    <w:rsid w:val="00896C38"/>
    <w:rsid w:val="00897346"/>
    <w:rsid w:val="0089743C"/>
    <w:rsid w:val="00897584"/>
    <w:rsid w:val="00897586"/>
    <w:rsid w:val="008975AA"/>
    <w:rsid w:val="00897654"/>
    <w:rsid w:val="008977BC"/>
    <w:rsid w:val="00897A69"/>
    <w:rsid w:val="00897D24"/>
    <w:rsid w:val="00897FF0"/>
    <w:rsid w:val="008A09DD"/>
    <w:rsid w:val="008A0B30"/>
    <w:rsid w:val="008A0B44"/>
    <w:rsid w:val="008A0F2B"/>
    <w:rsid w:val="008A1028"/>
    <w:rsid w:val="008A151D"/>
    <w:rsid w:val="008A1B29"/>
    <w:rsid w:val="008A1BAF"/>
    <w:rsid w:val="008A1C80"/>
    <w:rsid w:val="008A1CF5"/>
    <w:rsid w:val="008A202D"/>
    <w:rsid w:val="008A21B5"/>
    <w:rsid w:val="008A24A9"/>
    <w:rsid w:val="008A26FE"/>
    <w:rsid w:val="008A28BD"/>
    <w:rsid w:val="008A2C85"/>
    <w:rsid w:val="008A30BE"/>
    <w:rsid w:val="008A3695"/>
    <w:rsid w:val="008A3B6D"/>
    <w:rsid w:val="008A3E97"/>
    <w:rsid w:val="008A40AD"/>
    <w:rsid w:val="008A4A7C"/>
    <w:rsid w:val="008A4DC1"/>
    <w:rsid w:val="008A579C"/>
    <w:rsid w:val="008A5B6E"/>
    <w:rsid w:val="008A677A"/>
    <w:rsid w:val="008A6A8E"/>
    <w:rsid w:val="008A6ACF"/>
    <w:rsid w:val="008A6F97"/>
    <w:rsid w:val="008A7493"/>
    <w:rsid w:val="008A7A0B"/>
    <w:rsid w:val="008A7D37"/>
    <w:rsid w:val="008A9B5F"/>
    <w:rsid w:val="008AA35D"/>
    <w:rsid w:val="008B1842"/>
    <w:rsid w:val="008B1FDC"/>
    <w:rsid w:val="008B261F"/>
    <w:rsid w:val="008B2A03"/>
    <w:rsid w:val="008B309B"/>
    <w:rsid w:val="008B3564"/>
    <w:rsid w:val="008B401E"/>
    <w:rsid w:val="008B46AB"/>
    <w:rsid w:val="008B46E5"/>
    <w:rsid w:val="008B4B7C"/>
    <w:rsid w:val="008B51AB"/>
    <w:rsid w:val="008B526D"/>
    <w:rsid w:val="008B5E96"/>
    <w:rsid w:val="008B5EE4"/>
    <w:rsid w:val="008B6144"/>
    <w:rsid w:val="008B644D"/>
    <w:rsid w:val="008B69DC"/>
    <w:rsid w:val="008B6A91"/>
    <w:rsid w:val="008B6DD7"/>
    <w:rsid w:val="008B6EEC"/>
    <w:rsid w:val="008B71E4"/>
    <w:rsid w:val="008B7280"/>
    <w:rsid w:val="008C01AD"/>
    <w:rsid w:val="008C02EE"/>
    <w:rsid w:val="008C03F7"/>
    <w:rsid w:val="008C1314"/>
    <w:rsid w:val="008C1556"/>
    <w:rsid w:val="008C1973"/>
    <w:rsid w:val="008C1F07"/>
    <w:rsid w:val="008C2DCA"/>
    <w:rsid w:val="008C2E0A"/>
    <w:rsid w:val="008C3898"/>
    <w:rsid w:val="008C42DC"/>
    <w:rsid w:val="008C44A5"/>
    <w:rsid w:val="008C4574"/>
    <w:rsid w:val="008C486E"/>
    <w:rsid w:val="008C50BA"/>
    <w:rsid w:val="008C575C"/>
    <w:rsid w:val="008C5AB0"/>
    <w:rsid w:val="008C63D7"/>
    <w:rsid w:val="008C68FF"/>
    <w:rsid w:val="008C6E63"/>
    <w:rsid w:val="008C71F1"/>
    <w:rsid w:val="008C7346"/>
    <w:rsid w:val="008D0C44"/>
    <w:rsid w:val="008D1004"/>
    <w:rsid w:val="008D10B2"/>
    <w:rsid w:val="008D13B4"/>
    <w:rsid w:val="008D155C"/>
    <w:rsid w:val="008D1A9A"/>
    <w:rsid w:val="008D2ADF"/>
    <w:rsid w:val="008D2F3B"/>
    <w:rsid w:val="008D33E7"/>
    <w:rsid w:val="008D3725"/>
    <w:rsid w:val="008D3D6C"/>
    <w:rsid w:val="008D4A34"/>
    <w:rsid w:val="008D4C26"/>
    <w:rsid w:val="008D4FD7"/>
    <w:rsid w:val="008D5585"/>
    <w:rsid w:val="008D5F23"/>
    <w:rsid w:val="008D6E49"/>
    <w:rsid w:val="008D7EA4"/>
    <w:rsid w:val="008E04D8"/>
    <w:rsid w:val="008E1D08"/>
    <w:rsid w:val="008E207A"/>
    <w:rsid w:val="008E22F5"/>
    <w:rsid w:val="008E23CB"/>
    <w:rsid w:val="008E3097"/>
    <w:rsid w:val="008E35C0"/>
    <w:rsid w:val="008E360C"/>
    <w:rsid w:val="008E39BC"/>
    <w:rsid w:val="008E3C37"/>
    <w:rsid w:val="008E3F57"/>
    <w:rsid w:val="008E4F60"/>
    <w:rsid w:val="008E5418"/>
    <w:rsid w:val="008E5560"/>
    <w:rsid w:val="008E5B72"/>
    <w:rsid w:val="008E5C17"/>
    <w:rsid w:val="008E670F"/>
    <w:rsid w:val="008E6A2F"/>
    <w:rsid w:val="008E709C"/>
    <w:rsid w:val="008E7392"/>
    <w:rsid w:val="008E7758"/>
    <w:rsid w:val="008E7F36"/>
    <w:rsid w:val="008E7F77"/>
    <w:rsid w:val="008F02E2"/>
    <w:rsid w:val="008F04AE"/>
    <w:rsid w:val="008F0868"/>
    <w:rsid w:val="008F0A68"/>
    <w:rsid w:val="008F0C17"/>
    <w:rsid w:val="008F23F4"/>
    <w:rsid w:val="008F2766"/>
    <w:rsid w:val="008F28E6"/>
    <w:rsid w:val="008F312E"/>
    <w:rsid w:val="008F3176"/>
    <w:rsid w:val="008F31A6"/>
    <w:rsid w:val="008F32A5"/>
    <w:rsid w:val="008F362C"/>
    <w:rsid w:val="008F36CF"/>
    <w:rsid w:val="008F3763"/>
    <w:rsid w:val="008F3BF1"/>
    <w:rsid w:val="008F3E3E"/>
    <w:rsid w:val="008F49C5"/>
    <w:rsid w:val="008F57C4"/>
    <w:rsid w:val="008F593B"/>
    <w:rsid w:val="008F5E70"/>
    <w:rsid w:val="008F5EFC"/>
    <w:rsid w:val="008F600D"/>
    <w:rsid w:val="008F6A6A"/>
    <w:rsid w:val="008F6E38"/>
    <w:rsid w:val="008F7A01"/>
    <w:rsid w:val="008F7EA3"/>
    <w:rsid w:val="00900A6C"/>
    <w:rsid w:val="00900EAD"/>
    <w:rsid w:val="00901899"/>
    <w:rsid w:val="00901FC8"/>
    <w:rsid w:val="0090325A"/>
    <w:rsid w:val="009032F0"/>
    <w:rsid w:val="00903713"/>
    <w:rsid w:val="009037CE"/>
    <w:rsid w:val="009044C1"/>
    <w:rsid w:val="009048F7"/>
    <w:rsid w:val="00905442"/>
    <w:rsid w:val="00905A4C"/>
    <w:rsid w:val="00905C3C"/>
    <w:rsid w:val="00905E89"/>
    <w:rsid w:val="009064C5"/>
    <w:rsid w:val="00906821"/>
    <w:rsid w:val="00906AD4"/>
    <w:rsid w:val="009075DF"/>
    <w:rsid w:val="00911105"/>
    <w:rsid w:val="00911160"/>
    <w:rsid w:val="00911473"/>
    <w:rsid w:val="00911C6C"/>
    <w:rsid w:val="00912117"/>
    <w:rsid w:val="00912552"/>
    <w:rsid w:val="00913066"/>
    <w:rsid w:val="00913161"/>
    <w:rsid w:val="009133B2"/>
    <w:rsid w:val="009134A8"/>
    <w:rsid w:val="00913CEA"/>
    <w:rsid w:val="00913EDC"/>
    <w:rsid w:val="00913FD3"/>
    <w:rsid w:val="00914A68"/>
    <w:rsid w:val="00914B72"/>
    <w:rsid w:val="009156A4"/>
    <w:rsid w:val="00916449"/>
    <w:rsid w:val="0091674A"/>
    <w:rsid w:val="0091698D"/>
    <w:rsid w:val="00916991"/>
    <w:rsid w:val="00916BF2"/>
    <w:rsid w:val="00916E77"/>
    <w:rsid w:val="0091732A"/>
    <w:rsid w:val="0091768B"/>
    <w:rsid w:val="0092016A"/>
    <w:rsid w:val="00920191"/>
    <w:rsid w:val="009204E4"/>
    <w:rsid w:val="0092108D"/>
    <w:rsid w:val="00921171"/>
    <w:rsid w:val="00921324"/>
    <w:rsid w:val="00921B2D"/>
    <w:rsid w:val="0092210C"/>
    <w:rsid w:val="0092259E"/>
    <w:rsid w:val="00922CB7"/>
    <w:rsid w:val="00922CCF"/>
    <w:rsid w:val="0092344A"/>
    <w:rsid w:val="00923649"/>
    <w:rsid w:val="00923A8E"/>
    <w:rsid w:val="00924094"/>
    <w:rsid w:val="00924897"/>
    <w:rsid w:val="00924ACD"/>
    <w:rsid w:val="00925803"/>
    <w:rsid w:val="0092600D"/>
    <w:rsid w:val="009265E3"/>
    <w:rsid w:val="00926DF3"/>
    <w:rsid w:val="00927135"/>
    <w:rsid w:val="0092752E"/>
    <w:rsid w:val="009279C6"/>
    <w:rsid w:val="00927ABD"/>
    <w:rsid w:val="00927ACB"/>
    <w:rsid w:val="00930407"/>
    <w:rsid w:val="00930C76"/>
    <w:rsid w:val="0093140B"/>
    <w:rsid w:val="00931AF2"/>
    <w:rsid w:val="00931C68"/>
    <w:rsid w:val="00931E46"/>
    <w:rsid w:val="0093259E"/>
    <w:rsid w:val="0093310C"/>
    <w:rsid w:val="00933150"/>
    <w:rsid w:val="009336E7"/>
    <w:rsid w:val="0093423D"/>
    <w:rsid w:val="00935233"/>
    <w:rsid w:val="00935DCB"/>
    <w:rsid w:val="009360CD"/>
    <w:rsid w:val="00936331"/>
    <w:rsid w:val="00936E63"/>
    <w:rsid w:val="0093712F"/>
    <w:rsid w:val="0093748D"/>
    <w:rsid w:val="009376A7"/>
    <w:rsid w:val="009376E7"/>
    <w:rsid w:val="00937EB6"/>
    <w:rsid w:val="0093E02B"/>
    <w:rsid w:val="00940580"/>
    <w:rsid w:val="009408EF"/>
    <w:rsid w:val="009409E1"/>
    <w:rsid w:val="00941266"/>
    <w:rsid w:val="009412D3"/>
    <w:rsid w:val="009413D3"/>
    <w:rsid w:val="00941604"/>
    <w:rsid w:val="00941A66"/>
    <w:rsid w:val="00941B1D"/>
    <w:rsid w:val="00941DA0"/>
    <w:rsid w:val="0094214A"/>
    <w:rsid w:val="00943601"/>
    <w:rsid w:val="00943630"/>
    <w:rsid w:val="00943F56"/>
    <w:rsid w:val="00944283"/>
    <w:rsid w:val="00944DF3"/>
    <w:rsid w:val="00945126"/>
    <w:rsid w:val="00945244"/>
    <w:rsid w:val="009453A9"/>
    <w:rsid w:val="009456C6"/>
    <w:rsid w:val="00946495"/>
    <w:rsid w:val="00946534"/>
    <w:rsid w:val="00947346"/>
    <w:rsid w:val="0094764A"/>
    <w:rsid w:val="0094954E"/>
    <w:rsid w:val="009503D1"/>
    <w:rsid w:val="00950987"/>
    <w:rsid w:val="00950B96"/>
    <w:rsid w:val="00950CC9"/>
    <w:rsid w:val="00951BAC"/>
    <w:rsid w:val="00951D10"/>
    <w:rsid w:val="009524D1"/>
    <w:rsid w:val="009525C0"/>
    <w:rsid w:val="00952765"/>
    <w:rsid w:val="00952A97"/>
    <w:rsid w:val="00952C4B"/>
    <w:rsid w:val="00952F53"/>
    <w:rsid w:val="00953113"/>
    <w:rsid w:val="00953E04"/>
    <w:rsid w:val="00954304"/>
    <w:rsid w:val="009554CD"/>
    <w:rsid w:val="00955908"/>
    <w:rsid w:val="00955A6D"/>
    <w:rsid w:val="00955DB9"/>
    <w:rsid w:val="00955DF3"/>
    <w:rsid w:val="00956059"/>
    <w:rsid w:val="009567E4"/>
    <w:rsid w:val="00956CD9"/>
    <w:rsid w:val="00957612"/>
    <w:rsid w:val="00957804"/>
    <w:rsid w:val="0095E0CF"/>
    <w:rsid w:val="00960828"/>
    <w:rsid w:val="00960D35"/>
    <w:rsid w:val="009612BD"/>
    <w:rsid w:val="009616D0"/>
    <w:rsid w:val="00961BFD"/>
    <w:rsid w:val="00962995"/>
    <w:rsid w:val="00963224"/>
    <w:rsid w:val="00963D40"/>
    <w:rsid w:val="0096436F"/>
    <w:rsid w:val="00964599"/>
    <w:rsid w:val="00964CF4"/>
    <w:rsid w:val="00965870"/>
    <w:rsid w:val="00965B19"/>
    <w:rsid w:val="0096611D"/>
    <w:rsid w:val="009665E3"/>
    <w:rsid w:val="00966C2C"/>
    <w:rsid w:val="00967392"/>
    <w:rsid w:val="009677A5"/>
    <w:rsid w:val="00967951"/>
    <w:rsid w:val="00967D1B"/>
    <w:rsid w:val="00970BD0"/>
    <w:rsid w:val="00970BD6"/>
    <w:rsid w:val="00970C60"/>
    <w:rsid w:val="00972D21"/>
    <w:rsid w:val="009738D2"/>
    <w:rsid w:val="009746AB"/>
    <w:rsid w:val="009747AF"/>
    <w:rsid w:val="00974F5D"/>
    <w:rsid w:val="00975832"/>
    <w:rsid w:val="00975A4B"/>
    <w:rsid w:val="00976409"/>
    <w:rsid w:val="00976B80"/>
    <w:rsid w:val="00977485"/>
    <w:rsid w:val="00977828"/>
    <w:rsid w:val="00977B43"/>
    <w:rsid w:val="0098017E"/>
    <w:rsid w:val="0098041F"/>
    <w:rsid w:val="0098054D"/>
    <w:rsid w:val="00980614"/>
    <w:rsid w:val="0098150F"/>
    <w:rsid w:val="009816FF"/>
    <w:rsid w:val="00981CA9"/>
    <w:rsid w:val="00982083"/>
    <w:rsid w:val="009830A7"/>
    <w:rsid w:val="0098312D"/>
    <w:rsid w:val="009831BF"/>
    <w:rsid w:val="009839E5"/>
    <w:rsid w:val="00983C73"/>
    <w:rsid w:val="009842E9"/>
    <w:rsid w:val="00984A93"/>
    <w:rsid w:val="00984C69"/>
    <w:rsid w:val="009852D6"/>
    <w:rsid w:val="009853FD"/>
    <w:rsid w:val="009854D4"/>
    <w:rsid w:val="0098592D"/>
    <w:rsid w:val="00985E8C"/>
    <w:rsid w:val="00986039"/>
    <w:rsid w:val="00986768"/>
    <w:rsid w:val="009869A7"/>
    <w:rsid w:val="00986C29"/>
    <w:rsid w:val="00986DDD"/>
    <w:rsid w:val="009908CD"/>
    <w:rsid w:val="00991192"/>
    <w:rsid w:val="009913A4"/>
    <w:rsid w:val="0099155C"/>
    <w:rsid w:val="00991874"/>
    <w:rsid w:val="00991E5D"/>
    <w:rsid w:val="009924C7"/>
    <w:rsid w:val="00992D08"/>
    <w:rsid w:val="009937BF"/>
    <w:rsid w:val="009939F6"/>
    <w:rsid w:val="00994E80"/>
    <w:rsid w:val="0099521B"/>
    <w:rsid w:val="009961E7"/>
    <w:rsid w:val="00996630"/>
    <w:rsid w:val="009966A2"/>
    <w:rsid w:val="00996C3C"/>
    <w:rsid w:val="00997313"/>
    <w:rsid w:val="00997490"/>
    <w:rsid w:val="009974C5"/>
    <w:rsid w:val="00997A32"/>
    <w:rsid w:val="00997AA3"/>
    <w:rsid w:val="00997AC8"/>
    <w:rsid w:val="009A078E"/>
    <w:rsid w:val="009A07EB"/>
    <w:rsid w:val="009A1268"/>
    <w:rsid w:val="009A1808"/>
    <w:rsid w:val="009A18A9"/>
    <w:rsid w:val="009A1D73"/>
    <w:rsid w:val="009A2473"/>
    <w:rsid w:val="009A2577"/>
    <w:rsid w:val="009A2B3A"/>
    <w:rsid w:val="009A2B6A"/>
    <w:rsid w:val="009A2BCE"/>
    <w:rsid w:val="009A38B0"/>
    <w:rsid w:val="009A3D49"/>
    <w:rsid w:val="009A3FCF"/>
    <w:rsid w:val="009A3FFF"/>
    <w:rsid w:val="009A441E"/>
    <w:rsid w:val="009A4804"/>
    <w:rsid w:val="009A4977"/>
    <w:rsid w:val="009A4D6E"/>
    <w:rsid w:val="009A50C2"/>
    <w:rsid w:val="009A54F5"/>
    <w:rsid w:val="009A56AD"/>
    <w:rsid w:val="009A5DE6"/>
    <w:rsid w:val="009A6ADA"/>
    <w:rsid w:val="009A6DF9"/>
    <w:rsid w:val="009A70B1"/>
    <w:rsid w:val="009A7597"/>
    <w:rsid w:val="009A7A4F"/>
    <w:rsid w:val="009A7AC8"/>
    <w:rsid w:val="009B0181"/>
    <w:rsid w:val="009B03F6"/>
    <w:rsid w:val="009B0BC1"/>
    <w:rsid w:val="009B132D"/>
    <w:rsid w:val="009B1F93"/>
    <w:rsid w:val="009B2A1D"/>
    <w:rsid w:val="009B3B37"/>
    <w:rsid w:val="009B3EDA"/>
    <w:rsid w:val="009B5556"/>
    <w:rsid w:val="009B5C3D"/>
    <w:rsid w:val="009B62D0"/>
    <w:rsid w:val="009B6CC4"/>
    <w:rsid w:val="009B6F6E"/>
    <w:rsid w:val="009B7587"/>
    <w:rsid w:val="009C05B9"/>
    <w:rsid w:val="009C08DF"/>
    <w:rsid w:val="009C0BDF"/>
    <w:rsid w:val="009C0F66"/>
    <w:rsid w:val="009C1925"/>
    <w:rsid w:val="009C1FD8"/>
    <w:rsid w:val="009C288C"/>
    <w:rsid w:val="009C326C"/>
    <w:rsid w:val="009C36BC"/>
    <w:rsid w:val="009C3FDF"/>
    <w:rsid w:val="009C46CC"/>
    <w:rsid w:val="009C493F"/>
    <w:rsid w:val="009C4D75"/>
    <w:rsid w:val="009C4F09"/>
    <w:rsid w:val="009C5ABC"/>
    <w:rsid w:val="009C63A6"/>
    <w:rsid w:val="009C685B"/>
    <w:rsid w:val="009C68E2"/>
    <w:rsid w:val="009C6A83"/>
    <w:rsid w:val="009C763F"/>
    <w:rsid w:val="009C7664"/>
    <w:rsid w:val="009D07DD"/>
    <w:rsid w:val="009D0A9D"/>
    <w:rsid w:val="009D0C12"/>
    <w:rsid w:val="009D143F"/>
    <w:rsid w:val="009D1B42"/>
    <w:rsid w:val="009D1EC3"/>
    <w:rsid w:val="009D260D"/>
    <w:rsid w:val="009D2D30"/>
    <w:rsid w:val="009D2DCB"/>
    <w:rsid w:val="009D3663"/>
    <w:rsid w:val="009D3CEE"/>
    <w:rsid w:val="009D3E5A"/>
    <w:rsid w:val="009D403D"/>
    <w:rsid w:val="009D4133"/>
    <w:rsid w:val="009D4264"/>
    <w:rsid w:val="009D49BE"/>
    <w:rsid w:val="009D4D52"/>
    <w:rsid w:val="009D5065"/>
    <w:rsid w:val="009D546B"/>
    <w:rsid w:val="009D5AC3"/>
    <w:rsid w:val="009D5D9E"/>
    <w:rsid w:val="009D5FB2"/>
    <w:rsid w:val="009D653F"/>
    <w:rsid w:val="009D662C"/>
    <w:rsid w:val="009D68E5"/>
    <w:rsid w:val="009D696F"/>
    <w:rsid w:val="009D6D5A"/>
    <w:rsid w:val="009D6F73"/>
    <w:rsid w:val="009D7AD2"/>
    <w:rsid w:val="009DD0C0"/>
    <w:rsid w:val="009E03B5"/>
    <w:rsid w:val="009E0D09"/>
    <w:rsid w:val="009E0D43"/>
    <w:rsid w:val="009E16F9"/>
    <w:rsid w:val="009E1924"/>
    <w:rsid w:val="009E1A55"/>
    <w:rsid w:val="009E1BA9"/>
    <w:rsid w:val="009E1D5C"/>
    <w:rsid w:val="009E2682"/>
    <w:rsid w:val="009E2D64"/>
    <w:rsid w:val="009E2EE2"/>
    <w:rsid w:val="009E30C8"/>
    <w:rsid w:val="009E31C3"/>
    <w:rsid w:val="009E35E1"/>
    <w:rsid w:val="009E381B"/>
    <w:rsid w:val="009E38C9"/>
    <w:rsid w:val="009E3A7E"/>
    <w:rsid w:val="009E40F2"/>
    <w:rsid w:val="009E44AC"/>
    <w:rsid w:val="009E4B1E"/>
    <w:rsid w:val="009E6000"/>
    <w:rsid w:val="009E6C49"/>
    <w:rsid w:val="009E7128"/>
    <w:rsid w:val="009E72CB"/>
    <w:rsid w:val="009E7D47"/>
    <w:rsid w:val="009E7DCC"/>
    <w:rsid w:val="009E7E8B"/>
    <w:rsid w:val="009F09E5"/>
    <w:rsid w:val="009F0C76"/>
    <w:rsid w:val="009F0F9C"/>
    <w:rsid w:val="009F147C"/>
    <w:rsid w:val="009F1996"/>
    <w:rsid w:val="009F271E"/>
    <w:rsid w:val="009F2834"/>
    <w:rsid w:val="009F2D82"/>
    <w:rsid w:val="009F32F5"/>
    <w:rsid w:val="009F340D"/>
    <w:rsid w:val="009F3596"/>
    <w:rsid w:val="009F3841"/>
    <w:rsid w:val="009F3878"/>
    <w:rsid w:val="009F3A4F"/>
    <w:rsid w:val="009F428F"/>
    <w:rsid w:val="009F43C9"/>
    <w:rsid w:val="009F4967"/>
    <w:rsid w:val="009F4BDF"/>
    <w:rsid w:val="009F589C"/>
    <w:rsid w:val="009F6395"/>
    <w:rsid w:val="009F6A90"/>
    <w:rsid w:val="009F72BC"/>
    <w:rsid w:val="009F7473"/>
    <w:rsid w:val="009F783D"/>
    <w:rsid w:val="009F78C4"/>
    <w:rsid w:val="00A003F6"/>
    <w:rsid w:val="00A004C6"/>
    <w:rsid w:val="00A0093C"/>
    <w:rsid w:val="00A01ABA"/>
    <w:rsid w:val="00A02826"/>
    <w:rsid w:val="00A02864"/>
    <w:rsid w:val="00A02CB4"/>
    <w:rsid w:val="00A03182"/>
    <w:rsid w:val="00A03635"/>
    <w:rsid w:val="00A03EAB"/>
    <w:rsid w:val="00A0519D"/>
    <w:rsid w:val="00A056F6"/>
    <w:rsid w:val="00A057DE"/>
    <w:rsid w:val="00A058C5"/>
    <w:rsid w:val="00A06041"/>
    <w:rsid w:val="00A06F4C"/>
    <w:rsid w:val="00A0733C"/>
    <w:rsid w:val="00A0787F"/>
    <w:rsid w:val="00A10333"/>
    <w:rsid w:val="00A10B43"/>
    <w:rsid w:val="00A10C06"/>
    <w:rsid w:val="00A10EC6"/>
    <w:rsid w:val="00A11090"/>
    <w:rsid w:val="00A116A4"/>
    <w:rsid w:val="00A118C0"/>
    <w:rsid w:val="00A11EEC"/>
    <w:rsid w:val="00A1258A"/>
    <w:rsid w:val="00A1284D"/>
    <w:rsid w:val="00A1297A"/>
    <w:rsid w:val="00A129AB"/>
    <w:rsid w:val="00A12AFA"/>
    <w:rsid w:val="00A12BEE"/>
    <w:rsid w:val="00A12FC0"/>
    <w:rsid w:val="00A13011"/>
    <w:rsid w:val="00A13836"/>
    <w:rsid w:val="00A13AB4"/>
    <w:rsid w:val="00A1442C"/>
    <w:rsid w:val="00A1455B"/>
    <w:rsid w:val="00A147C7"/>
    <w:rsid w:val="00A156B4"/>
    <w:rsid w:val="00A158AE"/>
    <w:rsid w:val="00A159D7"/>
    <w:rsid w:val="00A15EE6"/>
    <w:rsid w:val="00A1624A"/>
    <w:rsid w:val="00A163C0"/>
    <w:rsid w:val="00A16AEC"/>
    <w:rsid w:val="00A16BB6"/>
    <w:rsid w:val="00A1722C"/>
    <w:rsid w:val="00A17974"/>
    <w:rsid w:val="00A202CD"/>
    <w:rsid w:val="00A2055E"/>
    <w:rsid w:val="00A20A31"/>
    <w:rsid w:val="00A21046"/>
    <w:rsid w:val="00A2199C"/>
    <w:rsid w:val="00A220B0"/>
    <w:rsid w:val="00A22311"/>
    <w:rsid w:val="00A22490"/>
    <w:rsid w:val="00A2251E"/>
    <w:rsid w:val="00A22521"/>
    <w:rsid w:val="00A22A28"/>
    <w:rsid w:val="00A23246"/>
    <w:rsid w:val="00A23E83"/>
    <w:rsid w:val="00A2451E"/>
    <w:rsid w:val="00A246D3"/>
    <w:rsid w:val="00A246FE"/>
    <w:rsid w:val="00A24A87"/>
    <w:rsid w:val="00A24AE1"/>
    <w:rsid w:val="00A24F22"/>
    <w:rsid w:val="00A26294"/>
    <w:rsid w:val="00A264EE"/>
    <w:rsid w:val="00A2669D"/>
    <w:rsid w:val="00A266B1"/>
    <w:rsid w:val="00A26728"/>
    <w:rsid w:val="00A26767"/>
    <w:rsid w:val="00A26964"/>
    <w:rsid w:val="00A2775F"/>
    <w:rsid w:val="00A301B9"/>
    <w:rsid w:val="00A3078A"/>
    <w:rsid w:val="00A30A0B"/>
    <w:rsid w:val="00A30D1C"/>
    <w:rsid w:val="00A30DDD"/>
    <w:rsid w:val="00A31E7B"/>
    <w:rsid w:val="00A31FF1"/>
    <w:rsid w:val="00A32156"/>
    <w:rsid w:val="00A323C1"/>
    <w:rsid w:val="00A32AED"/>
    <w:rsid w:val="00A32E37"/>
    <w:rsid w:val="00A332A8"/>
    <w:rsid w:val="00A33FB8"/>
    <w:rsid w:val="00A341D2"/>
    <w:rsid w:val="00A34F66"/>
    <w:rsid w:val="00A34FAB"/>
    <w:rsid w:val="00A35311"/>
    <w:rsid w:val="00A3592E"/>
    <w:rsid w:val="00A360BF"/>
    <w:rsid w:val="00A36BBA"/>
    <w:rsid w:val="00A36D57"/>
    <w:rsid w:val="00A3700D"/>
    <w:rsid w:val="00A3703C"/>
    <w:rsid w:val="00A374DA"/>
    <w:rsid w:val="00A37C31"/>
    <w:rsid w:val="00A4037D"/>
    <w:rsid w:val="00A40456"/>
    <w:rsid w:val="00A411D1"/>
    <w:rsid w:val="00A41284"/>
    <w:rsid w:val="00A415DA"/>
    <w:rsid w:val="00A4183B"/>
    <w:rsid w:val="00A422B5"/>
    <w:rsid w:val="00A42CED"/>
    <w:rsid w:val="00A42DC5"/>
    <w:rsid w:val="00A43484"/>
    <w:rsid w:val="00A434CC"/>
    <w:rsid w:val="00A440AA"/>
    <w:rsid w:val="00A44466"/>
    <w:rsid w:val="00A446D6"/>
    <w:rsid w:val="00A44E93"/>
    <w:rsid w:val="00A45F0F"/>
    <w:rsid w:val="00A462CA"/>
    <w:rsid w:val="00A4637F"/>
    <w:rsid w:val="00A478E1"/>
    <w:rsid w:val="00A47967"/>
    <w:rsid w:val="00A47C02"/>
    <w:rsid w:val="00A47DC8"/>
    <w:rsid w:val="00A503C7"/>
    <w:rsid w:val="00A504A7"/>
    <w:rsid w:val="00A5096D"/>
    <w:rsid w:val="00A509BD"/>
    <w:rsid w:val="00A50DA1"/>
    <w:rsid w:val="00A50EB2"/>
    <w:rsid w:val="00A50F38"/>
    <w:rsid w:val="00A512FE"/>
    <w:rsid w:val="00A52293"/>
    <w:rsid w:val="00A52701"/>
    <w:rsid w:val="00A52B74"/>
    <w:rsid w:val="00A52EE7"/>
    <w:rsid w:val="00A5370B"/>
    <w:rsid w:val="00A53830"/>
    <w:rsid w:val="00A53BB6"/>
    <w:rsid w:val="00A54841"/>
    <w:rsid w:val="00A549F6"/>
    <w:rsid w:val="00A553C6"/>
    <w:rsid w:val="00A55728"/>
    <w:rsid w:val="00A55A2F"/>
    <w:rsid w:val="00A55BD1"/>
    <w:rsid w:val="00A55F7B"/>
    <w:rsid w:val="00A566EC"/>
    <w:rsid w:val="00A56895"/>
    <w:rsid w:val="00A5724C"/>
    <w:rsid w:val="00A576F2"/>
    <w:rsid w:val="00A5771C"/>
    <w:rsid w:val="00A57C5B"/>
    <w:rsid w:val="00A57D30"/>
    <w:rsid w:val="00A57DD4"/>
    <w:rsid w:val="00A60033"/>
    <w:rsid w:val="00A60818"/>
    <w:rsid w:val="00A61300"/>
    <w:rsid w:val="00A619D1"/>
    <w:rsid w:val="00A61ABF"/>
    <w:rsid w:val="00A61E77"/>
    <w:rsid w:val="00A620B1"/>
    <w:rsid w:val="00A6221D"/>
    <w:rsid w:val="00A62607"/>
    <w:rsid w:val="00A6267A"/>
    <w:rsid w:val="00A6290C"/>
    <w:rsid w:val="00A62AFD"/>
    <w:rsid w:val="00A635B7"/>
    <w:rsid w:val="00A6384E"/>
    <w:rsid w:val="00A63CDA"/>
    <w:rsid w:val="00A647E0"/>
    <w:rsid w:val="00A64DE6"/>
    <w:rsid w:val="00A64E3E"/>
    <w:rsid w:val="00A65101"/>
    <w:rsid w:val="00A65420"/>
    <w:rsid w:val="00A65860"/>
    <w:rsid w:val="00A65C48"/>
    <w:rsid w:val="00A65D91"/>
    <w:rsid w:val="00A663DF"/>
    <w:rsid w:val="00A67706"/>
    <w:rsid w:val="00A70337"/>
    <w:rsid w:val="00A707C9"/>
    <w:rsid w:val="00A7114C"/>
    <w:rsid w:val="00A711DF"/>
    <w:rsid w:val="00A71730"/>
    <w:rsid w:val="00A71A31"/>
    <w:rsid w:val="00A72132"/>
    <w:rsid w:val="00A72472"/>
    <w:rsid w:val="00A72806"/>
    <w:rsid w:val="00A72E6A"/>
    <w:rsid w:val="00A72F81"/>
    <w:rsid w:val="00A73644"/>
    <w:rsid w:val="00A748F4"/>
    <w:rsid w:val="00A75214"/>
    <w:rsid w:val="00A760E0"/>
    <w:rsid w:val="00A763B8"/>
    <w:rsid w:val="00A7692C"/>
    <w:rsid w:val="00A769C6"/>
    <w:rsid w:val="00A76A77"/>
    <w:rsid w:val="00A76C31"/>
    <w:rsid w:val="00A771EE"/>
    <w:rsid w:val="00A774CE"/>
    <w:rsid w:val="00A776C3"/>
    <w:rsid w:val="00A7C5D1"/>
    <w:rsid w:val="00A800FB"/>
    <w:rsid w:val="00A8022E"/>
    <w:rsid w:val="00A8047E"/>
    <w:rsid w:val="00A80687"/>
    <w:rsid w:val="00A80F76"/>
    <w:rsid w:val="00A813A4"/>
    <w:rsid w:val="00A8140B"/>
    <w:rsid w:val="00A81657"/>
    <w:rsid w:val="00A8173B"/>
    <w:rsid w:val="00A8177B"/>
    <w:rsid w:val="00A81780"/>
    <w:rsid w:val="00A81781"/>
    <w:rsid w:val="00A81A42"/>
    <w:rsid w:val="00A81E63"/>
    <w:rsid w:val="00A820DE"/>
    <w:rsid w:val="00A83978"/>
    <w:rsid w:val="00A83CD5"/>
    <w:rsid w:val="00A83E98"/>
    <w:rsid w:val="00A849BB"/>
    <w:rsid w:val="00A84E94"/>
    <w:rsid w:val="00A84ED7"/>
    <w:rsid w:val="00A84F42"/>
    <w:rsid w:val="00A85669"/>
    <w:rsid w:val="00A860E1"/>
    <w:rsid w:val="00A86530"/>
    <w:rsid w:val="00A86A63"/>
    <w:rsid w:val="00A86A77"/>
    <w:rsid w:val="00A86ADA"/>
    <w:rsid w:val="00A86B30"/>
    <w:rsid w:val="00A86F83"/>
    <w:rsid w:val="00A8749F"/>
    <w:rsid w:val="00A87C2D"/>
    <w:rsid w:val="00A87D46"/>
    <w:rsid w:val="00A9028D"/>
    <w:rsid w:val="00A906BC"/>
    <w:rsid w:val="00A90972"/>
    <w:rsid w:val="00A90C0A"/>
    <w:rsid w:val="00A90EB0"/>
    <w:rsid w:val="00A90F6E"/>
    <w:rsid w:val="00A90FFF"/>
    <w:rsid w:val="00A91463"/>
    <w:rsid w:val="00A9146E"/>
    <w:rsid w:val="00A9172F"/>
    <w:rsid w:val="00A921AF"/>
    <w:rsid w:val="00A9279E"/>
    <w:rsid w:val="00A92A8B"/>
    <w:rsid w:val="00A93A4B"/>
    <w:rsid w:val="00A93D0B"/>
    <w:rsid w:val="00A9476F"/>
    <w:rsid w:val="00A94AFE"/>
    <w:rsid w:val="00A960E5"/>
    <w:rsid w:val="00A96DF6"/>
    <w:rsid w:val="00A97B59"/>
    <w:rsid w:val="00AA144D"/>
    <w:rsid w:val="00AA242F"/>
    <w:rsid w:val="00AA2495"/>
    <w:rsid w:val="00AA2BF3"/>
    <w:rsid w:val="00AA2D63"/>
    <w:rsid w:val="00AA3CB9"/>
    <w:rsid w:val="00AA5733"/>
    <w:rsid w:val="00AA5D30"/>
    <w:rsid w:val="00AA5D98"/>
    <w:rsid w:val="00AA6BE3"/>
    <w:rsid w:val="00AA71F1"/>
    <w:rsid w:val="00AA7D17"/>
    <w:rsid w:val="00AA7F2F"/>
    <w:rsid w:val="00AB04A7"/>
    <w:rsid w:val="00AB0816"/>
    <w:rsid w:val="00AB0BA7"/>
    <w:rsid w:val="00AB1F2F"/>
    <w:rsid w:val="00AB24A2"/>
    <w:rsid w:val="00AB2823"/>
    <w:rsid w:val="00AB2FCD"/>
    <w:rsid w:val="00AB3503"/>
    <w:rsid w:val="00AB35E5"/>
    <w:rsid w:val="00AB37A6"/>
    <w:rsid w:val="00AB3964"/>
    <w:rsid w:val="00AB4557"/>
    <w:rsid w:val="00AB494C"/>
    <w:rsid w:val="00AB5017"/>
    <w:rsid w:val="00AB5A4A"/>
    <w:rsid w:val="00AB5EBF"/>
    <w:rsid w:val="00AB6085"/>
    <w:rsid w:val="00AB6782"/>
    <w:rsid w:val="00AB6AB4"/>
    <w:rsid w:val="00AB6B7E"/>
    <w:rsid w:val="00AB6B98"/>
    <w:rsid w:val="00AB72B7"/>
    <w:rsid w:val="00AB7E80"/>
    <w:rsid w:val="00AB7EA9"/>
    <w:rsid w:val="00AC10EC"/>
    <w:rsid w:val="00AC14BE"/>
    <w:rsid w:val="00AC2A7F"/>
    <w:rsid w:val="00AC2B6A"/>
    <w:rsid w:val="00AC33DF"/>
    <w:rsid w:val="00AC357D"/>
    <w:rsid w:val="00AC3B52"/>
    <w:rsid w:val="00AC46E5"/>
    <w:rsid w:val="00AC4F81"/>
    <w:rsid w:val="00AC545D"/>
    <w:rsid w:val="00AC55B9"/>
    <w:rsid w:val="00AC6268"/>
    <w:rsid w:val="00AC68B0"/>
    <w:rsid w:val="00AC6C0B"/>
    <w:rsid w:val="00AC740A"/>
    <w:rsid w:val="00AC7885"/>
    <w:rsid w:val="00AC7BCB"/>
    <w:rsid w:val="00AD0149"/>
    <w:rsid w:val="00AD0939"/>
    <w:rsid w:val="00AD25ED"/>
    <w:rsid w:val="00AD2774"/>
    <w:rsid w:val="00AD287C"/>
    <w:rsid w:val="00AD395E"/>
    <w:rsid w:val="00AD3C2F"/>
    <w:rsid w:val="00AD4C9B"/>
    <w:rsid w:val="00AD55B8"/>
    <w:rsid w:val="00AD560B"/>
    <w:rsid w:val="00AD5D1E"/>
    <w:rsid w:val="00AD6696"/>
    <w:rsid w:val="00AD69DB"/>
    <w:rsid w:val="00AD6AF7"/>
    <w:rsid w:val="00AD7F88"/>
    <w:rsid w:val="00AD7FDB"/>
    <w:rsid w:val="00AE014B"/>
    <w:rsid w:val="00AE0396"/>
    <w:rsid w:val="00AE0431"/>
    <w:rsid w:val="00AE09F1"/>
    <w:rsid w:val="00AE16FC"/>
    <w:rsid w:val="00AE1D39"/>
    <w:rsid w:val="00AE1FAA"/>
    <w:rsid w:val="00AE254E"/>
    <w:rsid w:val="00AE2594"/>
    <w:rsid w:val="00AE3767"/>
    <w:rsid w:val="00AE53C2"/>
    <w:rsid w:val="00AE5BAB"/>
    <w:rsid w:val="00AE6584"/>
    <w:rsid w:val="00AE6DDE"/>
    <w:rsid w:val="00AE7E63"/>
    <w:rsid w:val="00AF00B3"/>
    <w:rsid w:val="00AF0748"/>
    <w:rsid w:val="00AF0F25"/>
    <w:rsid w:val="00AF1045"/>
    <w:rsid w:val="00AF1354"/>
    <w:rsid w:val="00AF1355"/>
    <w:rsid w:val="00AF1944"/>
    <w:rsid w:val="00AF1A07"/>
    <w:rsid w:val="00AF206E"/>
    <w:rsid w:val="00AF2084"/>
    <w:rsid w:val="00AF20E5"/>
    <w:rsid w:val="00AF2366"/>
    <w:rsid w:val="00AF314B"/>
    <w:rsid w:val="00AF3B0B"/>
    <w:rsid w:val="00AF3BCA"/>
    <w:rsid w:val="00AF4115"/>
    <w:rsid w:val="00AF5468"/>
    <w:rsid w:val="00AF58D6"/>
    <w:rsid w:val="00AF5E65"/>
    <w:rsid w:val="00AF5EE8"/>
    <w:rsid w:val="00AF5FB1"/>
    <w:rsid w:val="00AF65BA"/>
    <w:rsid w:val="00AF6803"/>
    <w:rsid w:val="00AF690C"/>
    <w:rsid w:val="00AF6A4A"/>
    <w:rsid w:val="00AF6B0F"/>
    <w:rsid w:val="00AF7DFB"/>
    <w:rsid w:val="00AF7E8B"/>
    <w:rsid w:val="00B00048"/>
    <w:rsid w:val="00B0084D"/>
    <w:rsid w:val="00B00B46"/>
    <w:rsid w:val="00B0115B"/>
    <w:rsid w:val="00B014CD"/>
    <w:rsid w:val="00B01739"/>
    <w:rsid w:val="00B018DD"/>
    <w:rsid w:val="00B02617"/>
    <w:rsid w:val="00B02B96"/>
    <w:rsid w:val="00B02C29"/>
    <w:rsid w:val="00B032AD"/>
    <w:rsid w:val="00B04C67"/>
    <w:rsid w:val="00B05360"/>
    <w:rsid w:val="00B056C8"/>
    <w:rsid w:val="00B059B3"/>
    <w:rsid w:val="00B05BA1"/>
    <w:rsid w:val="00B05CCC"/>
    <w:rsid w:val="00B05DD4"/>
    <w:rsid w:val="00B05F8A"/>
    <w:rsid w:val="00B06702"/>
    <w:rsid w:val="00B0674D"/>
    <w:rsid w:val="00B06DDD"/>
    <w:rsid w:val="00B07270"/>
    <w:rsid w:val="00B0743E"/>
    <w:rsid w:val="00B077B1"/>
    <w:rsid w:val="00B07929"/>
    <w:rsid w:val="00B0E8F6"/>
    <w:rsid w:val="00B103AD"/>
    <w:rsid w:val="00B10A5F"/>
    <w:rsid w:val="00B10B0D"/>
    <w:rsid w:val="00B10C8B"/>
    <w:rsid w:val="00B10D4C"/>
    <w:rsid w:val="00B10FD1"/>
    <w:rsid w:val="00B111AE"/>
    <w:rsid w:val="00B1146E"/>
    <w:rsid w:val="00B115B1"/>
    <w:rsid w:val="00B11DD7"/>
    <w:rsid w:val="00B123FA"/>
    <w:rsid w:val="00B12496"/>
    <w:rsid w:val="00B130B1"/>
    <w:rsid w:val="00B135C2"/>
    <w:rsid w:val="00B13890"/>
    <w:rsid w:val="00B13D65"/>
    <w:rsid w:val="00B141AE"/>
    <w:rsid w:val="00B141B0"/>
    <w:rsid w:val="00B14216"/>
    <w:rsid w:val="00B14789"/>
    <w:rsid w:val="00B14805"/>
    <w:rsid w:val="00B14832"/>
    <w:rsid w:val="00B14CBE"/>
    <w:rsid w:val="00B15090"/>
    <w:rsid w:val="00B158BC"/>
    <w:rsid w:val="00B15B0F"/>
    <w:rsid w:val="00B15BF9"/>
    <w:rsid w:val="00B1616F"/>
    <w:rsid w:val="00B16197"/>
    <w:rsid w:val="00B16411"/>
    <w:rsid w:val="00B16A41"/>
    <w:rsid w:val="00B2021E"/>
    <w:rsid w:val="00B20380"/>
    <w:rsid w:val="00B206B0"/>
    <w:rsid w:val="00B2093F"/>
    <w:rsid w:val="00B20F2B"/>
    <w:rsid w:val="00B21C3D"/>
    <w:rsid w:val="00B21F40"/>
    <w:rsid w:val="00B224D0"/>
    <w:rsid w:val="00B22683"/>
    <w:rsid w:val="00B2289B"/>
    <w:rsid w:val="00B22EF1"/>
    <w:rsid w:val="00B234E0"/>
    <w:rsid w:val="00B236E1"/>
    <w:rsid w:val="00B23762"/>
    <w:rsid w:val="00B23B38"/>
    <w:rsid w:val="00B23CAB"/>
    <w:rsid w:val="00B23D9C"/>
    <w:rsid w:val="00B2491A"/>
    <w:rsid w:val="00B24CA8"/>
    <w:rsid w:val="00B253AC"/>
    <w:rsid w:val="00B25752"/>
    <w:rsid w:val="00B25AF4"/>
    <w:rsid w:val="00B25BBE"/>
    <w:rsid w:val="00B2645D"/>
    <w:rsid w:val="00B26B1E"/>
    <w:rsid w:val="00B26BD1"/>
    <w:rsid w:val="00B26EDF"/>
    <w:rsid w:val="00B270F5"/>
    <w:rsid w:val="00B3078E"/>
    <w:rsid w:val="00B30BB1"/>
    <w:rsid w:val="00B3179A"/>
    <w:rsid w:val="00B317F1"/>
    <w:rsid w:val="00B319AA"/>
    <w:rsid w:val="00B319DF"/>
    <w:rsid w:val="00B32EF3"/>
    <w:rsid w:val="00B33AC2"/>
    <w:rsid w:val="00B33E24"/>
    <w:rsid w:val="00B342A9"/>
    <w:rsid w:val="00B348AD"/>
    <w:rsid w:val="00B348F5"/>
    <w:rsid w:val="00B34D8D"/>
    <w:rsid w:val="00B357B2"/>
    <w:rsid w:val="00B35ED9"/>
    <w:rsid w:val="00B35F7D"/>
    <w:rsid w:val="00B36100"/>
    <w:rsid w:val="00B361FC"/>
    <w:rsid w:val="00B36225"/>
    <w:rsid w:val="00B362B5"/>
    <w:rsid w:val="00B40324"/>
    <w:rsid w:val="00B4044E"/>
    <w:rsid w:val="00B40940"/>
    <w:rsid w:val="00B40B5F"/>
    <w:rsid w:val="00B40E12"/>
    <w:rsid w:val="00B41693"/>
    <w:rsid w:val="00B418FC"/>
    <w:rsid w:val="00B41AB5"/>
    <w:rsid w:val="00B423CF"/>
    <w:rsid w:val="00B42429"/>
    <w:rsid w:val="00B430F4"/>
    <w:rsid w:val="00B432D9"/>
    <w:rsid w:val="00B4377E"/>
    <w:rsid w:val="00B43B28"/>
    <w:rsid w:val="00B44272"/>
    <w:rsid w:val="00B45025"/>
    <w:rsid w:val="00B4514C"/>
    <w:rsid w:val="00B45D27"/>
    <w:rsid w:val="00B45DC7"/>
    <w:rsid w:val="00B45F69"/>
    <w:rsid w:val="00B4723A"/>
    <w:rsid w:val="00B47278"/>
    <w:rsid w:val="00B4740D"/>
    <w:rsid w:val="00B50168"/>
    <w:rsid w:val="00B501FA"/>
    <w:rsid w:val="00B50666"/>
    <w:rsid w:val="00B516AD"/>
    <w:rsid w:val="00B52084"/>
    <w:rsid w:val="00B522DF"/>
    <w:rsid w:val="00B522FC"/>
    <w:rsid w:val="00B53161"/>
    <w:rsid w:val="00B53274"/>
    <w:rsid w:val="00B532B2"/>
    <w:rsid w:val="00B53347"/>
    <w:rsid w:val="00B53EA9"/>
    <w:rsid w:val="00B5410D"/>
    <w:rsid w:val="00B54700"/>
    <w:rsid w:val="00B547BE"/>
    <w:rsid w:val="00B549F2"/>
    <w:rsid w:val="00B54F74"/>
    <w:rsid w:val="00B55319"/>
    <w:rsid w:val="00B556E1"/>
    <w:rsid w:val="00B556F8"/>
    <w:rsid w:val="00B55993"/>
    <w:rsid w:val="00B55A5E"/>
    <w:rsid w:val="00B56174"/>
    <w:rsid w:val="00B57C34"/>
    <w:rsid w:val="00B5D8D0"/>
    <w:rsid w:val="00B60828"/>
    <w:rsid w:val="00B60834"/>
    <w:rsid w:val="00B60D48"/>
    <w:rsid w:val="00B612EA"/>
    <w:rsid w:val="00B614D9"/>
    <w:rsid w:val="00B61D07"/>
    <w:rsid w:val="00B61F1A"/>
    <w:rsid w:val="00B6222F"/>
    <w:rsid w:val="00B62284"/>
    <w:rsid w:val="00B629F6"/>
    <w:rsid w:val="00B62AF8"/>
    <w:rsid w:val="00B63666"/>
    <w:rsid w:val="00B63780"/>
    <w:rsid w:val="00B63E22"/>
    <w:rsid w:val="00B640E6"/>
    <w:rsid w:val="00B64C84"/>
    <w:rsid w:val="00B64D1F"/>
    <w:rsid w:val="00B65550"/>
    <w:rsid w:val="00B65847"/>
    <w:rsid w:val="00B65AE1"/>
    <w:rsid w:val="00B665E6"/>
    <w:rsid w:val="00B66F0B"/>
    <w:rsid w:val="00B67505"/>
    <w:rsid w:val="00B675F8"/>
    <w:rsid w:val="00B676DC"/>
    <w:rsid w:val="00B67B43"/>
    <w:rsid w:val="00B70242"/>
    <w:rsid w:val="00B70739"/>
    <w:rsid w:val="00B709DF"/>
    <w:rsid w:val="00B709F5"/>
    <w:rsid w:val="00B7123A"/>
    <w:rsid w:val="00B71678"/>
    <w:rsid w:val="00B71972"/>
    <w:rsid w:val="00B72BA8"/>
    <w:rsid w:val="00B73087"/>
    <w:rsid w:val="00B735D2"/>
    <w:rsid w:val="00B73943"/>
    <w:rsid w:val="00B7453E"/>
    <w:rsid w:val="00B74E63"/>
    <w:rsid w:val="00B75404"/>
    <w:rsid w:val="00B75F69"/>
    <w:rsid w:val="00B760D9"/>
    <w:rsid w:val="00B7645C"/>
    <w:rsid w:val="00B766BB"/>
    <w:rsid w:val="00B76AAA"/>
    <w:rsid w:val="00B76D93"/>
    <w:rsid w:val="00B772CA"/>
    <w:rsid w:val="00B775DF"/>
    <w:rsid w:val="00B8197B"/>
    <w:rsid w:val="00B81BBC"/>
    <w:rsid w:val="00B82010"/>
    <w:rsid w:val="00B82E4D"/>
    <w:rsid w:val="00B836CD"/>
    <w:rsid w:val="00B83B46"/>
    <w:rsid w:val="00B84068"/>
    <w:rsid w:val="00B842EE"/>
    <w:rsid w:val="00B84840"/>
    <w:rsid w:val="00B85033"/>
    <w:rsid w:val="00B8553C"/>
    <w:rsid w:val="00B85EEE"/>
    <w:rsid w:val="00B86786"/>
    <w:rsid w:val="00B86F11"/>
    <w:rsid w:val="00B87B1C"/>
    <w:rsid w:val="00B8855E"/>
    <w:rsid w:val="00B90674"/>
    <w:rsid w:val="00B90E56"/>
    <w:rsid w:val="00B911A7"/>
    <w:rsid w:val="00B915D1"/>
    <w:rsid w:val="00B920A4"/>
    <w:rsid w:val="00B92118"/>
    <w:rsid w:val="00B9235E"/>
    <w:rsid w:val="00B927A9"/>
    <w:rsid w:val="00B92ABF"/>
    <w:rsid w:val="00B92AE8"/>
    <w:rsid w:val="00B9320C"/>
    <w:rsid w:val="00B93D0B"/>
    <w:rsid w:val="00B93E9E"/>
    <w:rsid w:val="00B94229"/>
    <w:rsid w:val="00B9454D"/>
    <w:rsid w:val="00B946E1"/>
    <w:rsid w:val="00B94BE0"/>
    <w:rsid w:val="00B94DC0"/>
    <w:rsid w:val="00B96037"/>
    <w:rsid w:val="00B964F9"/>
    <w:rsid w:val="00B96656"/>
    <w:rsid w:val="00B968EE"/>
    <w:rsid w:val="00B97CD7"/>
    <w:rsid w:val="00BA06B4"/>
    <w:rsid w:val="00BA0DB8"/>
    <w:rsid w:val="00BA0DF7"/>
    <w:rsid w:val="00BA12CF"/>
    <w:rsid w:val="00BA1449"/>
    <w:rsid w:val="00BA181A"/>
    <w:rsid w:val="00BA1CC1"/>
    <w:rsid w:val="00BA23B8"/>
    <w:rsid w:val="00BA2453"/>
    <w:rsid w:val="00BA2CCF"/>
    <w:rsid w:val="00BA4C07"/>
    <w:rsid w:val="00BA4CD8"/>
    <w:rsid w:val="00BA4DD3"/>
    <w:rsid w:val="00BA51CB"/>
    <w:rsid w:val="00BA614B"/>
    <w:rsid w:val="00BA698F"/>
    <w:rsid w:val="00BA6BB4"/>
    <w:rsid w:val="00BA7403"/>
    <w:rsid w:val="00BA76CC"/>
    <w:rsid w:val="00BA7C70"/>
    <w:rsid w:val="00BB0D41"/>
    <w:rsid w:val="00BB0DC1"/>
    <w:rsid w:val="00BB0FA6"/>
    <w:rsid w:val="00BB10F7"/>
    <w:rsid w:val="00BB1729"/>
    <w:rsid w:val="00BB174F"/>
    <w:rsid w:val="00BB1E8C"/>
    <w:rsid w:val="00BB22C6"/>
    <w:rsid w:val="00BB24C8"/>
    <w:rsid w:val="00BB2723"/>
    <w:rsid w:val="00BB2B82"/>
    <w:rsid w:val="00BB2B89"/>
    <w:rsid w:val="00BB2DBF"/>
    <w:rsid w:val="00BB36FB"/>
    <w:rsid w:val="00BB4629"/>
    <w:rsid w:val="00BB4D66"/>
    <w:rsid w:val="00BB5766"/>
    <w:rsid w:val="00BB5B18"/>
    <w:rsid w:val="00BB5EBE"/>
    <w:rsid w:val="00BB613E"/>
    <w:rsid w:val="00BB63C7"/>
    <w:rsid w:val="00BB64AE"/>
    <w:rsid w:val="00BB650F"/>
    <w:rsid w:val="00BB683A"/>
    <w:rsid w:val="00BB690F"/>
    <w:rsid w:val="00BB6DC8"/>
    <w:rsid w:val="00BB6E3C"/>
    <w:rsid w:val="00BB6EA5"/>
    <w:rsid w:val="00BB77D4"/>
    <w:rsid w:val="00BB79CD"/>
    <w:rsid w:val="00BB7B97"/>
    <w:rsid w:val="00BB7BFC"/>
    <w:rsid w:val="00BB7FF7"/>
    <w:rsid w:val="00BC06C8"/>
    <w:rsid w:val="00BC1042"/>
    <w:rsid w:val="00BC17BE"/>
    <w:rsid w:val="00BC191B"/>
    <w:rsid w:val="00BC2806"/>
    <w:rsid w:val="00BC297F"/>
    <w:rsid w:val="00BC2A21"/>
    <w:rsid w:val="00BC3052"/>
    <w:rsid w:val="00BC3B0C"/>
    <w:rsid w:val="00BC3E3F"/>
    <w:rsid w:val="00BC43B9"/>
    <w:rsid w:val="00BC469C"/>
    <w:rsid w:val="00BC567E"/>
    <w:rsid w:val="00BC57A7"/>
    <w:rsid w:val="00BC5B28"/>
    <w:rsid w:val="00BC67E8"/>
    <w:rsid w:val="00BC69DA"/>
    <w:rsid w:val="00BC6BD9"/>
    <w:rsid w:val="00BC7639"/>
    <w:rsid w:val="00BC776D"/>
    <w:rsid w:val="00BD0081"/>
    <w:rsid w:val="00BD0416"/>
    <w:rsid w:val="00BD0474"/>
    <w:rsid w:val="00BD0F7F"/>
    <w:rsid w:val="00BD178D"/>
    <w:rsid w:val="00BD1963"/>
    <w:rsid w:val="00BD1A35"/>
    <w:rsid w:val="00BD1C0B"/>
    <w:rsid w:val="00BD2A7C"/>
    <w:rsid w:val="00BD2C6D"/>
    <w:rsid w:val="00BD3496"/>
    <w:rsid w:val="00BD3A02"/>
    <w:rsid w:val="00BD3C7F"/>
    <w:rsid w:val="00BD3CAB"/>
    <w:rsid w:val="00BD3DE6"/>
    <w:rsid w:val="00BD4173"/>
    <w:rsid w:val="00BD4970"/>
    <w:rsid w:val="00BD5391"/>
    <w:rsid w:val="00BD570A"/>
    <w:rsid w:val="00BD57A9"/>
    <w:rsid w:val="00BD5D69"/>
    <w:rsid w:val="00BD705C"/>
    <w:rsid w:val="00BD719F"/>
    <w:rsid w:val="00BD73D8"/>
    <w:rsid w:val="00BD7D43"/>
    <w:rsid w:val="00BDFEC7"/>
    <w:rsid w:val="00BE0515"/>
    <w:rsid w:val="00BE0E4D"/>
    <w:rsid w:val="00BE1D0A"/>
    <w:rsid w:val="00BE3379"/>
    <w:rsid w:val="00BE3702"/>
    <w:rsid w:val="00BE3BAE"/>
    <w:rsid w:val="00BE3F4F"/>
    <w:rsid w:val="00BE41DF"/>
    <w:rsid w:val="00BE4280"/>
    <w:rsid w:val="00BE50CA"/>
    <w:rsid w:val="00BE58EE"/>
    <w:rsid w:val="00BE59CA"/>
    <w:rsid w:val="00BE63AA"/>
    <w:rsid w:val="00BE63B1"/>
    <w:rsid w:val="00BE663F"/>
    <w:rsid w:val="00BE6FC0"/>
    <w:rsid w:val="00BE6FD4"/>
    <w:rsid w:val="00BE71A2"/>
    <w:rsid w:val="00BE7B0D"/>
    <w:rsid w:val="00BEFF23"/>
    <w:rsid w:val="00BF0371"/>
    <w:rsid w:val="00BF03C2"/>
    <w:rsid w:val="00BF0B31"/>
    <w:rsid w:val="00BF0C4B"/>
    <w:rsid w:val="00BF0CF2"/>
    <w:rsid w:val="00BF0F8C"/>
    <w:rsid w:val="00BF1041"/>
    <w:rsid w:val="00BF108C"/>
    <w:rsid w:val="00BF1180"/>
    <w:rsid w:val="00BF1D2B"/>
    <w:rsid w:val="00BF217B"/>
    <w:rsid w:val="00BF233C"/>
    <w:rsid w:val="00BF2EC0"/>
    <w:rsid w:val="00BF2FCE"/>
    <w:rsid w:val="00BF2FD0"/>
    <w:rsid w:val="00BF3316"/>
    <w:rsid w:val="00BF38CD"/>
    <w:rsid w:val="00BF47A0"/>
    <w:rsid w:val="00BF5A71"/>
    <w:rsid w:val="00BF5BDD"/>
    <w:rsid w:val="00BF5F71"/>
    <w:rsid w:val="00BF60B0"/>
    <w:rsid w:val="00BF6103"/>
    <w:rsid w:val="00BF68D9"/>
    <w:rsid w:val="00BF6B16"/>
    <w:rsid w:val="00BF7A6C"/>
    <w:rsid w:val="00C0031E"/>
    <w:rsid w:val="00C008D8"/>
    <w:rsid w:val="00C009BE"/>
    <w:rsid w:val="00C015C6"/>
    <w:rsid w:val="00C019EF"/>
    <w:rsid w:val="00C02201"/>
    <w:rsid w:val="00C040D9"/>
    <w:rsid w:val="00C05BA1"/>
    <w:rsid w:val="00C064CB"/>
    <w:rsid w:val="00C06540"/>
    <w:rsid w:val="00C06A33"/>
    <w:rsid w:val="00C06BAB"/>
    <w:rsid w:val="00C06BFF"/>
    <w:rsid w:val="00C06FAD"/>
    <w:rsid w:val="00C07247"/>
    <w:rsid w:val="00C07A4A"/>
    <w:rsid w:val="00C07D25"/>
    <w:rsid w:val="00C07DB2"/>
    <w:rsid w:val="00C10497"/>
    <w:rsid w:val="00C10823"/>
    <w:rsid w:val="00C1135D"/>
    <w:rsid w:val="00C1156C"/>
    <w:rsid w:val="00C12267"/>
    <w:rsid w:val="00C124A1"/>
    <w:rsid w:val="00C127E6"/>
    <w:rsid w:val="00C127FE"/>
    <w:rsid w:val="00C12F85"/>
    <w:rsid w:val="00C1337F"/>
    <w:rsid w:val="00C137B0"/>
    <w:rsid w:val="00C13AF1"/>
    <w:rsid w:val="00C13B9C"/>
    <w:rsid w:val="00C14429"/>
    <w:rsid w:val="00C14DB8"/>
    <w:rsid w:val="00C153CB"/>
    <w:rsid w:val="00C15583"/>
    <w:rsid w:val="00C1578F"/>
    <w:rsid w:val="00C15C9B"/>
    <w:rsid w:val="00C1639D"/>
    <w:rsid w:val="00C164B3"/>
    <w:rsid w:val="00C168FB"/>
    <w:rsid w:val="00C16A0C"/>
    <w:rsid w:val="00C1712F"/>
    <w:rsid w:val="00C174E2"/>
    <w:rsid w:val="00C1785B"/>
    <w:rsid w:val="00C17965"/>
    <w:rsid w:val="00C17AD5"/>
    <w:rsid w:val="00C17D8F"/>
    <w:rsid w:val="00C17EF8"/>
    <w:rsid w:val="00C20309"/>
    <w:rsid w:val="00C20915"/>
    <w:rsid w:val="00C20A3F"/>
    <w:rsid w:val="00C20EA8"/>
    <w:rsid w:val="00C21567"/>
    <w:rsid w:val="00C21A71"/>
    <w:rsid w:val="00C21C1A"/>
    <w:rsid w:val="00C220BB"/>
    <w:rsid w:val="00C224D1"/>
    <w:rsid w:val="00C22C0E"/>
    <w:rsid w:val="00C22F26"/>
    <w:rsid w:val="00C23745"/>
    <w:rsid w:val="00C244CD"/>
    <w:rsid w:val="00C24E68"/>
    <w:rsid w:val="00C25214"/>
    <w:rsid w:val="00C252BC"/>
    <w:rsid w:val="00C255BF"/>
    <w:rsid w:val="00C2569C"/>
    <w:rsid w:val="00C26589"/>
    <w:rsid w:val="00C26D60"/>
    <w:rsid w:val="00C27028"/>
    <w:rsid w:val="00C27030"/>
    <w:rsid w:val="00C2703F"/>
    <w:rsid w:val="00C274AD"/>
    <w:rsid w:val="00C27636"/>
    <w:rsid w:val="00C27D87"/>
    <w:rsid w:val="00C27DA1"/>
    <w:rsid w:val="00C2D32F"/>
    <w:rsid w:val="00C2F7AF"/>
    <w:rsid w:val="00C30187"/>
    <w:rsid w:val="00C318B8"/>
    <w:rsid w:val="00C31A2F"/>
    <w:rsid w:val="00C31B20"/>
    <w:rsid w:val="00C32007"/>
    <w:rsid w:val="00C32224"/>
    <w:rsid w:val="00C328D0"/>
    <w:rsid w:val="00C32DB9"/>
    <w:rsid w:val="00C332EA"/>
    <w:rsid w:val="00C33430"/>
    <w:rsid w:val="00C33565"/>
    <w:rsid w:val="00C338F0"/>
    <w:rsid w:val="00C33C78"/>
    <w:rsid w:val="00C35127"/>
    <w:rsid w:val="00C35676"/>
    <w:rsid w:val="00C35D6F"/>
    <w:rsid w:val="00C3651A"/>
    <w:rsid w:val="00C36706"/>
    <w:rsid w:val="00C36744"/>
    <w:rsid w:val="00C367CA"/>
    <w:rsid w:val="00C36A13"/>
    <w:rsid w:val="00C36F71"/>
    <w:rsid w:val="00C37910"/>
    <w:rsid w:val="00C37921"/>
    <w:rsid w:val="00C4020D"/>
    <w:rsid w:val="00C404A9"/>
    <w:rsid w:val="00C40852"/>
    <w:rsid w:val="00C40D35"/>
    <w:rsid w:val="00C411A6"/>
    <w:rsid w:val="00C41340"/>
    <w:rsid w:val="00C4142F"/>
    <w:rsid w:val="00C41491"/>
    <w:rsid w:val="00C4240C"/>
    <w:rsid w:val="00C42C73"/>
    <w:rsid w:val="00C42FA8"/>
    <w:rsid w:val="00C431BD"/>
    <w:rsid w:val="00C4358E"/>
    <w:rsid w:val="00C43615"/>
    <w:rsid w:val="00C43CFF"/>
    <w:rsid w:val="00C43DA4"/>
    <w:rsid w:val="00C43F49"/>
    <w:rsid w:val="00C441EB"/>
    <w:rsid w:val="00C44CB4"/>
    <w:rsid w:val="00C44FA1"/>
    <w:rsid w:val="00C451F3"/>
    <w:rsid w:val="00C454F0"/>
    <w:rsid w:val="00C4561C"/>
    <w:rsid w:val="00C45BE4"/>
    <w:rsid w:val="00C45E8E"/>
    <w:rsid w:val="00C460B0"/>
    <w:rsid w:val="00C46495"/>
    <w:rsid w:val="00C47250"/>
    <w:rsid w:val="00C47464"/>
    <w:rsid w:val="00C479EA"/>
    <w:rsid w:val="00C47CD6"/>
    <w:rsid w:val="00C47DD5"/>
    <w:rsid w:val="00C50639"/>
    <w:rsid w:val="00C507CD"/>
    <w:rsid w:val="00C5097D"/>
    <w:rsid w:val="00C510B5"/>
    <w:rsid w:val="00C5113C"/>
    <w:rsid w:val="00C51822"/>
    <w:rsid w:val="00C51AB7"/>
    <w:rsid w:val="00C52217"/>
    <w:rsid w:val="00C5250F"/>
    <w:rsid w:val="00C52EEF"/>
    <w:rsid w:val="00C52F50"/>
    <w:rsid w:val="00C5366E"/>
    <w:rsid w:val="00C53BBB"/>
    <w:rsid w:val="00C540E3"/>
    <w:rsid w:val="00C54375"/>
    <w:rsid w:val="00C547F1"/>
    <w:rsid w:val="00C552A9"/>
    <w:rsid w:val="00C5535D"/>
    <w:rsid w:val="00C553C0"/>
    <w:rsid w:val="00C5552B"/>
    <w:rsid w:val="00C55A31"/>
    <w:rsid w:val="00C55FAE"/>
    <w:rsid w:val="00C5624A"/>
    <w:rsid w:val="00C567EF"/>
    <w:rsid w:val="00C56D49"/>
    <w:rsid w:val="00C56E82"/>
    <w:rsid w:val="00C5701B"/>
    <w:rsid w:val="00C570FD"/>
    <w:rsid w:val="00C571CA"/>
    <w:rsid w:val="00C574C7"/>
    <w:rsid w:val="00C5798B"/>
    <w:rsid w:val="00C57CC1"/>
    <w:rsid w:val="00C60DE6"/>
    <w:rsid w:val="00C6122A"/>
    <w:rsid w:val="00C6185C"/>
    <w:rsid w:val="00C61A3D"/>
    <w:rsid w:val="00C61A5A"/>
    <w:rsid w:val="00C62063"/>
    <w:rsid w:val="00C62A1E"/>
    <w:rsid w:val="00C6309D"/>
    <w:rsid w:val="00C63D45"/>
    <w:rsid w:val="00C63E01"/>
    <w:rsid w:val="00C6411B"/>
    <w:rsid w:val="00C643FF"/>
    <w:rsid w:val="00C644D4"/>
    <w:rsid w:val="00C644E2"/>
    <w:rsid w:val="00C647B8"/>
    <w:rsid w:val="00C6525A"/>
    <w:rsid w:val="00C65B03"/>
    <w:rsid w:val="00C65C93"/>
    <w:rsid w:val="00C66BCE"/>
    <w:rsid w:val="00C66E77"/>
    <w:rsid w:val="00C672A0"/>
    <w:rsid w:val="00C673CF"/>
    <w:rsid w:val="00C67753"/>
    <w:rsid w:val="00C67C54"/>
    <w:rsid w:val="00C67C8F"/>
    <w:rsid w:val="00C67E27"/>
    <w:rsid w:val="00C6E980"/>
    <w:rsid w:val="00C70718"/>
    <w:rsid w:val="00C708DE"/>
    <w:rsid w:val="00C70A7A"/>
    <w:rsid w:val="00C7120C"/>
    <w:rsid w:val="00C71352"/>
    <w:rsid w:val="00C71597"/>
    <w:rsid w:val="00C71949"/>
    <w:rsid w:val="00C7262C"/>
    <w:rsid w:val="00C729F6"/>
    <w:rsid w:val="00C72A32"/>
    <w:rsid w:val="00C731B7"/>
    <w:rsid w:val="00C732B3"/>
    <w:rsid w:val="00C733B1"/>
    <w:rsid w:val="00C737B8"/>
    <w:rsid w:val="00C737DF"/>
    <w:rsid w:val="00C73B7E"/>
    <w:rsid w:val="00C73C1D"/>
    <w:rsid w:val="00C7438C"/>
    <w:rsid w:val="00C743D5"/>
    <w:rsid w:val="00C7499A"/>
    <w:rsid w:val="00C75B84"/>
    <w:rsid w:val="00C76A96"/>
    <w:rsid w:val="00C76DCF"/>
    <w:rsid w:val="00C77350"/>
    <w:rsid w:val="00C80336"/>
    <w:rsid w:val="00C810A3"/>
    <w:rsid w:val="00C812EE"/>
    <w:rsid w:val="00C8181E"/>
    <w:rsid w:val="00C819DD"/>
    <w:rsid w:val="00C81D87"/>
    <w:rsid w:val="00C81FE0"/>
    <w:rsid w:val="00C820D6"/>
    <w:rsid w:val="00C822BD"/>
    <w:rsid w:val="00C82367"/>
    <w:rsid w:val="00C823B2"/>
    <w:rsid w:val="00C8276B"/>
    <w:rsid w:val="00C82982"/>
    <w:rsid w:val="00C829E5"/>
    <w:rsid w:val="00C834B7"/>
    <w:rsid w:val="00C83850"/>
    <w:rsid w:val="00C83B80"/>
    <w:rsid w:val="00C840A2"/>
    <w:rsid w:val="00C846ED"/>
    <w:rsid w:val="00C84BBA"/>
    <w:rsid w:val="00C84C48"/>
    <w:rsid w:val="00C85A8A"/>
    <w:rsid w:val="00C86AA6"/>
    <w:rsid w:val="00C86C86"/>
    <w:rsid w:val="00C878EE"/>
    <w:rsid w:val="00C879A8"/>
    <w:rsid w:val="00C90062"/>
    <w:rsid w:val="00C9013A"/>
    <w:rsid w:val="00C90756"/>
    <w:rsid w:val="00C90879"/>
    <w:rsid w:val="00C9098A"/>
    <w:rsid w:val="00C90E87"/>
    <w:rsid w:val="00C91501"/>
    <w:rsid w:val="00C915D5"/>
    <w:rsid w:val="00C91797"/>
    <w:rsid w:val="00C919DF"/>
    <w:rsid w:val="00C926E6"/>
    <w:rsid w:val="00C9289B"/>
    <w:rsid w:val="00C92AA1"/>
    <w:rsid w:val="00C932F7"/>
    <w:rsid w:val="00C934B5"/>
    <w:rsid w:val="00C946EF"/>
    <w:rsid w:val="00C94E39"/>
    <w:rsid w:val="00C95008"/>
    <w:rsid w:val="00C96131"/>
    <w:rsid w:val="00C96567"/>
    <w:rsid w:val="00C966F1"/>
    <w:rsid w:val="00C97162"/>
    <w:rsid w:val="00C97236"/>
    <w:rsid w:val="00C97817"/>
    <w:rsid w:val="00CA00F6"/>
    <w:rsid w:val="00CA0417"/>
    <w:rsid w:val="00CA07C1"/>
    <w:rsid w:val="00CA0E1D"/>
    <w:rsid w:val="00CA1BBF"/>
    <w:rsid w:val="00CA2FAB"/>
    <w:rsid w:val="00CA3171"/>
    <w:rsid w:val="00CA3236"/>
    <w:rsid w:val="00CA32E2"/>
    <w:rsid w:val="00CA332C"/>
    <w:rsid w:val="00CA3515"/>
    <w:rsid w:val="00CA364A"/>
    <w:rsid w:val="00CA3994"/>
    <w:rsid w:val="00CA4012"/>
    <w:rsid w:val="00CA40C9"/>
    <w:rsid w:val="00CA4411"/>
    <w:rsid w:val="00CA483D"/>
    <w:rsid w:val="00CA4864"/>
    <w:rsid w:val="00CA4A16"/>
    <w:rsid w:val="00CA53BF"/>
    <w:rsid w:val="00CA61BF"/>
    <w:rsid w:val="00CA7089"/>
    <w:rsid w:val="00CA7341"/>
    <w:rsid w:val="00CA75AF"/>
    <w:rsid w:val="00CA77D6"/>
    <w:rsid w:val="00CA7CFA"/>
    <w:rsid w:val="00CB032C"/>
    <w:rsid w:val="00CB0F9C"/>
    <w:rsid w:val="00CB10B1"/>
    <w:rsid w:val="00CB21E9"/>
    <w:rsid w:val="00CB25BD"/>
    <w:rsid w:val="00CB2725"/>
    <w:rsid w:val="00CB2AB3"/>
    <w:rsid w:val="00CB2B7B"/>
    <w:rsid w:val="00CB40C1"/>
    <w:rsid w:val="00CB494B"/>
    <w:rsid w:val="00CB50BE"/>
    <w:rsid w:val="00CB5536"/>
    <w:rsid w:val="00CB6664"/>
    <w:rsid w:val="00CB72C1"/>
    <w:rsid w:val="00CB7669"/>
    <w:rsid w:val="00CB7BFB"/>
    <w:rsid w:val="00CB7E98"/>
    <w:rsid w:val="00CB7F1A"/>
    <w:rsid w:val="00CC004A"/>
    <w:rsid w:val="00CC0316"/>
    <w:rsid w:val="00CC0536"/>
    <w:rsid w:val="00CC0BBB"/>
    <w:rsid w:val="00CC0C47"/>
    <w:rsid w:val="00CC0DC8"/>
    <w:rsid w:val="00CC126C"/>
    <w:rsid w:val="00CC1513"/>
    <w:rsid w:val="00CC159D"/>
    <w:rsid w:val="00CC193B"/>
    <w:rsid w:val="00CC1FEF"/>
    <w:rsid w:val="00CC226A"/>
    <w:rsid w:val="00CC27A2"/>
    <w:rsid w:val="00CC2917"/>
    <w:rsid w:val="00CC2A3E"/>
    <w:rsid w:val="00CC2A8B"/>
    <w:rsid w:val="00CC2F2F"/>
    <w:rsid w:val="00CC544B"/>
    <w:rsid w:val="00CC55A1"/>
    <w:rsid w:val="00CC5872"/>
    <w:rsid w:val="00CC60B8"/>
    <w:rsid w:val="00CC6302"/>
    <w:rsid w:val="00CC8737"/>
    <w:rsid w:val="00CD001E"/>
    <w:rsid w:val="00CD0068"/>
    <w:rsid w:val="00CD00AF"/>
    <w:rsid w:val="00CD1827"/>
    <w:rsid w:val="00CD2824"/>
    <w:rsid w:val="00CD427D"/>
    <w:rsid w:val="00CD4553"/>
    <w:rsid w:val="00CD48D2"/>
    <w:rsid w:val="00CD54E2"/>
    <w:rsid w:val="00CD555A"/>
    <w:rsid w:val="00CD56AA"/>
    <w:rsid w:val="00CD5779"/>
    <w:rsid w:val="00CD6313"/>
    <w:rsid w:val="00CD66BF"/>
    <w:rsid w:val="00CD6880"/>
    <w:rsid w:val="00CD6934"/>
    <w:rsid w:val="00CE053B"/>
    <w:rsid w:val="00CE0AE2"/>
    <w:rsid w:val="00CE0B86"/>
    <w:rsid w:val="00CE0BAF"/>
    <w:rsid w:val="00CE1898"/>
    <w:rsid w:val="00CE1C21"/>
    <w:rsid w:val="00CE2391"/>
    <w:rsid w:val="00CE23B1"/>
    <w:rsid w:val="00CE24FE"/>
    <w:rsid w:val="00CE301E"/>
    <w:rsid w:val="00CE34DE"/>
    <w:rsid w:val="00CE3768"/>
    <w:rsid w:val="00CE422D"/>
    <w:rsid w:val="00CE4586"/>
    <w:rsid w:val="00CE4631"/>
    <w:rsid w:val="00CE476A"/>
    <w:rsid w:val="00CE4A85"/>
    <w:rsid w:val="00CE4EE2"/>
    <w:rsid w:val="00CE507C"/>
    <w:rsid w:val="00CE5927"/>
    <w:rsid w:val="00CE6321"/>
    <w:rsid w:val="00CE67B6"/>
    <w:rsid w:val="00CE6836"/>
    <w:rsid w:val="00CE6C48"/>
    <w:rsid w:val="00CE6DBF"/>
    <w:rsid w:val="00CF0884"/>
    <w:rsid w:val="00CF0B6B"/>
    <w:rsid w:val="00CF1527"/>
    <w:rsid w:val="00CF1801"/>
    <w:rsid w:val="00CF18E9"/>
    <w:rsid w:val="00CF1A96"/>
    <w:rsid w:val="00CF1E25"/>
    <w:rsid w:val="00CF2E3F"/>
    <w:rsid w:val="00CF341B"/>
    <w:rsid w:val="00CF344C"/>
    <w:rsid w:val="00CF3705"/>
    <w:rsid w:val="00CF37DE"/>
    <w:rsid w:val="00CF3D49"/>
    <w:rsid w:val="00CF4046"/>
    <w:rsid w:val="00CF4448"/>
    <w:rsid w:val="00CF4E4F"/>
    <w:rsid w:val="00CF4E59"/>
    <w:rsid w:val="00CF54D6"/>
    <w:rsid w:val="00CF5698"/>
    <w:rsid w:val="00CF5728"/>
    <w:rsid w:val="00CF623B"/>
    <w:rsid w:val="00CF635D"/>
    <w:rsid w:val="00CF65E5"/>
    <w:rsid w:val="00CF6692"/>
    <w:rsid w:val="00CF74B4"/>
    <w:rsid w:val="00CF8951"/>
    <w:rsid w:val="00D00020"/>
    <w:rsid w:val="00D00622"/>
    <w:rsid w:val="00D01534"/>
    <w:rsid w:val="00D01E6B"/>
    <w:rsid w:val="00D021A4"/>
    <w:rsid w:val="00D02B43"/>
    <w:rsid w:val="00D03345"/>
    <w:rsid w:val="00D03F6D"/>
    <w:rsid w:val="00D047C0"/>
    <w:rsid w:val="00D05514"/>
    <w:rsid w:val="00D05834"/>
    <w:rsid w:val="00D05B2D"/>
    <w:rsid w:val="00D05E84"/>
    <w:rsid w:val="00D0609E"/>
    <w:rsid w:val="00D06560"/>
    <w:rsid w:val="00D068CB"/>
    <w:rsid w:val="00D06AD9"/>
    <w:rsid w:val="00D06F30"/>
    <w:rsid w:val="00D104B8"/>
    <w:rsid w:val="00D10AD0"/>
    <w:rsid w:val="00D112E1"/>
    <w:rsid w:val="00D11358"/>
    <w:rsid w:val="00D1173D"/>
    <w:rsid w:val="00D11BFD"/>
    <w:rsid w:val="00D11C7D"/>
    <w:rsid w:val="00D121A8"/>
    <w:rsid w:val="00D12403"/>
    <w:rsid w:val="00D139F4"/>
    <w:rsid w:val="00D1460E"/>
    <w:rsid w:val="00D14611"/>
    <w:rsid w:val="00D14AA8"/>
    <w:rsid w:val="00D14BB1"/>
    <w:rsid w:val="00D14C75"/>
    <w:rsid w:val="00D150A5"/>
    <w:rsid w:val="00D16955"/>
    <w:rsid w:val="00D16B94"/>
    <w:rsid w:val="00D16C95"/>
    <w:rsid w:val="00D171E2"/>
    <w:rsid w:val="00D17AB6"/>
    <w:rsid w:val="00D17F13"/>
    <w:rsid w:val="00D21C70"/>
    <w:rsid w:val="00D21EBE"/>
    <w:rsid w:val="00D22F29"/>
    <w:rsid w:val="00D23944"/>
    <w:rsid w:val="00D245A0"/>
    <w:rsid w:val="00D25084"/>
    <w:rsid w:val="00D253AC"/>
    <w:rsid w:val="00D254A0"/>
    <w:rsid w:val="00D256D3"/>
    <w:rsid w:val="00D26194"/>
    <w:rsid w:val="00D26527"/>
    <w:rsid w:val="00D26545"/>
    <w:rsid w:val="00D2659E"/>
    <w:rsid w:val="00D266ED"/>
    <w:rsid w:val="00D268AC"/>
    <w:rsid w:val="00D26DC2"/>
    <w:rsid w:val="00D274B0"/>
    <w:rsid w:val="00D274CE"/>
    <w:rsid w:val="00D27974"/>
    <w:rsid w:val="00D27C2E"/>
    <w:rsid w:val="00D300ED"/>
    <w:rsid w:val="00D30754"/>
    <w:rsid w:val="00D30DD0"/>
    <w:rsid w:val="00D30FDA"/>
    <w:rsid w:val="00D313DB"/>
    <w:rsid w:val="00D3304D"/>
    <w:rsid w:val="00D3400D"/>
    <w:rsid w:val="00D34452"/>
    <w:rsid w:val="00D34598"/>
    <w:rsid w:val="00D34A71"/>
    <w:rsid w:val="00D34B63"/>
    <w:rsid w:val="00D34B94"/>
    <w:rsid w:val="00D3540C"/>
    <w:rsid w:val="00D35B6C"/>
    <w:rsid w:val="00D36F3E"/>
    <w:rsid w:val="00D36F5B"/>
    <w:rsid w:val="00D37C77"/>
    <w:rsid w:val="00D4063A"/>
    <w:rsid w:val="00D4083C"/>
    <w:rsid w:val="00D4099E"/>
    <w:rsid w:val="00D40C08"/>
    <w:rsid w:val="00D40FCC"/>
    <w:rsid w:val="00D41910"/>
    <w:rsid w:val="00D4251E"/>
    <w:rsid w:val="00D42B3C"/>
    <w:rsid w:val="00D42C8F"/>
    <w:rsid w:val="00D430A4"/>
    <w:rsid w:val="00D43111"/>
    <w:rsid w:val="00D4332F"/>
    <w:rsid w:val="00D43466"/>
    <w:rsid w:val="00D4366D"/>
    <w:rsid w:val="00D43708"/>
    <w:rsid w:val="00D43B5A"/>
    <w:rsid w:val="00D441B4"/>
    <w:rsid w:val="00D441F0"/>
    <w:rsid w:val="00D44AD7"/>
    <w:rsid w:val="00D44FD1"/>
    <w:rsid w:val="00D45946"/>
    <w:rsid w:val="00D46AAB"/>
    <w:rsid w:val="00D46FD3"/>
    <w:rsid w:val="00D470D3"/>
    <w:rsid w:val="00D47148"/>
    <w:rsid w:val="00D472C1"/>
    <w:rsid w:val="00D50DDA"/>
    <w:rsid w:val="00D51BFC"/>
    <w:rsid w:val="00D51C85"/>
    <w:rsid w:val="00D526E6"/>
    <w:rsid w:val="00D528A7"/>
    <w:rsid w:val="00D52D98"/>
    <w:rsid w:val="00D5311E"/>
    <w:rsid w:val="00D53852"/>
    <w:rsid w:val="00D53B60"/>
    <w:rsid w:val="00D54366"/>
    <w:rsid w:val="00D54ECE"/>
    <w:rsid w:val="00D5523B"/>
    <w:rsid w:val="00D55635"/>
    <w:rsid w:val="00D55645"/>
    <w:rsid w:val="00D55930"/>
    <w:rsid w:val="00D55AEC"/>
    <w:rsid w:val="00D55E18"/>
    <w:rsid w:val="00D55FD6"/>
    <w:rsid w:val="00D56483"/>
    <w:rsid w:val="00D5673A"/>
    <w:rsid w:val="00D5703C"/>
    <w:rsid w:val="00D57DC0"/>
    <w:rsid w:val="00D602DB"/>
    <w:rsid w:val="00D60A73"/>
    <w:rsid w:val="00D60F15"/>
    <w:rsid w:val="00D61579"/>
    <w:rsid w:val="00D61722"/>
    <w:rsid w:val="00D61E96"/>
    <w:rsid w:val="00D62BE5"/>
    <w:rsid w:val="00D63193"/>
    <w:rsid w:val="00D635D4"/>
    <w:rsid w:val="00D63616"/>
    <w:rsid w:val="00D63817"/>
    <w:rsid w:val="00D638CF"/>
    <w:rsid w:val="00D63A30"/>
    <w:rsid w:val="00D63F55"/>
    <w:rsid w:val="00D643D1"/>
    <w:rsid w:val="00D643F9"/>
    <w:rsid w:val="00D64650"/>
    <w:rsid w:val="00D64DC2"/>
    <w:rsid w:val="00D65D70"/>
    <w:rsid w:val="00D66E2E"/>
    <w:rsid w:val="00D67B98"/>
    <w:rsid w:val="00D70A74"/>
    <w:rsid w:val="00D70C5E"/>
    <w:rsid w:val="00D70D76"/>
    <w:rsid w:val="00D71CB1"/>
    <w:rsid w:val="00D71CBC"/>
    <w:rsid w:val="00D72018"/>
    <w:rsid w:val="00D72597"/>
    <w:rsid w:val="00D7279A"/>
    <w:rsid w:val="00D7286F"/>
    <w:rsid w:val="00D728C2"/>
    <w:rsid w:val="00D73246"/>
    <w:rsid w:val="00D73578"/>
    <w:rsid w:val="00D738BD"/>
    <w:rsid w:val="00D73FCC"/>
    <w:rsid w:val="00D74154"/>
    <w:rsid w:val="00D7523C"/>
    <w:rsid w:val="00D75AE7"/>
    <w:rsid w:val="00D75E1C"/>
    <w:rsid w:val="00D75E7A"/>
    <w:rsid w:val="00D7602B"/>
    <w:rsid w:val="00D762B1"/>
    <w:rsid w:val="00D763C4"/>
    <w:rsid w:val="00D76448"/>
    <w:rsid w:val="00D7664C"/>
    <w:rsid w:val="00D769E8"/>
    <w:rsid w:val="00D7746E"/>
    <w:rsid w:val="00D80285"/>
    <w:rsid w:val="00D802AC"/>
    <w:rsid w:val="00D8041F"/>
    <w:rsid w:val="00D81716"/>
    <w:rsid w:val="00D821FE"/>
    <w:rsid w:val="00D822DC"/>
    <w:rsid w:val="00D8253A"/>
    <w:rsid w:val="00D82653"/>
    <w:rsid w:val="00D82B80"/>
    <w:rsid w:val="00D82D38"/>
    <w:rsid w:val="00D82EA7"/>
    <w:rsid w:val="00D83273"/>
    <w:rsid w:val="00D835A1"/>
    <w:rsid w:val="00D83770"/>
    <w:rsid w:val="00D8439F"/>
    <w:rsid w:val="00D84A32"/>
    <w:rsid w:val="00D85C7F"/>
    <w:rsid w:val="00D862D0"/>
    <w:rsid w:val="00D8676E"/>
    <w:rsid w:val="00D869DB"/>
    <w:rsid w:val="00D86A31"/>
    <w:rsid w:val="00D86E54"/>
    <w:rsid w:val="00D8707A"/>
    <w:rsid w:val="00D87A3C"/>
    <w:rsid w:val="00D900A0"/>
    <w:rsid w:val="00D90141"/>
    <w:rsid w:val="00D90934"/>
    <w:rsid w:val="00D91269"/>
    <w:rsid w:val="00D92008"/>
    <w:rsid w:val="00D92142"/>
    <w:rsid w:val="00D92BA1"/>
    <w:rsid w:val="00D92C62"/>
    <w:rsid w:val="00D92EC7"/>
    <w:rsid w:val="00D931F3"/>
    <w:rsid w:val="00D937CB"/>
    <w:rsid w:val="00D950A3"/>
    <w:rsid w:val="00D959D1"/>
    <w:rsid w:val="00D95A75"/>
    <w:rsid w:val="00D95DCB"/>
    <w:rsid w:val="00D960B4"/>
    <w:rsid w:val="00D96EB1"/>
    <w:rsid w:val="00D96FDE"/>
    <w:rsid w:val="00D9701B"/>
    <w:rsid w:val="00D97205"/>
    <w:rsid w:val="00D972D0"/>
    <w:rsid w:val="00D976F5"/>
    <w:rsid w:val="00D978F4"/>
    <w:rsid w:val="00D9793F"/>
    <w:rsid w:val="00D97D70"/>
    <w:rsid w:val="00D9909D"/>
    <w:rsid w:val="00DA036B"/>
    <w:rsid w:val="00DA0DD0"/>
    <w:rsid w:val="00DA0EB8"/>
    <w:rsid w:val="00DA0EE0"/>
    <w:rsid w:val="00DA123B"/>
    <w:rsid w:val="00DA1DB7"/>
    <w:rsid w:val="00DA1F8F"/>
    <w:rsid w:val="00DA29A1"/>
    <w:rsid w:val="00DA2D5D"/>
    <w:rsid w:val="00DA2EB8"/>
    <w:rsid w:val="00DA342C"/>
    <w:rsid w:val="00DA347C"/>
    <w:rsid w:val="00DA3881"/>
    <w:rsid w:val="00DA4102"/>
    <w:rsid w:val="00DA42FB"/>
    <w:rsid w:val="00DA4C96"/>
    <w:rsid w:val="00DA596B"/>
    <w:rsid w:val="00DA6434"/>
    <w:rsid w:val="00DA64CA"/>
    <w:rsid w:val="00DA756D"/>
    <w:rsid w:val="00DA7E8F"/>
    <w:rsid w:val="00DB0FCA"/>
    <w:rsid w:val="00DB1F80"/>
    <w:rsid w:val="00DB23AC"/>
    <w:rsid w:val="00DB2B6B"/>
    <w:rsid w:val="00DB2C19"/>
    <w:rsid w:val="00DB309B"/>
    <w:rsid w:val="00DB3560"/>
    <w:rsid w:val="00DB3584"/>
    <w:rsid w:val="00DB3C2B"/>
    <w:rsid w:val="00DB3EE5"/>
    <w:rsid w:val="00DB42B4"/>
    <w:rsid w:val="00DB56F1"/>
    <w:rsid w:val="00DB5FF2"/>
    <w:rsid w:val="00DB63CE"/>
    <w:rsid w:val="00DB6A7C"/>
    <w:rsid w:val="00DB7215"/>
    <w:rsid w:val="00DB7460"/>
    <w:rsid w:val="00DB79E7"/>
    <w:rsid w:val="00DB7DAD"/>
    <w:rsid w:val="00DC0065"/>
    <w:rsid w:val="00DC0517"/>
    <w:rsid w:val="00DC0A40"/>
    <w:rsid w:val="00DC0C70"/>
    <w:rsid w:val="00DC0CEB"/>
    <w:rsid w:val="00DC1327"/>
    <w:rsid w:val="00DC1748"/>
    <w:rsid w:val="00DC17C6"/>
    <w:rsid w:val="00DC18AD"/>
    <w:rsid w:val="00DC1937"/>
    <w:rsid w:val="00DC1C0B"/>
    <w:rsid w:val="00DC1D8F"/>
    <w:rsid w:val="00DC1DAB"/>
    <w:rsid w:val="00DC2284"/>
    <w:rsid w:val="00DC235A"/>
    <w:rsid w:val="00DC33CA"/>
    <w:rsid w:val="00DC3400"/>
    <w:rsid w:val="00DC366A"/>
    <w:rsid w:val="00DC3BD7"/>
    <w:rsid w:val="00DC4251"/>
    <w:rsid w:val="00DC4810"/>
    <w:rsid w:val="00DC485D"/>
    <w:rsid w:val="00DC4BED"/>
    <w:rsid w:val="00DC4CA4"/>
    <w:rsid w:val="00DC5C04"/>
    <w:rsid w:val="00DC6253"/>
    <w:rsid w:val="00DC698D"/>
    <w:rsid w:val="00DC69C6"/>
    <w:rsid w:val="00DC6E2A"/>
    <w:rsid w:val="00DC71F3"/>
    <w:rsid w:val="00DC7B0A"/>
    <w:rsid w:val="00DC7B29"/>
    <w:rsid w:val="00DD02B5"/>
    <w:rsid w:val="00DD08A0"/>
    <w:rsid w:val="00DD0C5F"/>
    <w:rsid w:val="00DD1468"/>
    <w:rsid w:val="00DD17C2"/>
    <w:rsid w:val="00DD19E3"/>
    <w:rsid w:val="00DD1B3C"/>
    <w:rsid w:val="00DD1F16"/>
    <w:rsid w:val="00DD2C98"/>
    <w:rsid w:val="00DD2F35"/>
    <w:rsid w:val="00DD30B1"/>
    <w:rsid w:val="00DD3589"/>
    <w:rsid w:val="00DD43BD"/>
    <w:rsid w:val="00DD54CE"/>
    <w:rsid w:val="00DD5893"/>
    <w:rsid w:val="00DD592A"/>
    <w:rsid w:val="00DD6640"/>
    <w:rsid w:val="00DD6737"/>
    <w:rsid w:val="00DD6A3D"/>
    <w:rsid w:val="00DD6F31"/>
    <w:rsid w:val="00DD7A9F"/>
    <w:rsid w:val="00DD7ACA"/>
    <w:rsid w:val="00DD7AED"/>
    <w:rsid w:val="00DD7DFF"/>
    <w:rsid w:val="00DD7FF3"/>
    <w:rsid w:val="00DE01D5"/>
    <w:rsid w:val="00DE0771"/>
    <w:rsid w:val="00DE1631"/>
    <w:rsid w:val="00DE1751"/>
    <w:rsid w:val="00DE18EB"/>
    <w:rsid w:val="00DE1916"/>
    <w:rsid w:val="00DE2326"/>
    <w:rsid w:val="00DE266E"/>
    <w:rsid w:val="00DE268C"/>
    <w:rsid w:val="00DE2BC5"/>
    <w:rsid w:val="00DE2D48"/>
    <w:rsid w:val="00DE2EF1"/>
    <w:rsid w:val="00DE31CA"/>
    <w:rsid w:val="00DE35FB"/>
    <w:rsid w:val="00DE46BA"/>
    <w:rsid w:val="00DE48BF"/>
    <w:rsid w:val="00DE525F"/>
    <w:rsid w:val="00DE5350"/>
    <w:rsid w:val="00DE5398"/>
    <w:rsid w:val="00DE56CD"/>
    <w:rsid w:val="00DE5EE3"/>
    <w:rsid w:val="00DE6502"/>
    <w:rsid w:val="00DE6A6F"/>
    <w:rsid w:val="00DF06F4"/>
    <w:rsid w:val="00DF0706"/>
    <w:rsid w:val="00DF0EE4"/>
    <w:rsid w:val="00DF1164"/>
    <w:rsid w:val="00DF146C"/>
    <w:rsid w:val="00DF2635"/>
    <w:rsid w:val="00DF26BA"/>
    <w:rsid w:val="00DF2BE8"/>
    <w:rsid w:val="00DF30B6"/>
    <w:rsid w:val="00DF310D"/>
    <w:rsid w:val="00DF3418"/>
    <w:rsid w:val="00DF372C"/>
    <w:rsid w:val="00DF3BBD"/>
    <w:rsid w:val="00DF4466"/>
    <w:rsid w:val="00DF47F5"/>
    <w:rsid w:val="00DF487E"/>
    <w:rsid w:val="00DF488C"/>
    <w:rsid w:val="00DF50D3"/>
    <w:rsid w:val="00DF54F2"/>
    <w:rsid w:val="00DF5578"/>
    <w:rsid w:val="00DF56F3"/>
    <w:rsid w:val="00DF57E7"/>
    <w:rsid w:val="00DF5E5D"/>
    <w:rsid w:val="00DF5FFA"/>
    <w:rsid w:val="00DF73E9"/>
    <w:rsid w:val="00DF7CB9"/>
    <w:rsid w:val="00DF7D0A"/>
    <w:rsid w:val="00E00259"/>
    <w:rsid w:val="00E0049E"/>
    <w:rsid w:val="00E00CAB"/>
    <w:rsid w:val="00E01519"/>
    <w:rsid w:val="00E01581"/>
    <w:rsid w:val="00E01C09"/>
    <w:rsid w:val="00E01FC7"/>
    <w:rsid w:val="00E02ADE"/>
    <w:rsid w:val="00E03917"/>
    <w:rsid w:val="00E03B59"/>
    <w:rsid w:val="00E03D8D"/>
    <w:rsid w:val="00E0405A"/>
    <w:rsid w:val="00E0567E"/>
    <w:rsid w:val="00E059E9"/>
    <w:rsid w:val="00E05EFA"/>
    <w:rsid w:val="00E066CD"/>
    <w:rsid w:val="00E06746"/>
    <w:rsid w:val="00E06B56"/>
    <w:rsid w:val="00E06EA0"/>
    <w:rsid w:val="00E07522"/>
    <w:rsid w:val="00E07FFA"/>
    <w:rsid w:val="00E10295"/>
    <w:rsid w:val="00E109BC"/>
    <w:rsid w:val="00E10AC0"/>
    <w:rsid w:val="00E10C19"/>
    <w:rsid w:val="00E11A04"/>
    <w:rsid w:val="00E11C9C"/>
    <w:rsid w:val="00E11D4C"/>
    <w:rsid w:val="00E1237E"/>
    <w:rsid w:val="00E1255A"/>
    <w:rsid w:val="00E12CFE"/>
    <w:rsid w:val="00E13229"/>
    <w:rsid w:val="00E13546"/>
    <w:rsid w:val="00E135A8"/>
    <w:rsid w:val="00E13774"/>
    <w:rsid w:val="00E1378D"/>
    <w:rsid w:val="00E14D4D"/>
    <w:rsid w:val="00E156D0"/>
    <w:rsid w:val="00E15744"/>
    <w:rsid w:val="00E159D2"/>
    <w:rsid w:val="00E15D78"/>
    <w:rsid w:val="00E16029"/>
    <w:rsid w:val="00E17461"/>
    <w:rsid w:val="00E175C5"/>
    <w:rsid w:val="00E17783"/>
    <w:rsid w:val="00E17B78"/>
    <w:rsid w:val="00E20561"/>
    <w:rsid w:val="00E206DB"/>
    <w:rsid w:val="00E20792"/>
    <w:rsid w:val="00E20D3B"/>
    <w:rsid w:val="00E20DD1"/>
    <w:rsid w:val="00E210BB"/>
    <w:rsid w:val="00E21EA4"/>
    <w:rsid w:val="00E224A3"/>
    <w:rsid w:val="00E2301B"/>
    <w:rsid w:val="00E23375"/>
    <w:rsid w:val="00E23404"/>
    <w:rsid w:val="00E234D5"/>
    <w:rsid w:val="00E240BE"/>
    <w:rsid w:val="00E24C0F"/>
    <w:rsid w:val="00E24F42"/>
    <w:rsid w:val="00E25278"/>
    <w:rsid w:val="00E252AF"/>
    <w:rsid w:val="00E25DEE"/>
    <w:rsid w:val="00E25EEA"/>
    <w:rsid w:val="00E25F33"/>
    <w:rsid w:val="00E266C5"/>
    <w:rsid w:val="00E2705C"/>
    <w:rsid w:val="00E271B4"/>
    <w:rsid w:val="00E27762"/>
    <w:rsid w:val="00E27A37"/>
    <w:rsid w:val="00E27B63"/>
    <w:rsid w:val="00E30177"/>
    <w:rsid w:val="00E30ABA"/>
    <w:rsid w:val="00E30DC6"/>
    <w:rsid w:val="00E31424"/>
    <w:rsid w:val="00E31D17"/>
    <w:rsid w:val="00E32E63"/>
    <w:rsid w:val="00E32FB0"/>
    <w:rsid w:val="00E33509"/>
    <w:rsid w:val="00E3360C"/>
    <w:rsid w:val="00E33EB1"/>
    <w:rsid w:val="00E34497"/>
    <w:rsid w:val="00E34946"/>
    <w:rsid w:val="00E34CC0"/>
    <w:rsid w:val="00E355F7"/>
    <w:rsid w:val="00E35639"/>
    <w:rsid w:val="00E359DF"/>
    <w:rsid w:val="00E36230"/>
    <w:rsid w:val="00E362D3"/>
    <w:rsid w:val="00E36316"/>
    <w:rsid w:val="00E36668"/>
    <w:rsid w:val="00E367B5"/>
    <w:rsid w:val="00E36DFC"/>
    <w:rsid w:val="00E37508"/>
    <w:rsid w:val="00E40153"/>
    <w:rsid w:val="00E407BC"/>
    <w:rsid w:val="00E40B7D"/>
    <w:rsid w:val="00E40F9E"/>
    <w:rsid w:val="00E4128D"/>
    <w:rsid w:val="00E413D5"/>
    <w:rsid w:val="00E4178C"/>
    <w:rsid w:val="00E42300"/>
    <w:rsid w:val="00E42C6E"/>
    <w:rsid w:val="00E4305B"/>
    <w:rsid w:val="00E4321B"/>
    <w:rsid w:val="00E433E8"/>
    <w:rsid w:val="00E4363B"/>
    <w:rsid w:val="00E44464"/>
    <w:rsid w:val="00E44683"/>
    <w:rsid w:val="00E45143"/>
    <w:rsid w:val="00E4645C"/>
    <w:rsid w:val="00E46A47"/>
    <w:rsid w:val="00E46D0C"/>
    <w:rsid w:val="00E46E90"/>
    <w:rsid w:val="00E46F99"/>
    <w:rsid w:val="00E47058"/>
    <w:rsid w:val="00E475FD"/>
    <w:rsid w:val="00E47BB7"/>
    <w:rsid w:val="00E504A1"/>
    <w:rsid w:val="00E508A7"/>
    <w:rsid w:val="00E50E13"/>
    <w:rsid w:val="00E50F56"/>
    <w:rsid w:val="00E516EB"/>
    <w:rsid w:val="00E525D3"/>
    <w:rsid w:val="00E52A93"/>
    <w:rsid w:val="00E5311C"/>
    <w:rsid w:val="00E534E0"/>
    <w:rsid w:val="00E53A36"/>
    <w:rsid w:val="00E53D04"/>
    <w:rsid w:val="00E53FA1"/>
    <w:rsid w:val="00E5408E"/>
    <w:rsid w:val="00E54095"/>
    <w:rsid w:val="00E542FD"/>
    <w:rsid w:val="00E546B0"/>
    <w:rsid w:val="00E54BBB"/>
    <w:rsid w:val="00E56164"/>
    <w:rsid w:val="00E56E53"/>
    <w:rsid w:val="00E608A9"/>
    <w:rsid w:val="00E6160E"/>
    <w:rsid w:val="00E61A73"/>
    <w:rsid w:val="00E61E91"/>
    <w:rsid w:val="00E61F52"/>
    <w:rsid w:val="00E61FAC"/>
    <w:rsid w:val="00E629BA"/>
    <w:rsid w:val="00E62A98"/>
    <w:rsid w:val="00E62BBE"/>
    <w:rsid w:val="00E6350E"/>
    <w:rsid w:val="00E63630"/>
    <w:rsid w:val="00E636B8"/>
    <w:rsid w:val="00E63A8A"/>
    <w:rsid w:val="00E6447A"/>
    <w:rsid w:val="00E6466E"/>
    <w:rsid w:val="00E651FC"/>
    <w:rsid w:val="00E65716"/>
    <w:rsid w:val="00E65897"/>
    <w:rsid w:val="00E658D6"/>
    <w:rsid w:val="00E660FC"/>
    <w:rsid w:val="00E66791"/>
    <w:rsid w:val="00E668C0"/>
    <w:rsid w:val="00E66B08"/>
    <w:rsid w:val="00E6769C"/>
    <w:rsid w:val="00E68D9C"/>
    <w:rsid w:val="00E701F6"/>
    <w:rsid w:val="00E703BB"/>
    <w:rsid w:val="00E709A2"/>
    <w:rsid w:val="00E70C75"/>
    <w:rsid w:val="00E7226B"/>
    <w:rsid w:val="00E72C13"/>
    <w:rsid w:val="00E72D3A"/>
    <w:rsid w:val="00E73051"/>
    <w:rsid w:val="00E73190"/>
    <w:rsid w:val="00E732A6"/>
    <w:rsid w:val="00E73438"/>
    <w:rsid w:val="00E73484"/>
    <w:rsid w:val="00E7355A"/>
    <w:rsid w:val="00E739A6"/>
    <w:rsid w:val="00E73C64"/>
    <w:rsid w:val="00E74231"/>
    <w:rsid w:val="00E7477F"/>
    <w:rsid w:val="00E7498F"/>
    <w:rsid w:val="00E74B18"/>
    <w:rsid w:val="00E74D18"/>
    <w:rsid w:val="00E74E14"/>
    <w:rsid w:val="00E75C40"/>
    <w:rsid w:val="00E75E17"/>
    <w:rsid w:val="00E75F90"/>
    <w:rsid w:val="00E76B35"/>
    <w:rsid w:val="00E76D1A"/>
    <w:rsid w:val="00E770C0"/>
    <w:rsid w:val="00E77755"/>
    <w:rsid w:val="00E803E4"/>
    <w:rsid w:val="00E80DEB"/>
    <w:rsid w:val="00E80DF1"/>
    <w:rsid w:val="00E813E9"/>
    <w:rsid w:val="00E8143B"/>
    <w:rsid w:val="00E815D3"/>
    <w:rsid w:val="00E817C6"/>
    <w:rsid w:val="00E8237A"/>
    <w:rsid w:val="00E82393"/>
    <w:rsid w:val="00E827BB"/>
    <w:rsid w:val="00E82A99"/>
    <w:rsid w:val="00E82BE2"/>
    <w:rsid w:val="00E8327D"/>
    <w:rsid w:val="00E83DA0"/>
    <w:rsid w:val="00E8414C"/>
    <w:rsid w:val="00E841EA"/>
    <w:rsid w:val="00E8430D"/>
    <w:rsid w:val="00E84D46"/>
    <w:rsid w:val="00E84E0F"/>
    <w:rsid w:val="00E8528A"/>
    <w:rsid w:val="00E852C8"/>
    <w:rsid w:val="00E8586E"/>
    <w:rsid w:val="00E86CBA"/>
    <w:rsid w:val="00E8712E"/>
    <w:rsid w:val="00E87B7E"/>
    <w:rsid w:val="00E90009"/>
    <w:rsid w:val="00E90201"/>
    <w:rsid w:val="00E90802"/>
    <w:rsid w:val="00E908B7"/>
    <w:rsid w:val="00E90C98"/>
    <w:rsid w:val="00E9183D"/>
    <w:rsid w:val="00E91B01"/>
    <w:rsid w:val="00E91C8E"/>
    <w:rsid w:val="00E9225D"/>
    <w:rsid w:val="00E933F4"/>
    <w:rsid w:val="00E93956"/>
    <w:rsid w:val="00E9443D"/>
    <w:rsid w:val="00E9476F"/>
    <w:rsid w:val="00E955F2"/>
    <w:rsid w:val="00E95D65"/>
    <w:rsid w:val="00E95E66"/>
    <w:rsid w:val="00E96141"/>
    <w:rsid w:val="00E96798"/>
    <w:rsid w:val="00E96CAA"/>
    <w:rsid w:val="00E97404"/>
    <w:rsid w:val="00E97B4E"/>
    <w:rsid w:val="00EA0189"/>
    <w:rsid w:val="00EA284D"/>
    <w:rsid w:val="00EA31FF"/>
    <w:rsid w:val="00EA3BA2"/>
    <w:rsid w:val="00EA3E2F"/>
    <w:rsid w:val="00EA49B1"/>
    <w:rsid w:val="00EA49D3"/>
    <w:rsid w:val="00EA4B6C"/>
    <w:rsid w:val="00EA4BF3"/>
    <w:rsid w:val="00EA514A"/>
    <w:rsid w:val="00EA585E"/>
    <w:rsid w:val="00EA5D66"/>
    <w:rsid w:val="00EA6179"/>
    <w:rsid w:val="00EA6837"/>
    <w:rsid w:val="00EA6A70"/>
    <w:rsid w:val="00EA73F3"/>
    <w:rsid w:val="00EA79DF"/>
    <w:rsid w:val="00EA7AF5"/>
    <w:rsid w:val="00EB0307"/>
    <w:rsid w:val="00EB0D4E"/>
    <w:rsid w:val="00EB1FF4"/>
    <w:rsid w:val="00EB20C2"/>
    <w:rsid w:val="00EB2387"/>
    <w:rsid w:val="00EB32BF"/>
    <w:rsid w:val="00EB393B"/>
    <w:rsid w:val="00EB4320"/>
    <w:rsid w:val="00EB44DD"/>
    <w:rsid w:val="00EB4A4C"/>
    <w:rsid w:val="00EB4BF5"/>
    <w:rsid w:val="00EB4D31"/>
    <w:rsid w:val="00EB4DA8"/>
    <w:rsid w:val="00EB4E04"/>
    <w:rsid w:val="00EB51C6"/>
    <w:rsid w:val="00EB635B"/>
    <w:rsid w:val="00EB6867"/>
    <w:rsid w:val="00EB6E5C"/>
    <w:rsid w:val="00EB7C33"/>
    <w:rsid w:val="00EB7C34"/>
    <w:rsid w:val="00EB7CF1"/>
    <w:rsid w:val="00EB7D17"/>
    <w:rsid w:val="00EBD9CE"/>
    <w:rsid w:val="00EC00FD"/>
    <w:rsid w:val="00EC0966"/>
    <w:rsid w:val="00EC0B07"/>
    <w:rsid w:val="00EC0EDA"/>
    <w:rsid w:val="00EC135C"/>
    <w:rsid w:val="00EC15EC"/>
    <w:rsid w:val="00EC170D"/>
    <w:rsid w:val="00EC3018"/>
    <w:rsid w:val="00EC37E0"/>
    <w:rsid w:val="00EC3E13"/>
    <w:rsid w:val="00EC3F8F"/>
    <w:rsid w:val="00EC40C9"/>
    <w:rsid w:val="00EC5372"/>
    <w:rsid w:val="00EC54D7"/>
    <w:rsid w:val="00EC5E8C"/>
    <w:rsid w:val="00EC61C3"/>
    <w:rsid w:val="00EC6594"/>
    <w:rsid w:val="00EC6701"/>
    <w:rsid w:val="00EC6E0F"/>
    <w:rsid w:val="00EC6F46"/>
    <w:rsid w:val="00EC7058"/>
    <w:rsid w:val="00EC752C"/>
    <w:rsid w:val="00EC7988"/>
    <w:rsid w:val="00ED03E1"/>
    <w:rsid w:val="00ED066C"/>
    <w:rsid w:val="00ED0DA2"/>
    <w:rsid w:val="00ED0F03"/>
    <w:rsid w:val="00ED0F07"/>
    <w:rsid w:val="00ED241B"/>
    <w:rsid w:val="00ED3135"/>
    <w:rsid w:val="00ED37A9"/>
    <w:rsid w:val="00ED38F0"/>
    <w:rsid w:val="00ED3A9B"/>
    <w:rsid w:val="00ED43F6"/>
    <w:rsid w:val="00ED4488"/>
    <w:rsid w:val="00ED469B"/>
    <w:rsid w:val="00ED503B"/>
    <w:rsid w:val="00ED56C5"/>
    <w:rsid w:val="00ED571A"/>
    <w:rsid w:val="00ED5BC1"/>
    <w:rsid w:val="00ED5BC6"/>
    <w:rsid w:val="00ED5EE9"/>
    <w:rsid w:val="00ED66C6"/>
    <w:rsid w:val="00ED6EF4"/>
    <w:rsid w:val="00ED794A"/>
    <w:rsid w:val="00EE0746"/>
    <w:rsid w:val="00EE0E20"/>
    <w:rsid w:val="00EE16A2"/>
    <w:rsid w:val="00EE1A56"/>
    <w:rsid w:val="00EE20E2"/>
    <w:rsid w:val="00EE23A4"/>
    <w:rsid w:val="00EE2939"/>
    <w:rsid w:val="00EE388E"/>
    <w:rsid w:val="00EE3B47"/>
    <w:rsid w:val="00EE46F4"/>
    <w:rsid w:val="00EE4749"/>
    <w:rsid w:val="00EE48C6"/>
    <w:rsid w:val="00EE4969"/>
    <w:rsid w:val="00EE4DA8"/>
    <w:rsid w:val="00EE5DC5"/>
    <w:rsid w:val="00EE6509"/>
    <w:rsid w:val="00EE6AEB"/>
    <w:rsid w:val="00EE7253"/>
    <w:rsid w:val="00EE76EC"/>
    <w:rsid w:val="00EF04AF"/>
    <w:rsid w:val="00EF0637"/>
    <w:rsid w:val="00EF06E2"/>
    <w:rsid w:val="00EF081A"/>
    <w:rsid w:val="00EF0B2D"/>
    <w:rsid w:val="00EF1F98"/>
    <w:rsid w:val="00EF21EF"/>
    <w:rsid w:val="00EF236D"/>
    <w:rsid w:val="00EF2A60"/>
    <w:rsid w:val="00EF2D39"/>
    <w:rsid w:val="00EF3E5C"/>
    <w:rsid w:val="00EF4711"/>
    <w:rsid w:val="00EF557D"/>
    <w:rsid w:val="00EF5CCE"/>
    <w:rsid w:val="00EF5DBD"/>
    <w:rsid w:val="00EF663D"/>
    <w:rsid w:val="00EF6EBF"/>
    <w:rsid w:val="00EF72CA"/>
    <w:rsid w:val="00EF76E7"/>
    <w:rsid w:val="00EF7CFC"/>
    <w:rsid w:val="00F002DA"/>
    <w:rsid w:val="00F003B6"/>
    <w:rsid w:val="00F00F10"/>
    <w:rsid w:val="00F01CFE"/>
    <w:rsid w:val="00F01FCD"/>
    <w:rsid w:val="00F02851"/>
    <w:rsid w:val="00F02B49"/>
    <w:rsid w:val="00F0311B"/>
    <w:rsid w:val="00F032A1"/>
    <w:rsid w:val="00F035D7"/>
    <w:rsid w:val="00F038D7"/>
    <w:rsid w:val="00F0401B"/>
    <w:rsid w:val="00F040BF"/>
    <w:rsid w:val="00F04735"/>
    <w:rsid w:val="00F05720"/>
    <w:rsid w:val="00F06AA0"/>
    <w:rsid w:val="00F06C87"/>
    <w:rsid w:val="00F0700E"/>
    <w:rsid w:val="00F07B76"/>
    <w:rsid w:val="00F10207"/>
    <w:rsid w:val="00F10907"/>
    <w:rsid w:val="00F10D01"/>
    <w:rsid w:val="00F11032"/>
    <w:rsid w:val="00F11087"/>
    <w:rsid w:val="00F11909"/>
    <w:rsid w:val="00F11EDD"/>
    <w:rsid w:val="00F120AF"/>
    <w:rsid w:val="00F12A4A"/>
    <w:rsid w:val="00F14082"/>
    <w:rsid w:val="00F14380"/>
    <w:rsid w:val="00F143BF"/>
    <w:rsid w:val="00F14F3F"/>
    <w:rsid w:val="00F15A03"/>
    <w:rsid w:val="00F15FD1"/>
    <w:rsid w:val="00F167D6"/>
    <w:rsid w:val="00F168D8"/>
    <w:rsid w:val="00F16B34"/>
    <w:rsid w:val="00F16DD5"/>
    <w:rsid w:val="00F16F6B"/>
    <w:rsid w:val="00F171CF"/>
    <w:rsid w:val="00F173A3"/>
    <w:rsid w:val="00F20354"/>
    <w:rsid w:val="00F2064A"/>
    <w:rsid w:val="00F207B8"/>
    <w:rsid w:val="00F21097"/>
    <w:rsid w:val="00F212EC"/>
    <w:rsid w:val="00F2133C"/>
    <w:rsid w:val="00F21D24"/>
    <w:rsid w:val="00F22C90"/>
    <w:rsid w:val="00F23169"/>
    <w:rsid w:val="00F232E2"/>
    <w:rsid w:val="00F23ACD"/>
    <w:rsid w:val="00F23EF0"/>
    <w:rsid w:val="00F23FBF"/>
    <w:rsid w:val="00F250A3"/>
    <w:rsid w:val="00F253A9"/>
    <w:rsid w:val="00F2564B"/>
    <w:rsid w:val="00F25D28"/>
    <w:rsid w:val="00F25EC0"/>
    <w:rsid w:val="00F2617F"/>
    <w:rsid w:val="00F2669E"/>
    <w:rsid w:val="00F26999"/>
    <w:rsid w:val="00F271B2"/>
    <w:rsid w:val="00F30212"/>
    <w:rsid w:val="00F30844"/>
    <w:rsid w:val="00F313F8"/>
    <w:rsid w:val="00F331DB"/>
    <w:rsid w:val="00F337C6"/>
    <w:rsid w:val="00F34BB5"/>
    <w:rsid w:val="00F34CE7"/>
    <w:rsid w:val="00F350E7"/>
    <w:rsid w:val="00F35483"/>
    <w:rsid w:val="00F355AA"/>
    <w:rsid w:val="00F35630"/>
    <w:rsid w:val="00F35889"/>
    <w:rsid w:val="00F35A97"/>
    <w:rsid w:val="00F360B2"/>
    <w:rsid w:val="00F36593"/>
    <w:rsid w:val="00F36C34"/>
    <w:rsid w:val="00F37669"/>
    <w:rsid w:val="00F37B63"/>
    <w:rsid w:val="00F4017F"/>
    <w:rsid w:val="00F40667"/>
    <w:rsid w:val="00F40752"/>
    <w:rsid w:val="00F40D31"/>
    <w:rsid w:val="00F40E95"/>
    <w:rsid w:val="00F415B4"/>
    <w:rsid w:val="00F41AAC"/>
    <w:rsid w:val="00F41D72"/>
    <w:rsid w:val="00F41E7A"/>
    <w:rsid w:val="00F42108"/>
    <w:rsid w:val="00F42227"/>
    <w:rsid w:val="00F42DA0"/>
    <w:rsid w:val="00F42E59"/>
    <w:rsid w:val="00F43003"/>
    <w:rsid w:val="00F4304D"/>
    <w:rsid w:val="00F430B8"/>
    <w:rsid w:val="00F4356D"/>
    <w:rsid w:val="00F43743"/>
    <w:rsid w:val="00F44397"/>
    <w:rsid w:val="00F44615"/>
    <w:rsid w:val="00F44668"/>
    <w:rsid w:val="00F449FE"/>
    <w:rsid w:val="00F45542"/>
    <w:rsid w:val="00F46006"/>
    <w:rsid w:val="00F46496"/>
    <w:rsid w:val="00F46A54"/>
    <w:rsid w:val="00F46DBB"/>
    <w:rsid w:val="00F46E60"/>
    <w:rsid w:val="00F46F1E"/>
    <w:rsid w:val="00F478E7"/>
    <w:rsid w:val="00F47987"/>
    <w:rsid w:val="00F47A13"/>
    <w:rsid w:val="00F47EFC"/>
    <w:rsid w:val="00F47FB4"/>
    <w:rsid w:val="00F50453"/>
    <w:rsid w:val="00F5050A"/>
    <w:rsid w:val="00F50627"/>
    <w:rsid w:val="00F50C40"/>
    <w:rsid w:val="00F50CD1"/>
    <w:rsid w:val="00F50FFC"/>
    <w:rsid w:val="00F514C8"/>
    <w:rsid w:val="00F514F3"/>
    <w:rsid w:val="00F521AD"/>
    <w:rsid w:val="00F525E4"/>
    <w:rsid w:val="00F5268E"/>
    <w:rsid w:val="00F52937"/>
    <w:rsid w:val="00F52943"/>
    <w:rsid w:val="00F52B5A"/>
    <w:rsid w:val="00F52E7D"/>
    <w:rsid w:val="00F53106"/>
    <w:rsid w:val="00F53776"/>
    <w:rsid w:val="00F54827"/>
    <w:rsid w:val="00F556BE"/>
    <w:rsid w:val="00F56192"/>
    <w:rsid w:val="00F564B0"/>
    <w:rsid w:val="00F573BC"/>
    <w:rsid w:val="00F57734"/>
    <w:rsid w:val="00F579B6"/>
    <w:rsid w:val="00F5C133"/>
    <w:rsid w:val="00F60225"/>
    <w:rsid w:val="00F6039E"/>
    <w:rsid w:val="00F60675"/>
    <w:rsid w:val="00F6068F"/>
    <w:rsid w:val="00F60953"/>
    <w:rsid w:val="00F61613"/>
    <w:rsid w:val="00F61F2F"/>
    <w:rsid w:val="00F6299D"/>
    <w:rsid w:val="00F62DDD"/>
    <w:rsid w:val="00F63331"/>
    <w:rsid w:val="00F6391B"/>
    <w:rsid w:val="00F63A89"/>
    <w:rsid w:val="00F63AF1"/>
    <w:rsid w:val="00F63FB5"/>
    <w:rsid w:val="00F66198"/>
    <w:rsid w:val="00F66C24"/>
    <w:rsid w:val="00F66CBD"/>
    <w:rsid w:val="00F66E40"/>
    <w:rsid w:val="00F6711C"/>
    <w:rsid w:val="00F67508"/>
    <w:rsid w:val="00F6778A"/>
    <w:rsid w:val="00F70A03"/>
    <w:rsid w:val="00F7153A"/>
    <w:rsid w:val="00F715C9"/>
    <w:rsid w:val="00F71695"/>
    <w:rsid w:val="00F71A51"/>
    <w:rsid w:val="00F71CFE"/>
    <w:rsid w:val="00F72701"/>
    <w:rsid w:val="00F72977"/>
    <w:rsid w:val="00F72D96"/>
    <w:rsid w:val="00F72E63"/>
    <w:rsid w:val="00F731B2"/>
    <w:rsid w:val="00F73404"/>
    <w:rsid w:val="00F74039"/>
    <w:rsid w:val="00F74086"/>
    <w:rsid w:val="00F74487"/>
    <w:rsid w:val="00F745A4"/>
    <w:rsid w:val="00F7481F"/>
    <w:rsid w:val="00F74B6C"/>
    <w:rsid w:val="00F7526A"/>
    <w:rsid w:val="00F75C2F"/>
    <w:rsid w:val="00F76234"/>
    <w:rsid w:val="00F7664C"/>
    <w:rsid w:val="00F76DAF"/>
    <w:rsid w:val="00F77E1A"/>
    <w:rsid w:val="00F8073F"/>
    <w:rsid w:val="00F8158F"/>
    <w:rsid w:val="00F815FD"/>
    <w:rsid w:val="00F81674"/>
    <w:rsid w:val="00F82356"/>
    <w:rsid w:val="00F8299E"/>
    <w:rsid w:val="00F831AA"/>
    <w:rsid w:val="00F832ED"/>
    <w:rsid w:val="00F8338A"/>
    <w:rsid w:val="00F83767"/>
    <w:rsid w:val="00F83B48"/>
    <w:rsid w:val="00F83ED5"/>
    <w:rsid w:val="00F83F58"/>
    <w:rsid w:val="00F842EC"/>
    <w:rsid w:val="00F8454A"/>
    <w:rsid w:val="00F84B4F"/>
    <w:rsid w:val="00F84B9F"/>
    <w:rsid w:val="00F84DD6"/>
    <w:rsid w:val="00F850A7"/>
    <w:rsid w:val="00F850E3"/>
    <w:rsid w:val="00F85119"/>
    <w:rsid w:val="00F851AE"/>
    <w:rsid w:val="00F85D2D"/>
    <w:rsid w:val="00F85E36"/>
    <w:rsid w:val="00F85FF2"/>
    <w:rsid w:val="00F8607E"/>
    <w:rsid w:val="00F86447"/>
    <w:rsid w:val="00F8785F"/>
    <w:rsid w:val="00F8CDBD"/>
    <w:rsid w:val="00F90195"/>
    <w:rsid w:val="00F90531"/>
    <w:rsid w:val="00F905AF"/>
    <w:rsid w:val="00F907C2"/>
    <w:rsid w:val="00F910C3"/>
    <w:rsid w:val="00F9162C"/>
    <w:rsid w:val="00F921D2"/>
    <w:rsid w:val="00F9262A"/>
    <w:rsid w:val="00F92870"/>
    <w:rsid w:val="00F92D3F"/>
    <w:rsid w:val="00F93007"/>
    <w:rsid w:val="00F933CC"/>
    <w:rsid w:val="00F93B8A"/>
    <w:rsid w:val="00F93EC4"/>
    <w:rsid w:val="00F93FE6"/>
    <w:rsid w:val="00F94758"/>
    <w:rsid w:val="00F947E1"/>
    <w:rsid w:val="00F94D70"/>
    <w:rsid w:val="00F94DF0"/>
    <w:rsid w:val="00F95024"/>
    <w:rsid w:val="00F95B6A"/>
    <w:rsid w:val="00F9604F"/>
    <w:rsid w:val="00F9638A"/>
    <w:rsid w:val="00F966F9"/>
    <w:rsid w:val="00F969FB"/>
    <w:rsid w:val="00F96B7B"/>
    <w:rsid w:val="00F96D12"/>
    <w:rsid w:val="00F973BE"/>
    <w:rsid w:val="00F97AD4"/>
    <w:rsid w:val="00FA09C2"/>
    <w:rsid w:val="00FA09F5"/>
    <w:rsid w:val="00FA31DF"/>
    <w:rsid w:val="00FA4D98"/>
    <w:rsid w:val="00FA548F"/>
    <w:rsid w:val="00FA587D"/>
    <w:rsid w:val="00FA5D0F"/>
    <w:rsid w:val="00FA5EE9"/>
    <w:rsid w:val="00FA61A4"/>
    <w:rsid w:val="00FA6222"/>
    <w:rsid w:val="00FA63A0"/>
    <w:rsid w:val="00FA6A14"/>
    <w:rsid w:val="00FA6F59"/>
    <w:rsid w:val="00FA731C"/>
    <w:rsid w:val="00FA76FE"/>
    <w:rsid w:val="00FB000A"/>
    <w:rsid w:val="00FB00AC"/>
    <w:rsid w:val="00FB0316"/>
    <w:rsid w:val="00FB0405"/>
    <w:rsid w:val="00FB045D"/>
    <w:rsid w:val="00FB08E0"/>
    <w:rsid w:val="00FB200C"/>
    <w:rsid w:val="00FB23D8"/>
    <w:rsid w:val="00FB2D56"/>
    <w:rsid w:val="00FB4499"/>
    <w:rsid w:val="00FB45A9"/>
    <w:rsid w:val="00FB4B56"/>
    <w:rsid w:val="00FB51FC"/>
    <w:rsid w:val="00FB59CD"/>
    <w:rsid w:val="00FB5ACA"/>
    <w:rsid w:val="00FB606A"/>
    <w:rsid w:val="00FB631F"/>
    <w:rsid w:val="00FB6E5E"/>
    <w:rsid w:val="00FB7221"/>
    <w:rsid w:val="00FB7654"/>
    <w:rsid w:val="00FC05D3"/>
    <w:rsid w:val="00FC115F"/>
    <w:rsid w:val="00FC1307"/>
    <w:rsid w:val="00FC1648"/>
    <w:rsid w:val="00FC182A"/>
    <w:rsid w:val="00FC1BEC"/>
    <w:rsid w:val="00FC20EF"/>
    <w:rsid w:val="00FC280D"/>
    <w:rsid w:val="00FC2995"/>
    <w:rsid w:val="00FC3950"/>
    <w:rsid w:val="00FC39BC"/>
    <w:rsid w:val="00FC49DE"/>
    <w:rsid w:val="00FC4A26"/>
    <w:rsid w:val="00FC51B9"/>
    <w:rsid w:val="00FC52EE"/>
    <w:rsid w:val="00FC53B6"/>
    <w:rsid w:val="00FC5438"/>
    <w:rsid w:val="00FC5C52"/>
    <w:rsid w:val="00FC5D7D"/>
    <w:rsid w:val="00FC666E"/>
    <w:rsid w:val="00FC721D"/>
    <w:rsid w:val="00FC74EF"/>
    <w:rsid w:val="00FD0223"/>
    <w:rsid w:val="00FD0460"/>
    <w:rsid w:val="00FD07D0"/>
    <w:rsid w:val="00FD0EFC"/>
    <w:rsid w:val="00FD1536"/>
    <w:rsid w:val="00FD19EF"/>
    <w:rsid w:val="00FD1D76"/>
    <w:rsid w:val="00FD2673"/>
    <w:rsid w:val="00FD2840"/>
    <w:rsid w:val="00FD2B26"/>
    <w:rsid w:val="00FD365C"/>
    <w:rsid w:val="00FD3BDC"/>
    <w:rsid w:val="00FD3E99"/>
    <w:rsid w:val="00FD3F1F"/>
    <w:rsid w:val="00FD4F5B"/>
    <w:rsid w:val="00FD5117"/>
    <w:rsid w:val="00FD58F8"/>
    <w:rsid w:val="00FD5E26"/>
    <w:rsid w:val="00FD672B"/>
    <w:rsid w:val="00FD742C"/>
    <w:rsid w:val="00FD7530"/>
    <w:rsid w:val="00FD7621"/>
    <w:rsid w:val="00FD78F5"/>
    <w:rsid w:val="00FD79E6"/>
    <w:rsid w:val="00FD7BB8"/>
    <w:rsid w:val="00FD7C83"/>
    <w:rsid w:val="00FD7F69"/>
    <w:rsid w:val="00FE052B"/>
    <w:rsid w:val="00FE14D8"/>
    <w:rsid w:val="00FE277D"/>
    <w:rsid w:val="00FE2835"/>
    <w:rsid w:val="00FE2BBE"/>
    <w:rsid w:val="00FE2DA8"/>
    <w:rsid w:val="00FE39DD"/>
    <w:rsid w:val="00FE40A7"/>
    <w:rsid w:val="00FE477B"/>
    <w:rsid w:val="00FE4CB4"/>
    <w:rsid w:val="00FE5616"/>
    <w:rsid w:val="00FE5622"/>
    <w:rsid w:val="00FE6380"/>
    <w:rsid w:val="00FE68CB"/>
    <w:rsid w:val="00FE6D44"/>
    <w:rsid w:val="00FE788B"/>
    <w:rsid w:val="00FE7D1D"/>
    <w:rsid w:val="00FF026A"/>
    <w:rsid w:val="00FF0D01"/>
    <w:rsid w:val="00FF0F1E"/>
    <w:rsid w:val="00FF0F34"/>
    <w:rsid w:val="00FF13B6"/>
    <w:rsid w:val="00FF2025"/>
    <w:rsid w:val="00FF20AB"/>
    <w:rsid w:val="00FF3003"/>
    <w:rsid w:val="00FF36D7"/>
    <w:rsid w:val="00FF36E2"/>
    <w:rsid w:val="00FF3819"/>
    <w:rsid w:val="00FF4011"/>
    <w:rsid w:val="00FF4910"/>
    <w:rsid w:val="00FF494A"/>
    <w:rsid w:val="00FF49A7"/>
    <w:rsid w:val="00FF4C73"/>
    <w:rsid w:val="00FF4DA7"/>
    <w:rsid w:val="00FF50D8"/>
    <w:rsid w:val="00FF523F"/>
    <w:rsid w:val="00FF53D5"/>
    <w:rsid w:val="00FF55BB"/>
    <w:rsid w:val="00FF56C5"/>
    <w:rsid w:val="00FF656E"/>
    <w:rsid w:val="00FF68F7"/>
    <w:rsid w:val="00FF710F"/>
    <w:rsid w:val="00FF78FF"/>
    <w:rsid w:val="00FF7F94"/>
    <w:rsid w:val="00FF8E5F"/>
    <w:rsid w:val="00FFB94C"/>
    <w:rsid w:val="01062042"/>
    <w:rsid w:val="0114463B"/>
    <w:rsid w:val="01157907"/>
    <w:rsid w:val="01175C26"/>
    <w:rsid w:val="011908A4"/>
    <w:rsid w:val="011F8D2B"/>
    <w:rsid w:val="01213ACA"/>
    <w:rsid w:val="01268C85"/>
    <w:rsid w:val="012A2C5D"/>
    <w:rsid w:val="012D4460"/>
    <w:rsid w:val="012F539D"/>
    <w:rsid w:val="0131A287"/>
    <w:rsid w:val="01327CE5"/>
    <w:rsid w:val="01333CE2"/>
    <w:rsid w:val="013852A3"/>
    <w:rsid w:val="0138816E"/>
    <w:rsid w:val="013FE10C"/>
    <w:rsid w:val="01408B39"/>
    <w:rsid w:val="01409D79"/>
    <w:rsid w:val="01431F57"/>
    <w:rsid w:val="014397B4"/>
    <w:rsid w:val="0143D74F"/>
    <w:rsid w:val="014752F3"/>
    <w:rsid w:val="0148A0BB"/>
    <w:rsid w:val="014A6055"/>
    <w:rsid w:val="0153B3E0"/>
    <w:rsid w:val="0157D567"/>
    <w:rsid w:val="0159F23A"/>
    <w:rsid w:val="015CD92C"/>
    <w:rsid w:val="015D05F6"/>
    <w:rsid w:val="0161D0D7"/>
    <w:rsid w:val="01653EA1"/>
    <w:rsid w:val="016ACDB2"/>
    <w:rsid w:val="016AE4D0"/>
    <w:rsid w:val="016EB619"/>
    <w:rsid w:val="016FE52D"/>
    <w:rsid w:val="0173F167"/>
    <w:rsid w:val="0174A409"/>
    <w:rsid w:val="01759F3E"/>
    <w:rsid w:val="01788E34"/>
    <w:rsid w:val="017CD14D"/>
    <w:rsid w:val="0180126D"/>
    <w:rsid w:val="0180A5FC"/>
    <w:rsid w:val="01814651"/>
    <w:rsid w:val="0181A2AE"/>
    <w:rsid w:val="0182F2D9"/>
    <w:rsid w:val="0184CE6E"/>
    <w:rsid w:val="018C1B9C"/>
    <w:rsid w:val="019138B6"/>
    <w:rsid w:val="01967033"/>
    <w:rsid w:val="019FAB4F"/>
    <w:rsid w:val="01A088FA"/>
    <w:rsid w:val="01A160DD"/>
    <w:rsid w:val="01A23CDD"/>
    <w:rsid w:val="01A52352"/>
    <w:rsid w:val="01ABC320"/>
    <w:rsid w:val="01ABF3AA"/>
    <w:rsid w:val="01B1B696"/>
    <w:rsid w:val="01B344E6"/>
    <w:rsid w:val="01B371AD"/>
    <w:rsid w:val="01B90040"/>
    <w:rsid w:val="01BE4BA8"/>
    <w:rsid w:val="01BFB0DC"/>
    <w:rsid w:val="01C08161"/>
    <w:rsid w:val="01C525C5"/>
    <w:rsid w:val="01CCB533"/>
    <w:rsid w:val="01CE9A6A"/>
    <w:rsid w:val="01D3B8F2"/>
    <w:rsid w:val="01D53C24"/>
    <w:rsid w:val="01DD0525"/>
    <w:rsid w:val="01E2EA61"/>
    <w:rsid w:val="01EA3AA4"/>
    <w:rsid w:val="01EEF227"/>
    <w:rsid w:val="01F36FFA"/>
    <w:rsid w:val="01F4F260"/>
    <w:rsid w:val="01FD0CA9"/>
    <w:rsid w:val="01FDAFE4"/>
    <w:rsid w:val="02043C5F"/>
    <w:rsid w:val="02045329"/>
    <w:rsid w:val="02045A25"/>
    <w:rsid w:val="0204C6CE"/>
    <w:rsid w:val="02076F3A"/>
    <w:rsid w:val="0210466A"/>
    <w:rsid w:val="0214F776"/>
    <w:rsid w:val="0219A14C"/>
    <w:rsid w:val="021AA1BC"/>
    <w:rsid w:val="021ABCAC"/>
    <w:rsid w:val="0226A6C0"/>
    <w:rsid w:val="022DCF8E"/>
    <w:rsid w:val="022F586A"/>
    <w:rsid w:val="02366500"/>
    <w:rsid w:val="023B10E0"/>
    <w:rsid w:val="023BB056"/>
    <w:rsid w:val="02425448"/>
    <w:rsid w:val="0244A0D2"/>
    <w:rsid w:val="02490341"/>
    <w:rsid w:val="024BC7E2"/>
    <w:rsid w:val="0254B00F"/>
    <w:rsid w:val="02578500"/>
    <w:rsid w:val="025AEABE"/>
    <w:rsid w:val="0263486D"/>
    <w:rsid w:val="02635CA4"/>
    <w:rsid w:val="02638EAF"/>
    <w:rsid w:val="02685C97"/>
    <w:rsid w:val="0269EA57"/>
    <w:rsid w:val="0270597C"/>
    <w:rsid w:val="02731E78"/>
    <w:rsid w:val="027A8D47"/>
    <w:rsid w:val="027F9C15"/>
    <w:rsid w:val="02806BDE"/>
    <w:rsid w:val="0282D464"/>
    <w:rsid w:val="02839657"/>
    <w:rsid w:val="0284F66D"/>
    <w:rsid w:val="02871693"/>
    <w:rsid w:val="028BDABB"/>
    <w:rsid w:val="028FE8BB"/>
    <w:rsid w:val="028FFA6F"/>
    <w:rsid w:val="02914CCF"/>
    <w:rsid w:val="02930318"/>
    <w:rsid w:val="0299A99A"/>
    <w:rsid w:val="029FEB2A"/>
    <w:rsid w:val="02A148DB"/>
    <w:rsid w:val="02A8A22B"/>
    <w:rsid w:val="02ACE421"/>
    <w:rsid w:val="02AEF936"/>
    <w:rsid w:val="02B78C01"/>
    <w:rsid w:val="02B9A343"/>
    <w:rsid w:val="02B9D8BB"/>
    <w:rsid w:val="02BFFF21"/>
    <w:rsid w:val="02C26577"/>
    <w:rsid w:val="02C3658D"/>
    <w:rsid w:val="02C492F6"/>
    <w:rsid w:val="02C7C4CF"/>
    <w:rsid w:val="02CB305F"/>
    <w:rsid w:val="02CE73CD"/>
    <w:rsid w:val="02D00747"/>
    <w:rsid w:val="02D287A9"/>
    <w:rsid w:val="02D3E0BB"/>
    <w:rsid w:val="02D45D67"/>
    <w:rsid w:val="02E263E2"/>
    <w:rsid w:val="02E5330E"/>
    <w:rsid w:val="02E62175"/>
    <w:rsid w:val="02E6D89B"/>
    <w:rsid w:val="02EEEBFA"/>
    <w:rsid w:val="02EF12C5"/>
    <w:rsid w:val="02EF81DA"/>
    <w:rsid w:val="02F4F53B"/>
    <w:rsid w:val="02F63775"/>
    <w:rsid w:val="02F6FEB5"/>
    <w:rsid w:val="02FC1241"/>
    <w:rsid w:val="0300406B"/>
    <w:rsid w:val="03029485"/>
    <w:rsid w:val="03038A13"/>
    <w:rsid w:val="03060A19"/>
    <w:rsid w:val="030DC779"/>
    <w:rsid w:val="030E2B90"/>
    <w:rsid w:val="030F200F"/>
    <w:rsid w:val="03147DCC"/>
    <w:rsid w:val="0318806C"/>
    <w:rsid w:val="031C05EE"/>
    <w:rsid w:val="031CE72A"/>
    <w:rsid w:val="031D240D"/>
    <w:rsid w:val="031DF7AE"/>
    <w:rsid w:val="031E39B4"/>
    <w:rsid w:val="031F0057"/>
    <w:rsid w:val="0322264F"/>
    <w:rsid w:val="0322EEBE"/>
    <w:rsid w:val="03251D1A"/>
    <w:rsid w:val="03281B89"/>
    <w:rsid w:val="032E17D6"/>
    <w:rsid w:val="032E22A0"/>
    <w:rsid w:val="032E4C0A"/>
    <w:rsid w:val="03332FD4"/>
    <w:rsid w:val="0336306B"/>
    <w:rsid w:val="03470340"/>
    <w:rsid w:val="034B1D4B"/>
    <w:rsid w:val="034BA5D2"/>
    <w:rsid w:val="034CA15B"/>
    <w:rsid w:val="034EA3AE"/>
    <w:rsid w:val="0350945B"/>
    <w:rsid w:val="0352B90A"/>
    <w:rsid w:val="03577F18"/>
    <w:rsid w:val="0358784F"/>
    <w:rsid w:val="03597B5C"/>
    <w:rsid w:val="0364E0BB"/>
    <w:rsid w:val="0367AFE7"/>
    <w:rsid w:val="0367DBBD"/>
    <w:rsid w:val="0368AC70"/>
    <w:rsid w:val="036A7447"/>
    <w:rsid w:val="0372F4EA"/>
    <w:rsid w:val="03749916"/>
    <w:rsid w:val="03751EEB"/>
    <w:rsid w:val="03783015"/>
    <w:rsid w:val="037CE16B"/>
    <w:rsid w:val="037E9159"/>
    <w:rsid w:val="038AF916"/>
    <w:rsid w:val="038B9181"/>
    <w:rsid w:val="038C3F42"/>
    <w:rsid w:val="038C51DA"/>
    <w:rsid w:val="038EC05D"/>
    <w:rsid w:val="03949436"/>
    <w:rsid w:val="039A5BDE"/>
    <w:rsid w:val="039CCB20"/>
    <w:rsid w:val="03A3CC72"/>
    <w:rsid w:val="03A9986F"/>
    <w:rsid w:val="03AA9975"/>
    <w:rsid w:val="03AE54D5"/>
    <w:rsid w:val="03B3CB8A"/>
    <w:rsid w:val="03B7609F"/>
    <w:rsid w:val="03B76831"/>
    <w:rsid w:val="03B7E021"/>
    <w:rsid w:val="03BDA537"/>
    <w:rsid w:val="03BFE43D"/>
    <w:rsid w:val="03C22005"/>
    <w:rsid w:val="03C3046A"/>
    <w:rsid w:val="03C3EE4E"/>
    <w:rsid w:val="03C470A2"/>
    <w:rsid w:val="03CD6C44"/>
    <w:rsid w:val="03DC493F"/>
    <w:rsid w:val="03E5893A"/>
    <w:rsid w:val="03EBB2CD"/>
    <w:rsid w:val="03EC3F4C"/>
    <w:rsid w:val="03EE8E8F"/>
    <w:rsid w:val="03EFFFD1"/>
    <w:rsid w:val="03F5CDD8"/>
    <w:rsid w:val="03FAC753"/>
    <w:rsid w:val="03FD7B19"/>
    <w:rsid w:val="03FE8ED2"/>
    <w:rsid w:val="03FEA3B7"/>
    <w:rsid w:val="040154F0"/>
    <w:rsid w:val="040364EB"/>
    <w:rsid w:val="0407A808"/>
    <w:rsid w:val="0408E9C4"/>
    <w:rsid w:val="040CDD2F"/>
    <w:rsid w:val="04115710"/>
    <w:rsid w:val="041383A8"/>
    <w:rsid w:val="04174656"/>
    <w:rsid w:val="041800E7"/>
    <w:rsid w:val="04193DEE"/>
    <w:rsid w:val="041F87BF"/>
    <w:rsid w:val="0427F303"/>
    <w:rsid w:val="042A74C1"/>
    <w:rsid w:val="042B133E"/>
    <w:rsid w:val="042E8384"/>
    <w:rsid w:val="043173E9"/>
    <w:rsid w:val="043534C8"/>
    <w:rsid w:val="0435B802"/>
    <w:rsid w:val="0438E0C1"/>
    <w:rsid w:val="04399605"/>
    <w:rsid w:val="044435EE"/>
    <w:rsid w:val="044591F2"/>
    <w:rsid w:val="04479DA9"/>
    <w:rsid w:val="0448E4DA"/>
    <w:rsid w:val="044C456E"/>
    <w:rsid w:val="044DF12B"/>
    <w:rsid w:val="044E64C0"/>
    <w:rsid w:val="044EB13A"/>
    <w:rsid w:val="04547814"/>
    <w:rsid w:val="046217C4"/>
    <w:rsid w:val="04635319"/>
    <w:rsid w:val="0464F32A"/>
    <w:rsid w:val="0466234C"/>
    <w:rsid w:val="04685242"/>
    <w:rsid w:val="046923AB"/>
    <w:rsid w:val="046B79A6"/>
    <w:rsid w:val="046BFADC"/>
    <w:rsid w:val="046C02C0"/>
    <w:rsid w:val="046C4BFF"/>
    <w:rsid w:val="046D5350"/>
    <w:rsid w:val="046F7695"/>
    <w:rsid w:val="046FB11C"/>
    <w:rsid w:val="0470B346"/>
    <w:rsid w:val="0476DC50"/>
    <w:rsid w:val="04798C86"/>
    <w:rsid w:val="047BF9BA"/>
    <w:rsid w:val="047C751F"/>
    <w:rsid w:val="047DB28D"/>
    <w:rsid w:val="048348BF"/>
    <w:rsid w:val="0485D7FF"/>
    <w:rsid w:val="048A6762"/>
    <w:rsid w:val="048C967C"/>
    <w:rsid w:val="048D6371"/>
    <w:rsid w:val="0490993E"/>
    <w:rsid w:val="04933E3D"/>
    <w:rsid w:val="0493DD4A"/>
    <w:rsid w:val="0497252C"/>
    <w:rsid w:val="04981C23"/>
    <w:rsid w:val="04996F77"/>
    <w:rsid w:val="049E72DD"/>
    <w:rsid w:val="04A0DADD"/>
    <w:rsid w:val="04A239B7"/>
    <w:rsid w:val="04A79251"/>
    <w:rsid w:val="04A82059"/>
    <w:rsid w:val="04AAEB6E"/>
    <w:rsid w:val="04AE8568"/>
    <w:rsid w:val="04B28943"/>
    <w:rsid w:val="04B3511C"/>
    <w:rsid w:val="04B59EE4"/>
    <w:rsid w:val="04B5EBD3"/>
    <w:rsid w:val="04B9BDD2"/>
    <w:rsid w:val="04BE610D"/>
    <w:rsid w:val="04C02084"/>
    <w:rsid w:val="04C1D731"/>
    <w:rsid w:val="04CCA328"/>
    <w:rsid w:val="04D19529"/>
    <w:rsid w:val="04D5D69E"/>
    <w:rsid w:val="04D80C00"/>
    <w:rsid w:val="04D8738B"/>
    <w:rsid w:val="04E20A5C"/>
    <w:rsid w:val="04E6D6D1"/>
    <w:rsid w:val="04E6E8F7"/>
    <w:rsid w:val="04EC6D1A"/>
    <w:rsid w:val="04F1C3C5"/>
    <w:rsid w:val="04F3C55D"/>
    <w:rsid w:val="04F3E575"/>
    <w:rsid w:val="04F5A076"/>
    <w:rsid w:val="04FE5B5C"/>
    <w:rsid w:val="04FF3F14"/>
    <w:rsid w:val="0502F07A"/>
    <w:rsid w:val="0503CE23"/>
    <w:rsid w:val="0504FC8E"/>
    <w:rsid w:val="0507E245"/>
    <w:rsid w:val="050A14AE"/>
    <w:rsid w:val="0512A930"/>
    <w:rsid w:val="0514B047"/>
    <w:rsid w:val="0519A100"/>
    <w:rsid w:val="051A3D70"/>
    <w:rsid w:val="051DC446"/>
    <w:rsid w:val="051DFAC4"/>
    <w:rsid w:val="0520F20A"/>
    <w:rsid w:val="05210F61"/>
    <w:rsid w:val="05214C3E"/>
    <w:rsid w:val="05238C75"/>
    <w:rsid w:val="05287D3D"/>
    <w:rsid w:val="052A2BFE"/>
    <w:rsid w:val="052A9E4F"/>
    <w:rsid w:val="0530FF81"/>
    <w:rsid w:val="053A862F"/>
    <w:rsid w:val="053C8EF2"/>
    <w:rsid w:val="053CFC89"/>
    <w:rsid w:val="053E0606"/>
    <w:rsid w:val="0547D6F4"/>
    <w:rsid w:val="054C93DF"/>
    <w:rsid w:val="05555876"/>
    <w:rsid w:val="05580DFB"/>
    <w:rsid w:val="05586258"/>
    <w:rsid w:val="0558C997"/>
    <w:rsid w:val="05613B52"/>
    <w:rsid w:val="056232E4"/>
    <w:rsid w:val="05647206"/>
    <w:rsid w:val="0567C178"/>
    <w:rsid w:val="056BD042"/>
    <w:rsid w:val="05726D04"/>
    <w:rsid w:val="0578B615"/>
    <w:rsid w:val="057B274B"/>
    <w:rsid w:val="057D115D"/>
    <w:rsid w:val="057E0FD4"/>
    <w:rsid w:val="057F44EB"/>
    <w:rsid w:val="0582AD9D"/>
    <w:rsid w:val="0585AA0E"/>
    <w:rsid w:val="058E7C8E"/>
    <w:rsid w:val="0592E043"/>
    <w:rsid w:val="0593830F"/>
    <w:rsid w:val="0594C00C"/>
    <w:rsid w:val="0596AF79"/>
    <w:rsid w:val="0597FA40"/>
    <w:rsid w:val="0599DC27"/>
    <w:rsid w:val="059BBB9A"/>
    <w:rsid w:val="05A192D7"/>
    <w:rsid w:val="05A4BCB8"/>
    <w:rsid w:val="05AAB825"/>
    <w:rsid w:val="05ABB893"/>
    <w:rsid w:val="05AD1A5E"/>
    <w:rsid w:val="05AFCB9A"/>
    <w:rsid w:val="05B0A3ED"/>
    <w:rsid w:val="05BC0146"/>
    <w:rsid w:val="05BF6B3C"/>
    <w:rsid w:val="05C36C39"/>
    <w:rsid w:val="05CBCE27"/>
    <w:rsid w:val="05CCE0E1"/>
    <w:rsid w:val="05D011E9"/>
    <w:rsid w:val="05D5D590"/>
    <w:rsid w:val="05DA65D7"/>
    <w:rsid w:val="05E2F56C"/>
    <w:rsid w:val="05E6A7BA"/>
    <w:rsid w:val="05E77CC2"/>
    <w:rsid w:val="05E80FC3"/>
    <w:rsid w:val="05EA818C"/>
    <w:rsid w:val="05EA819B"/>
    <w:rsid w:val="05EB08C9"/>
    <w:rsid w:val="05EC0ADD"/>
    <w:rsid w:val="05EC705E"/>
    <w:rsid w:val="05F527E6"/>
    <w:rsid w:val="05F7D244"/>
    <w:rsid w:val="05FE1D0E"/>
    <w:rsid w:val="05FE35AF"/>
    <w:rsid w:val="05FE5D97"/>
    <w:rsid w:val="05FE926A"/>
    <w:rsid w:val="0603CCD3"/>
    <w:rsid w:val="06098EA8"/>
    <w:rsid w:val="060BA6A0"/>
    <w:rsid w:val="060C48D8"/>
    <w:rsid w:val="060E9DEC"/>
    <w:rsid w:val="061201FC"/>
    <w:rsid w:val="06153781"/>
    <w:rsid w:val="0618D7BC"/>
    <w:rsid w:val="061B3C04"/>
    <w:rsid w:val="061BE2D0"/>
    <w:rsid w:val="061D5A09"/>
    <w:rsid w:val="0622434D"/>
    <w:rsid w:val="062885FE"/>
    <w:rsid w:val="062A955F"/>
    <w:rsid w:val="062D3F94"/>
    <w:rsid w:val="062DFA37"/>
    <w:rsid w:val="06324BED"/>
    <w:rsid w:val="0639F4B2"/>
    <w:rsid w:val="06419EB0"/>
    <w:rsid w:val="0642D13C"/>
    <w:rsid w:val="0646A4F2"/>
    <w:rsid w:val="064BB73F"/>
    <w:rsid w:val="065159B1"/>
    <w:rsid w:val="065A0F19"/>
    <w:rsid w:val="065C9B42"/>
    <w:rsid w:val="06604C51"/>
    <w:rsid w:val="06616C7B"/>
    <w:rsid w:val="0662B9FB"/>
    <w:rsid w:val="0665682E"/>
    <w:rsid w:val="0665B898"/>
    <w:rsid w:val="066C7850"/>
    <w:rsid w:val="0670D450"/>
    <w:rsid w:val="0673C882"/>
    <w:rsid w:val="06775A29"/>
    <w:rsid w:val="0678819C"/>
    <w:rsid w:val="067B43B0"/>
    <w:rsid w:val="067F2E63"/>
    <w:rsid w:val="067F9693"/>
    <w:rsid w:val="0682FC7C"/>
    <w:rsid w:val="068D6AFB"/>
    <w:rsid w:val="0692C8F4"/>
    <w:rsid w:val="069535EF"/>
    <w:rsid w:val="06982A11"/>
    <w:rsid w:val="069AFAAF"/>
    <w:rsid w:val="069F66C9"/>
    <w:rsid w:val="06A024A2"/>
    <w:rsid w:val="06A168E7"/>
    <w:rsid w:val="06A30BF9"/>
    <w:rsid w:val="06A33140"/>
    <w:rsid w:val="06A69C8D"/>
    <w:rsid w:val="06AB3AD8"/>
    <w:rsid w:val="06AFC2D3"/>
    <w:rsid w:val="06B07648"/>
    <w:rsid w:val="06B15F46"/>
    <w:rsid w:val="06B92132"/>
    <w:rsid w:val="06B9BC28"/>
    <w:rsid w:val="06BCC4AD"/>
    <w:rsid w:val="06BDE683"/>
    <w:rsid w:val="06C33A1E"/>
    <w:rsid w:val="06C5F940"/>
    <w:rsid w:val="06CD5876"/>
    <w:rsid w:val="06D2D24D"/>
    <w:rsid w:val="06D3DF95"/>
    <w:rsid w:val="06D438AC"/>
    <w:rsid w:val="06D8837F"/>
    <w:rsid w:val="06DC026E"/>
    <w:rsid w:val="06E19268"/>
    <w:rsid w:val="06E92A51"/>
    <w:rsid w:val="06E961BF"/>
    <w:rsid w:val="06EABE25"/>
    <w:rsid w:val="06EB734F"/>
    <w:rsid w:val="06EBB5AE"/>
    <w:rsid w:val="06ED8D14"/>
    <w:rsid w:val="06F13700"/>
    <w:rsid w:val="06F4CB5F"/>
    <w:rsid w:val="06F5C789"/>
    <w:rsid w:val="06FD12F0"/>
    <w:rsid w:val="06FE8219"/>
    <w:rsid w:val="070C8097"/>
    <w:rsid w:val="070E34D9"/>
    <w:rsid w:val="070E83D6"/>
    <w:rsid w:val="070EA5C5"/>
    <w:rsid w:val="0710D754"/>
    <w:rsid w:val="0712259D"/>
    <w:rsid w:val="071330B3"/>
    <w:rsid w:val="0715259C"/>
    <w:rsid w:val="07155F78"/>
    <w:rsid w:val="0717F097"/>
    <w:rsid w:val="071BC742"/>
    <w:rsid w:val="071CE58B"/>
    <w:rsid w:val="071D7FD7"/>
    <w:rsid w:val="071E3D51"/>
    <w:rsid w:val="07240E43"/>
    <w:rsid w:val="07243EB6"/>
    <w:rsid w:val="0724819E"/>
    <w:rsid w:val="072A4EE8"/>
    <w:rsid w:val="07315BD6"/>
    <w:rsid w:val="07331EA6"/>
    <w:rsid w:val="073DC49F"/>
    <w:rsid w:val="074781A2"/>
    <w:rsid w:val="0749D5E0"/>
    <w:rsid w:val="07503CF5"/>
    <w:rsid w:val="07589E57"/>
    <w:rsid w:val="075A54DE"/>
    <w:rsid w:val="075EA68A"/>
    <w:rsid w:val="0762A042"/>
    <w:rsid w:val="0763B14A"/>
    <w:rsid w:val="0764EAE8"/>
    <w:rsid w:val="07661E8C"/>
    <w:rsid w:val="0766263F"/>
    <w:rsid w:val="076ACC8D"/>
    <w:rsid w:val="076B531F"/>
    <w:rsid w:val="076D4CAC"/>
    <w:rsid w:val="0774BBAD"/>
    <w:rsid w:val="0777B718"/>
    <w:rsid w:val="0779932F"/>
    <w:rsid w:val="0779F793"/>
    <w:rsid w:val="077FA558"/>
    <w:rsid w:val="0787365A"/>
    <w:rsid w:val="0788B370"/>
    <w:rsid w:val="078FBD23"/>
    <w:rsid w:val="0791E3BA"/>
    <w:rsid w:val="0791EEEE"/>
    <w:rsid w:val="07947C13"/>
    <w:rsid w:val="07973E7E"/>
    <w:rsid w:val="0799ACEE"/>
    <w:rsid w:val="079C0D00"/>
    <w:rsid w:val="079DF232"/>
    <w:rsid w:val="079DF659"/>
    <w:rsid w:val="07A1CD46"/>
    <w:rsid w:val="07A1FAB8"/>
    <w:rsid w:val="07A72D98"/>
    <w:rsid w:val="07A982EE"/>
    <w:rsid w:val="07A9EE5F"/>
    <w:rsid w:val="07AFF406"/>
    <w:rsid w:val="07B1D415"/>
    <w:rsid w:val="07B27693"/>
    <w:rsid w:val="07B4675D"/>
    <w:rsid w:val="07B52FFD"/>
    <w:rsid w:val="07B67D7C"/>
    <w:rsid w:val="07B7F4B7"/>
    <w:rsid w:val="07BE2923"/>
    <w:rsid w:val="07BF3534"/>
    <w:rsid w:val="07C14B7E"/>
    <w:rsid w:val="07C38C1B"/>
    <w:rsid w:val="07C666E5"/>
    <w:rsid w:val="07C78D42"/>
    <w:rsid w:val="07CF7EA9"/>
    <w:rsid w:val="07D0423E"/>
    <w:rsid w:val="07D0B774"/>
    <w:rsid w:val="07D51950"/>
    <w:rsid w:val="07DA0F36"/>
    <w:rsid w:val="07DA6F21"/>
    <w:rsid w:val="07DC94A7"/>
    <w:rsid w:val="07DED878"/>
    <w:rsid w:val="07E12ED2"/>
    <w:rsid w:val="07E2847A"/>
    <w:rsid w:val="07F5DD57"/>
    <w:rsid w:val="07F629F6"/>
    <w:rsid w:val="07F97A5C"/>
    <w:rsid w:val="07FB7B30"/>
    <w:rsid w:val="07FD0442"/>
    <w:rsid w:val="07FF5D9E"/>
    <w:rsid w:val="08005BD3"/>
    <w:rsid w:val="0804D607"/>
    <w:rsid w:val="0805DBAD"/>
    <w:rsid w:val="08072661"/>
    <w:rsid w:val="08081B9E"/>
    <w:rsid w:val="080C01FF"/>
    <w:rsid w:val="080DBEF5"/>
    <w:rsid w:val="08109A87"/>
    <w:rsid w:val="082B8D5F"/>
    <w:rsid w:val="082E3B4F"/>
    <w:rsid w:val="082F7B94"/>
    <w:rsid w:val="08302EAB"/>
    <w:rsid w:val="0833EE5C"/>
    <w:rsid w:val="083F79D4"/>
    <w:rsid w:val="0845D58A"/>
    <w:rsid w:val="0847A497"/>
    <w:rsid w:val="0847FE0D"/>
    <w:rsid w:val="084813BB"/>
    <w:rsid w:val="08499213"/>
    <w:rsid w:val="084B9294"/>
    <w:rsid w:val="084CA027"/>
    <w:rsid w:val="084E99E2"/>
    <w:rsid w:val="085130E0"/>
    <w:rsid w:val="0855F816"/>
    <w:rsid w:val="0857753C"/>
    <w:rsid w:val="08666173"/>
    <w:rsid w:val="086763AA"/>
    <w:rsid w:val="0867BBB3"/>
    <w:rsid w:val="086A664D"/>
    <w:rsid w:val="086E28A5"/>
    <w:rsid w:val="0870D5CA"/>
    <w:rsid w:val="087143E5"/>
    <w:rsid w:val="0872C112"/>
    <w:rsid w:val="0873A161"/>
    <w:rsid w:val="0873A364"/>
    <w:rsid w:val="087521E5"/>
    <w:rsid w:val="087817C9"/>
    <w:rsid w:val="087A15EB"/>
    <w:rsid w:val="087BC195"/>
    <w:rsid w:val="088A9F6E"/>
    <w:rsid w:val="089237FE"/>
    <w:rsid w:val="0893BACF"/>
    <w:rsid w:val="08980252"/>
    <w:rsid w:val="089866FF"/>
    <w:rsid w:val="089EBF20"/>
    <w:rsid w:val="08A0EA5D"/>
    <w:rsid w:val="08A73272"/>
    <w:rsid w:val="08AAFA58"/>
    <w:rsid w:val="08AB4FDF"/>
    <w:rsid w:val="08AE85C7"/>
    <w:rsid w:val="08B1D8B3"/>
    <w:rsid w:val="08B3B340"/>
    <w:rsid w:val="08B7C48C"/>
    <w:rsid w:val="08B7E226"/>
    <w:rsid w:val="08B99F2C"/>
    <w:rsid w:val="08BE301C"/>
    <w:rsid w:val="08C1FFB2"/>
    <w:rsid w:val="08C3D2D7"/>
    <w:rsid w:val="08CC39B2"/>
    <w:rsid w:val="08CC5668"/>
    <w:rsid w:val="08D22FBD"/>
    <w:rsid w:val="08D35110"/>
    <w:rsid w:val="08D5DB84"/>
    <w:rsid w:val="08DAD923"/>
    <w:rsid w:val="08DB0C50"/>
    <w:rsid w:val="08DDE82B"/>
    <w:rsid w:val="08DE4D4F"/>
    <w:rsid w:val="08E036AD"/>
    <w:rsid w:val="08E0FC65"/>
    <w:rsid w:val="08E15833"/>
    <w:rsid w:val="08E26C0E"/>
    <w:rsid w:val="08E3A293"/>
    <w:rsid w:val="08E5D745"/>
    <w:rsid w:val="08E770C1"/>
    <w:rsid w:val="08ED4928"/>
    <w:rsid w:val="08ED8D1A"/>
    <w:rsid w:val="08F0421A"/>
    <w:rsid w:val="08F1DE83"/>
    <w:rsid w:val="08F772C5"/>
    <w:rsid w:val="09024B34"/>
    <w:rsid w:val="090E0859"/>
    <w:rsid w:val="090E6E57"/>
    <w:rsid w:val="09170051"/>
    <w:rsid w:val="091920C7"/>
    <w:rsid w:val="091BC01C"/>
    <w:rsid w:val="091CFC76"/>
    <w:rsid w:val="09225313"/>
    <w:rsid w:val="0923408E"/>
    <w:rsid w:val="0928F907"/>
    <w:rsid w:val="09296782"/>
    <w:rsid w:val="092B8CB9"/>
    <w:rsid w:val="092C891B"/>
    <w:rsid w:val="092C918B"/>
    <w:rsid w:val="092D8C2C"/>
    <w:rsid w:val="092E2757"/>
    <w:rsid w:val="09316C10"/>
    <w:rsid w:val="09361D80"/>
    <w:rsid w:val="093C5D01"/>
    <w:rsid w:val="093EBB82"/>
    <w:rsid w:val="093EC0F6"/>
    <w:rsid w:val="0945DD49"/>
    <w:rsid w:val="0954B10D"/>
    <w:rsid w:val="0957A46E"/>
    <w:rsid w:val="095A67B9"/>
    <w:rsid w:val="095B688F"/>
    <w:rsid w:val="0960EC53"/>
    <w:rsid w:val="096127CA"/>
    <w:rsid w:val="0963887B"/>
    <w:rsid w:val="0963F393"/>
    <w:rsid w:val="09660612"/>
    <w:rsid w:val="09666C8C"/>
    <w:rsid w:val="0967A5A3"/>
    <w:rsid w:val="09711F7A"/>
    <w:rsid w:val="097D6AF1"/>
    <w:rsid w:val="097E46B1"/>
    <w:rsid w:val="097EF93A"/>
    <w:rsid w:val="097F1230"/>
    <w:rsid w:val="097F5BD0"/>
    <w:rsid w:val="09821BD3"/>
    <w:rsid w:val="0988B747"/>
    <w:rsid w:val="098BAAF6"/>
    <w:rsid w:val="098BAE77"/>
    <w:rsid w:val="098F74CC"/>
    <w:rsid w:val="09903621"/>
    <w:rsid w:val="0992310B"/>
    <w:rsid w:val="0992EB5A"/>
    <w:rsid w:val="0994150F"/>
    <w:rsid w:val="099B7825"/>
    <w:rsid w:val="099CA948"/>
    <w:rsid w:val="099DDDC6"/>
    <w:rsid w:val="099EB4CD"/>
    <w:rsid w:val="09A59811"/>
    <w:rsid w:val="09AB8328"/>
    <w:rsid w:val="09ABFA29"/>
    <w:rsid w:val="09AD320F"/>
    <w:rsid w:val="09AFD863"/>
    <w:rsid w:val="09B2C0C3"/>
    <w:rsid w:val="09B7FDC9"/>
    <w:rsid w:val="09B89CAF"/>
    <w:rsid w:val="09BAB71D"/>
    <w:rsid w:val="09C09A55"/>
    <w:rsid w:val="09C2C6A5"/>
    <w:rsid w:val="09C43DCE"/>
    <w:rsid w:val="09C64828"/>
    <w:rsid w:val="09C6A02F"/>
    <w:rsid w:val="09C9BB60"/>
    <w:rsid w:val="09CD33D8"/>
    <w:rsid w:val="09CE90C1"/>
    <w:rsid w:val="09D4509A"/>
    <w:rsid w:val="09D4F2E9"/>
    <w:rsid w:val="09D5BD3F"/>
    <w:rsid w:val="09DCF90D"/>
    <w:rsid w:val="09DD543C"/>
    <w:rsid w:val="09E5FE3B"/>
    <w:rsid w:val="09F0B435"/>
    <w:rsid w:val="09F2C5EF"/>
    <w:rsid w:val="09F32A10"/>
    <w:rsid w:val="09F8E1D0"/>
    <w:rsid w:val="09FEC122"/>
    <w:rsid w:val="0A059F1B"/>
    <w:rsid w:val="0A09562D"/>
    <w:rsid w:val="0A0B4261"/>
    <w:rsid w:val="0A0D1E82"/>
    <w:rsid w:val="0A0D70E4"/>
    <w:rsid w:val="0A0FB16A"/>
    <w:rsid w:val="0A13E834"/>
    <w:rsid w:val="0A142A2E"/>
    <w:rsid w:val="0A1762FF"/>
    <w:rsid w:val="0A2027E2"/>
    <w:rsid w:val="0A264987"/>
    <w:rsid w:val="0A28C72F"/>
    <w:rsid w:val="0A2C2920"/>
    <w:rsid w:val="0A2CF10A"/>
    <w:rsid w:val="0A2D6575"/>
    <w:rsid w:val="0A2E61D0"/>
    <w:rsid w:val="0A2F4C9C"/>
    <w:rsid w:val="0A329F5E"/>
    <w:rsid w:val="0A3409D6"/>
    <w:rsid w:val="0A342A6E"/>
    <w:rsid w:val="0A370164"/>
    <w:rsid w:val="0A39B5F8"/>
    <w:rsid w:val="0A3D214D"/>
    <w:rsid w:val="0A474E8E"/>
    <w:rsid w:val="0A47AC24"/>
    <w:rsid w:val="0A4A29B6"/>
    <w:rsid w:val="0A58CDCF"/>
    <w:rsid w:val="0A5ADCFE"/>
    <w:rsid w:val="0A5BC823"/>
    <w:rsid w:val="0A6548E3"/>
    <w:rsid w:val="0A6A90CD"/>
    <w:rsid w:val="0A6C2409"/>
    <w:rsid w:val="0A6D1938"/>
    <w:rsid w:val="0A71E35E"/>
    <w:rsid w:val="0A777EE0"/>
    <w:rsid w:val="0A778FB2"/>
    <w:rsid w:val="0A77DD98"/>
    <w:rsid w:val="0A873818"/>
    <w:rsid w:val="0A8815A0"/>
    <w:rsid w:val="0A882EA4"/>
    <w:rsid w:val="0A8F4D4C"/>
    <w:rsid w:val="0A8F9139"/>
    <w:rsid w:val="0A9218D2"/>
    <w:rsid w:val="0A929463"/>
    <w:rsid w:val="0A955C0D"/>
    <w:rsid w:val="0A973487"/>
    <w:rsid w:val="0A9D9D48"/>
    <w:rsid w:val="0A9DC3E9"/>
    <w:rsid w:val="0A9EF589"/>
    <w:rsid w:val="0A9FA47A"/>
    <w:rsid w:val="0AA76499"/>
    <w:rsid w:val="0AA8F661"/>
    <w:rsid w:val="0AA9A708"/>
    <w:rsid w:val="0AB03A4A"/>
    <w:rsid w:val="0AB19893"/>
    <w:rsid w:val="0AB23B2B"/>
    <w:rsid w:val="0AB61DAD"/>
    <w:rsid w:val="0AB9D470"/>
    <w:rsid w:val="0ABCFDB9"/>
    <w:rsid w:val="0ABD22F5"/>
    <w:rsid w:val="0ABD41B7"/>
    <w:rsid w:val="0ABE01A0"/>
    <w:rsid w:val="0AC09147"/>
    <w:rsid w:val="0AC0A5EB"/>
    <w:rsid w:val="0AC3C445"/>
    <w:rsid w:val="0AC47054"/>
    <w:rsid w:val="0AC4C971"/>
    <w:rsid w:val="0AC5BD6F"/>
    <w:rsid w:val="0AC7551A"/>
    <w:rsid w:val="0ACB5E4D"/>
    <w:rsid w:val="0ADAAE0A"/>
    <w:rsid w:val="0ADB977F"/>
    <w:rsid w:val="0ADBB47E"/>
    <w:rsid w:val="0ADC86E7"/>
    <w:rsid w:val="0ADE904A"/>
    <w:rsid w:val="0AE11792"/>
    <w:rsid w:val="0AE32FDF"/>
    <w:rsid w:val="0AE9917C"/>
    <w:rsid w:val="0AF529BE"/>
    <w:rsid w:val="0AF59540"/>
    <w:rsid w:val="0AFA2B0C"/>
    <w:rsid w:val="0B013E49"/>
    <w:rsid w:val="0B03564D"/>
    <w:rsid w:val="0B09A5BA"/>
    <w:rsid w:val="0B0FA35D"/>
    <w:rsid w:val="0B11CBB0"/>
    <w:rsid w:val="0B14026D"/>
    <w:rsid w:val="0B195F1F"/>
    <w:rsid w:val="0B1B49D0"/>
    <w:rsid w:val="0B1C0472"/>
    <w:rsid w:val="0B2CFCE1"/>
    <w:rsid w:val="0B2E7DF7"/>
    <w:rsid w:val="0B334FED"/>
    <w:rsid w:val="0B337210"/>
    <w:rsid w:val="0B375F39"/>
    <w:rsid w:val="0B37A2FB"/>
    <w:rsid w:val="0B3C0543"/>
    <w:rsid w:val="0B3D7C6F"/>
    <w:rsid w:val="0B4253DA"/>
    <w:rsid w:val="0B457BC0"/>
    <w:rsid w:val="0B46DF3C"/>
    <w:rsid w:val="0B487E33"/>
    <w:rsid w:val="0B48D90B"/>
    <w:rsid w:val="0B50ABA4"/>
    <w:rsid w:val="0B549862"/>
    <w:rsid w:val="0B565870"/>
    <w:rsid w:val="0B5B00AF"/>
    <w:rsid w:val="0B5CFD21"/>
    <w:rsid w:val="0B5D34F6"/>
    <w:rsid w:val="0B5D9725"/>
    <w:rsid w:val="0B6E1E68"/>
    <w:rsid w:val="0B7435D6"/>
    <w:rsid w:val="0B7666D8"/>
    <w:rsid w:val="0B779DE7"/>
    <w:rsid w:val="0B785F87"/>
    <w:rsid w:val="0B8A14E6"/>
    <w:rsid w:val="0B8A20C1"/>
    <w:rsid w:val="0B8AA7C0"/>
    <w:rsid w:val="0B8D407A"/>
    <w:rsid w:val="0B8DED3F"/>
    <w:rsid w:val="0B8EC94E"/>
    <w:rsid w:val="0B9300AB"/>
    <w:rsid w:val="0B978633"/>
    <w:rsid w:val="0B9872F8"/>
    <w:rsid w:val="0B9CB2D2"/>
    <w:rsid w:val="0BA06481"/>
    <w:rsid w:val="0BA23563"/>
    <w:rsid w:val="0BA3A383"/>
    <w:rsid w:val="0BA3E1F9"/>
    <w:rsid w:val="0BA64A6A"/>
    <w:rsid w:val="0BAAB8DE"/>
    <w:rsid w:val="0BAE4D65"/>
    <w:rsid w:val="0BAEC730"/>
    <w:rsid w:val="0BB48D18"/>
    <w:rsid w:val="0BB62B97"/>
    <w:rsid w:val="0BBACD7C"/>
    <w:rsid w:val="0BBC27A8"/>
    <w:rsid w:val="0BBED23A"/>
    <w:rsid w:val="0BC0F672"/>
    <w:rsid w:val="0BC38A7A"/>
    <w:rsid w:val="0BC99D5D"/>
    <w:rsid w:val="0BCB8B0F"/>
    <w:rsid w:val="0BCE55AB"/>
    <w:rsid w:val="0BCE683C"/>
    <w:rsid w:val="0BD18200"/>
    <w:rsid w:val="0BD2B593"/>
    <w:rsid w:val="0BD79D09"/>
    <w:rsid w:val="0BD8731E"/>
    <w:rsid w:val="0BE2C971"/>
    <w:rsid w:val="0BE56B4E"/>
    <w:rsid w:val="0BE5F7A2"/>
    <w:rsid w:val="0BE9930A"/>
    <w:rsid w:val="0BEA3B8B"/>
    <w:rsid w:val="0BF54312"/>
    <w:rsid w:val="0BF9902D"/>
    <w:rsid w:val="0BFBAB8C"/>
    <w:rsid w:val="0C03D752"/>
    <w:rsid w:val="0C0786B8"/>
    <w:rsid w:val="0C0B07B0"/>
    <w:rsid w:val="0C113EE7"/>
    <w:rsid w:val="0C11A184"/>
    <w:rsid w:val="0C11E8DE"/>
    <w:rsid w:val="0C130B74"/>
    <w:rsid w:val="0C186FCE"/>
    <w:rsid w:val="0C18D064"/>
    <w:rsid w:val="0C1914EE"/>
    <w:rsid w:val="0C1FE05B"/>
    <w:rsid w:val="0C1FED94"/>
    <w:rsid w:val="0C21ECC4"/>
    <w:rsid w:val="0C221DA5"/>
    <w:rsid w:val="0C2275CC"/>
    <w:rsid w:val="0C23A503"/>
    <w:rsid w:val="0C249E39"/>
    <w:rsid w:val="0C276E28"/>
    <w:rsid w:val="0C2A7946"/>
    <w:rsid w:val="0C2B5BF8"/>
    <w:rsid w:val="0C2CB1FF"/>
    <w:rsid w:val="0C2CECAE"/>
    <w:rsid w:val="0C30ACC7"/>
    <w:rsid w:val="0C331C6E"/>
    <w:rsid w:val="0C346C8F"/>
    <w:rsid w:val="0C36CC91"/>
    <w:rsid w:val="0C39B9E6"/>
    <w:rsid w:val="0C3E4DC8"/>
    <w:rsid w:val="0C3E7525"/>
    <w:rsid w:val="0C447793"/>
    <w:rsid w:val="0C46DA4F"/>
    <w:rsid w:val="0C4965C5"/>
    <w:rsid w:val="0C51014E"/>
    <w:rsid w:val="0C53435A"/>
    <w:rsid w:val="0C53BFEB"/>
    <w:rsid w:val="0C552C79"/>
    <w:rsid w:val="0C55C45B"/>
    <w:rsid w:val="0C566224"/>
    <w:rsid w:val="0C5B862B"/>
    <w:rsid w:val="0C5E7392"/>
    <w:rsid w:val="0C5FEE9D"/>
    <w:rsid w:val="0C62B217"/>
    <w:rsid w:val="0C757BCF"/>
    <w:rsid w:val="0C79D6A3"/>
    <w:rsid w:val="0C840EAC"/>
    <w:rsid w:val="0C84F5C5"/>
    <w:rsid w:val="0C8AF814"/>
    <w:rsid w:val="0C8D02E6"/>
    <w:rsid w:val="0C91583F"/>
    <w:rsid w:val="0C9193E2"/>
    <w:rsid w:val="0C9584D1"/>
    <w:rsid w:val="0C982D1E"/>
    <w:rsid w:val="0C99AF56"/>
    <w:rsid w:val="0C9DFDEF"/>
    <w:rsid w:val="0CA68C03"/>
    <w:rsid w:val="0CA72508"/>
    <w:rsid w:val="0CACEB65"/>
    <w:rsid w:val="0CAE2293"/>
    <w:rsid w:val="0CAE7AC1"/>
    <w:rsid w:val="0CAE8E4A"/>
    <w:rsid w:val="0CAEDC1A"/>
    <w:rsid w:val="0CB12993"/>
    <w:rsid w:val="0CB5DE73"/>
    <w:rsid w:val="0CB69CEE"/>
    <w:rsid w:val="0CB93C5A"/>
    <w:rsid w:val="0CBBD5F6"/>
    <w:rsid w:val="0CBCD699"/>
    <w:rsid w:val="0CBCDC00"/>
    <w:rsid w:val="0CBD0CA2"/>
    <w:rsid w:val="0CC2D951"/>
    <w:rsid w:val="0CC32697"/>
    <w:rsid w:val="0CC49119"/>
    <w:rsid w:val="0CC4D3D4"/>
    <w:rsid w:val="0CC5375B"/>
    <w:rsid w:val="0CC5EF10"/>
    <w:rsid w:val="0CC94716"/>
    <w:rsid w:val="0CCA89EA"/>
    <w:rsid w:val="0CCC3047"/>
    <w:rsid w:val="0CCF48D5"/>
    <w:rsid w:val="0CCF5CD8"/>
    <w:rsid w:val="0CD14FC9"/>
    <w:rsid w:val="0CD24578"/>
    <w:rsid w:val="0CD8BA88"/>
    <w:rsid w:val="0CD99C17"/>
    <w:rsid w:val="0CDB1A23"/>
    <w:rsid w:val="0CDCF2D1"/>
    <w:rsid w:val="0CDEAD6D"/>
    <w:rsid w:val="0CE40693"/>
    <w:rsid w:val="0CE45121"/>
    <w:rsid w:val="0CEA3F8D"/>
    <w:rsid w:val="0CF39E9F"/>
    <w:rsid w:val="0CF6937B"/>
    <w:rsid w:val="0CF78731"/>
    <w:rsid w:val="0CF7A584"/>
    <w:rsid w:val="0CF943F4"/>
    <w:rsid w:val="0CFB1039"/>
    <w:rsid w:val="0CFD76F1"/>
    <w:rsid w:val="0CFDF098"/>
    <w:rsid w:val="0CFF0C8A"/>
    <w:rsid w:val="0CFF3A68"/>
    <w:rsid w:val="0CFFFD57"/>
    <w:rsid w:val="0D0268BC"/>
    <w:rsid w:val="0D04C4BD"/>
    <w:rsid w:val="0D09E5B1"/>
    <w:rsid w:val="0D10B12B"/>
    <w:rsid w:val="0D134DA8"/>
    <w:rsid w:val="0D13999C"/>
    <w:rsid w:val="0D18410C"/>
    <w:rsid w:val="0D1B6F4B"/>
    <w:rsid w:val="0D1C8A3C"/>
    <w:rsid w:val="0D1E109A"/>
    <w:rsid w:val="0D1EA312"/>
    <w:rsid w:val="0D1EFB67"/>
    <w:rsid w:val="0D1F6CE4"/>
    <w:rsid w:val="0D216E22"/>
    <w:rsid w:val="0D2329F8"/>
    <w:rsid w:val="0D29A865"/>
    <w:rsid w:val="0D2A2545"/>
    <w:rsid w:val="0D2B71C5"/>
    <w:rsid w:val="0D2E75BD"/>
    <w:rsid w:val="0D3AB4EA"/>
    <w:rsid w:val="0D3C7F29"/>
    <w:rsid w:val="0D3F8E8E"/>
    <w:rsid w:val="0D4012BA"/>
    <w:rsid w:val="0D42C198"/>
    <w:rsid w:val="0D438F1C"/>
    <w:rsid w:val="0D4452F0"/>
    <w:rsid w:val="0D461879"/>
    <w:rsid w:val="0D4D4D4B"/>
    <w:rsid w:val="0D4F4B52"/>
    <w:rsid w:val="0D511FA6"/>
    <w:rsid w:val="0D519334"/>
    <w:rsid w:val="0D55C674"/>
    <w:rsid w:val="0D5E8E68"/>
    <w:rsid w:val="0D5FAAD4"/>
    <w:rsid w:val="0D5FEE01"/>
    <w:rsid w:val="0D6A6965"/>
    <w:rsid w:val="0D71A676"/>
    <w:rsid w:val="0D77C11A"/>
    <w:rsid w:val="0D7856B3"/>
    <w:rsid w:val="0D789178"/>
    <w:rsid w:val="0D790619"/>
    <w:rsid w:val="0D7E5403"/>
    <w:rsid w:val="0D7F2BCC"/>
    <w:rsid w:val="0D7F743C"/>
    <w:rsid w:val="0D810416"/>
    <w:rsid w:val="0D815A8D"/>
    <w:rsid w:val="0D818195"/>
    <w:rsid w:val="0D8246FC"/>
    <w:rsid w:val="0D82B085"/>
    <w:rsid w:val="0D877B7E"/>
    <w:rsid w:val="0D88F10A"/>
    <w:rsid w:val="0D8BF17F"/>
    <w:rsid w:val="0D9583CB"/>
    <w:rsid w:val="0D9A3E5F"/>
    <w:rsid w:val="0D9F7095"/>
    <w:rsid w:val="0DA078B2"/>
    <w:rsid w:val="0DA2885F"/>
    <w:rsid w:val="0DA33D05"/>
    <w:rsid w:val="0DA67272"/>
    <w:rsid w:val="0DA98519"/>
    <w:rsid w:val="0DA9B8E6"/>
    <w:rsid w:val="0DAE5427"/>
    <w:rsid w:val="0DB381D3"/>
    <w:rsid w:val="0DBC4B3D"/>
    <w:rsid w:val="0DBDC2C6"/>
    <w:rsid w:val="0DC1A3B5"/>
    <w:rsid w:val="0DC5B425"/>
    <w:rsid w:val="0DC795C2"/>
    <w:rsid w:val="0DCBFA0C"/>
    <w:rsid w:val="0DCE4667"/>
    <w:rsid w:val="0DD3B74C"/>
    <w:rsid w:val="0DDAD318"/>
    <w:rsid w:val="0DDC7B9B"/>
    <w:rsid w:val="0DDE3FD8"/>
    <w:rsid w:val="0DDE7D53"/>
    <w:rsid w:val="0DDFE98B"/>
    <w:rsid w:val="0DECDD36"/>
    <w:rsid w:val="0DEF4FC5"/>
    <w:rsid w:val="0DF071FD"/>
    <w:rsid w:val="0DF0C2D3"/>
    <w:rsid w:val="0DF161A1"/>
    <w:rsid w:val="0DF1EFEB"/>
    <w:rsid w:val="0DF4733D"/>
    <w:rsid w:val="0DF75493"/>
    <w:rsid w:val="0DF88EF7"/>
    <w:rsid w:val="0E030046"/>
    <w:rsid w:val="0E062C8A"/>
    <w:rsid w:val="0E072C83"/>
    <w:rsid w:val="0E094158"/>
    <w:rsid w:val="0E108AC2"/>
    <w:rsid w:val="0E137ABF"/>
    <w:rsid w:val="0E17F359"/>
    <w:rsid w:val="0E19D611"/>
    <w:rsid w:val="0E1AF362"/>
    <w:rsid w:val="0E1B5D08"/>
    <w:rsid w:val="0E213035"/>
    <w:rsid w:val="0E30D603"/>
    <w:rsid w:val="0E30E6C0"/>
    <w:rsid w:val="0E36432F"/>
    <w:rsid w:val="0E388BB6"/>
    <w:rsid w:val="0E3AEFA6"/>
    <w:rsid w:val="0E3DCF0C"/>
    <w:rsid w:val="0E3F563B"/>
    <w:rsid w:val="0E47FE59"/>
    <w:rsid w:val="0E49FEB0"/>
    <w:rsid w:val="0E4DAE4A"/>
    <w:rsid w:val="0E4E4DD7"/>
    <w:rsid w:val="0E4EE5F9"/>
    <w:rsid w:val="0E4F2F06"/>
    <w:rsid w:val="0E502C64"/>
    <w:rsid w:val="0E538CCD"/>
    <w:rsid w:val="0E54D5CD"/>
    <w:rsid w:val="0E5535A4"/>
    <w:rsid w:val="0E585F30"/>
    <w:rsid w:val="0E5901B5"/>
    <w:rsid w:val="0E59479B"/>
    <w:rsid w:val="0E5AC55B"/>
    <w:rsid w:val="0E5AF468"/>
    <w:rsid w:val="0E5B0BFC"/>
    <w:rsid w:val="0E5E657E"/>
    <w:rsid w:val="0E5F3AA7"/>
    <w:rsid w:val="0E5F3E4B"/>
    <w:rsid w:val="0E5F54CB"/>
    <w:rsid w:val="0E607A5F"/>
    <w:rsid w:val="0E60ABC9"/>
    <w:rsid w:val="0E6369C8"/>
    <w:rsid w:val="0E76E9FB"/>
    <w:rsid w:val="0E793302"/>
    <w:rsid w:val="0E7BCAED"/>
    <w:rsid w:val="0E8079CD"/>
    <w:rsid w:val="0E81B6BD"/>
    <w:rsid w:val="0E849E3F"/>
    <w:rsid w:val="0E8510E7"/>
    <w:rsid w:val="0E8BB1CC"/>
    <w:rsid w:val="0E8F018A"/>
    <w:rsid w:val="0E99B7A8"/>
    <w:rsid w:val="0E9AAAD2"/>
    <w:rsid w:val="0E9DDBEB"/>
    <w:rsid w:val="0E9E0A24"/>
    <w:rsid w:val="0EA2F9A5"/>
    <w:rsid w:val="0EA3E31D"/>
    <w:rsid w:val="0EACF423"/>
    <w:rsid w:val="0EB0055B"/>
    <w:rsid w:val="0EB3B5E6"/>
    <w:rsid w:val="0EBEFA59"/>
    <w:rsid w:val="0EC21565"/>
    <w:rsid w:val="0EC35034"/>
    <w:rsid w:val="0EC93B96"/>
    <w:rsid w:val="0ECFA9FD"/>
    <w:rsid w:val="0ED0514F"/>
    <w:rsid w:val="0ED4AA91"/>
    <w:rsid w:val="0EDC633C"/>
    <w:rsid w:val="0EE3980F"/>
    <w:rsid w:val="0EF05F60"/>
    <w:rsid w:val="0EF1BC30"/>
    <w:rsid w:val="0EF7221B"/>
    <w:rsid w:val="0EFA4D8D"/>
    <w:rsid w:val="0EFC0D3B"/>
    <w:rsid w:val="0EFCE694"/>
    <w:rsid w:val="0EFDFB0A"/>
    <w:rsid w:val="0F025F61"/>
    <w:rsid w:val="0F06EA8B"/>
    <w:rsid w:val="0F07D247"/>
    <w:rsid w:val="0F0B37A6"/>
    <w:rsid w:val="0F0BBFFB"/>
    <w:rsid w:val="0F0C9823"/>
    <w:rsid w:val="0F1475B7"/>
    <w:rsid w:val="0F1853C2"/>
    <w:rsid w:val="0F186923"/>
    <w:rsid w:val="0F19F8A8"/>
    <w:rsid w:val="0F1D98ED"/>
    <w:rsid w:val="0F1EDCB3"/>
    <w:rsid w:val="0F1FAB1A"/>
    <w:rsid w:val="0F24810E"/>
    <w:rsid w:val="0F30EA9D"/>
    <w:rsid w:val="0F3A3AFB"/>
    <w:rsid w:val="0F3AA38F"/>
    <w:rsid w:val="0F3BC424"/>
    <w:rsid w:val="0F3E1819"/>
    <w:rsid w:val="0F3EB004"/>
    <w:rsid w:val="0F4231DC"/>
    <w:rsid w:val="0F4666CA"/>
    <w:rsid w:val="0F474A32"/>
    <w:rsid w:val="0F49BDFE"/>
    <w:rsid w:val="0F4A0CD1"/>
    <w:rsid w:val="0F4B08B9"/>
    <w:rsid w:val="0F598701"/>
    <w:rsid w:val="0F5ABC23"/>
    <w:rsid w:val="0F5F1B06"/>
    <w:rsid w:val="0F608866"/>
    <w:rsid w:val="0F61334D"/>
    <w:rsid w:val="0F62B4FD"/>
    <w:rsid w:val="0F63059A"/>
    <w:rsid w:val="0F6D84D7"/>
    <w:rsid w:val="0F6DA230"/>
    <w:rsid w:val="0F6FFCCD"/>
    <w:rsid w:val="0F735F8C"/>
    <w:rsid w:val="0F75738A"/>
    <w:rsid w:val="0F82533D"/>
    <w:rsid w:val="0F825D8B"/>
    <w:rsid w:val="0F84CC28"/>
    <w:rsid w:val="0F859374"/>
    <w:rsid w:val="0F88CDE9"/>
    <w:rsid w:val="0F88DFB2"/>
    <w:rsid w:val="0F89857D"/>
    <w:rsid w:val="0F8EDAB9"/>
    <w:rsid w:val="0F8FC43D"/>
    <w:rsid w:val="0F965318"/>
    <w:rsid w:val="0F9888D1"/>
    <w:rsid w:val="0F990DD4"/>
    <w:rsid w:val="0F9A41BA"/>
    <w:rsid w:val="0F9D4C8A"/>
    <w:rsid w:val="0FA07554"/>
    <w:rsid w:val="0FA57906"/>
    <w:rsid w:val="0FA768A7"/>
    <w:rsid w:val="0FA8D4A9"/>
    <w:rsid w:val="0FA9757B"/>
    <w:rsid w:val="0FAC615A"/>
    <w:rsid w:val="0FBAB68A"/>
    <w:rsid w:val="0FBC9687"/>
    <w:rsid w:val="0FBCCD10"/>
    <w:rsid w:val="0FC132D0"/>
    <w:rsid w:val="0FC18F1F"/>
    <w:rsid w:val="0FC5867A"/>
    <w:rsid w:val="0FC68A37"/>
    <w:rsid w:val="0FD52BE0"/>
    <w:rsid w:val="0FD54E3A"/>
    <w:rsid w:val="0FD9C182"/>
    <w:rsid w:val="0FDC74F2"/>
    <w:rsid w:val="0FDC8A6B"/>
    <w:rsid w:val="0FEBB8C4"/>
    <w:rsid w:val="0FF31DC5"/>
    <w:rsid w:val="0FF45B0A"/>
    <w:rsid w:val="0FF5F328"/>
    <w:rsid w:val="0FF6DFEE"/>
    <w:rsid w:val="0FF9ABF3"/>
    <w:rsid w:val="0FFA130B"/>
    <w:rsid w:val="10012969"/>
    <w:rsid w:val="1002199E"/>
    <w:rsid w:val="1005F4A7"/>
    <w:rsid w:val="100B0CFF"/>
    <w:rsid w:val="100B9497"/>
    <w:rsid w:val="1013F8FC"/>
    <w:rsid w:val="1016F30B"/>
    <w:rsid w:val="101732D2"/>
    <w:rsid w:val="101998EC"/>
    <w:rsid w:val="101C614F"/>
    <w:rsid w:val="101FDB7C"/>
    <w:rsid w:val="102371E0"/>
    <w:rsid w:val="1026D5B2"/>
    <w:rsid w:val="102D40F7"/>
    <w:rsid w:val="10302413"/>
    <w:rsid w:val="10321C3C"/>
    <w:rsid w:val="10358068"/>
    <w:rsid w:val="1035B980"/>
    <w:rsid w:val="103770EF"/>
    <w:rsid w:val="103C657F"/>
    <w:rsid w:val="103D525A"/>
    <w:rsid w:val="103E8F9B"/>
    <w:rsid w:val="1041B3BF"/>
    <w:rsid w:val="1044E1CE"/>
    <w:rsid w:val="1046B53D"/>
    <w:rsid w:val="104903E0"/>
    <w:rsid w:val="105413C4"/>
    <w:rsid w:val="10586607"/>
    <w:rsid w:val="105A41DA"/>
    <w:rsid w:val="105ABAB3"/>
    <w:rsid w:val="105C55BB"/>
    <w:rsid w:val="105C6036"/>
    <w:rsid w:val="105F5CD7"/>
    <w:rsid w:val="1061B523"/>
    <w:rsid w:val="106A417C"/>
    <w:rsid w:val="106D3BC3"/>
    <w:rsid w:val="106E1143"/>
    <w:rsid w:val="106EF5BB"/>
    <w:rsid w:val="10726AE1"/>
    <w:rsid w:val="1072E336"/>
    <w:rsid w:val="10765D87"/>
    <w:rsid w:val="1076ABDD"/>
    <w:rsid w:val="1076C8B3"/>
    <w:rsid w:val="1077FA19"/>
    <w:rsid w:val="107E5BBE"/>
    <w:rsid w:val="107F088F"/>
    <w:rsid w:val="10816186"/>
    <w:rsid w:val="108782CF"/>
    <w:rsid w:val="108E6EE8"/>
    <w:rsid w:val="108E9AE2"/>
    <w:rsid w:val="10928F90"/>
    <w:rsid w:val="1096A2A8"/>
    <w:rsid w:val="10A2A844"/>
    <w:rsid w:val="10A3798C"/>
    <w:rsid w:val="10A6378F"/>
    <w:rsid w:val="10A9C265"/>
    <w:rsid w:val="10AD182F"/>
    <w:rsid w:val="10B22B2D"/>
    <w:rsid w:val="10B56D53"/>
    <w:rsid w:val="10B7F21E"/>
    <w:rsid w:val="10B8915A"/>
    <w:rsid w:val="10BB65A6"/>
    <w:rsid w:val="10BC9A5F"/>
    <w:rsid w:val="10BF6387"/>
    <w:rsid w:val="10BFB239"/>
    <w:rsid w:val="10BFFB35"/>
    <w:rsid w:val="10C12314"/>
    <w:rsid w:val="10C252DA"/>
    <w:rsid w:val="10C3A354"/>
    <w:rsid w:val="10C5B4A1"/>
    <w:rsid w:val="10C7CD78"/>
    <w:rsid w:val="10C85790"/>
    <w:rsid w:val="10CB9091"/>
    <w:rsid w:val="10CE7A0B"/>
    <w:rsid w:val="10D01C7B"/>
    <w:rsid w:val="10D0F688"/>
    <w:rsid w:val="10D2742B"/>
    <w:rsid w:val="10D3377F"/>
    <w:rsid w:val="10D5AA33"/>
    <w:rsid w:val="10D9084B"/>
    <w:rsid w:val="10E0D27D"/>
    <w:rsid w:val="10E1E085"/>
    <w:rsid w:val="10E83452"/>
    <w:rsid w:val="10EA53EE"/>
    <w:rsid w:val="10EB4CDA"/>
    <w:rsid w:val="10EC00C8"/>
    <w:rsid w:val="10F5F32C"/>
    <w:rsid w:val="10F62319"/>
    <w:rsid w:val="10FA3582"/>
    <w:rsid w:val="10FA3E50"/>
    <w:rsid w:val="10FAD14A"/>
    <w:rsid w:val="10FBB6A3"/>
    <w:rsid w:val="1100741F"/>
    <w:rsid w:val="110804B9"/>
    <w:rsid w:val="11087ACF"/>
    <w:rsid w:val="110C2E1D"/>
    <w:rsid w:val="110E216C"/>
    <w:rsid w:val="110E6788"/>
    <w:rsid w:val="1112FC96"/>
    <w:rsid w:val="1117C631"/>
    <w:rsid w:val="111EF574"/>
    <w:rsid w:val="111FFE48"/>
    <w:rsid w:val="1125C573"/>
    <w:rsid w:val="1127E21D"/>
    <w:rsid w:val="1132439E"/>
    <w:rsid w:val="11360778"/>
    <w:rsid w:val="113717D4"/>
    <w:rsid w:val="113DA1AF"/>
    <w:rsid w:val="113F3DC2"/>
    <w:rsid w:val="1141E6CB"/>
    <w:rsid w:val="11487F1C"/>
    <w:rsid w:val="1149F99D"/>
    <w:rsid w:val="114B6F1E"/>
    <w:rsid w:val="114EDD0B"/>
    <w:rsid w:val="11500E42"/>
    <w:rsid w:val="1150AAE4"/>
    <w:rsid w:val="1151FD38"/>
    <w:rsid w:val="1153D905"/>
    <w:rsid w:val="11541B38"/>
    <w:rsid w:val="1156921B"/>
    <w:rsid w:val="1158CB1A"/>
    <w:rsid w:val="115A0229"/>
    <w:rsid w:val="115D04A8"/>
    <w:rsid w:val="115D6D5C"/>
    <w:rsid w:val="115DCAD5"/>
    <w:rsid w:val="115F66AA"/>
    <w:rsid w:val="11624A01"/>
    <w:rsid w:val="1167EEA7"/>
    <w:rsid w:val="116CAC04"/>
    <w:rsid w:val="1172047C"/>
    <w:rsid w:val="11737EDE"/>
    <w:rsid w:val="1174377F"/>
    <w:rsid w:val="117542D1"/>
    <w:rsid w:val="1175ACD9"/>
    <w:rsid w:val="11766E73"/>
    <w:rsid w:val="117B7F0E"/>
    <w:rsid w:val="117C0376"/>
    <w:rsid w:val="117F4FA8"/>
    <w:rsid w:val="1181AFF6"/>
    <w:rsid w:val="11826CB6"/>
    <w:rsid w:val="11853A71"/>
    <w:rsid w:val="1186C519"/>
    <w:rsid w:val="1187FC86"/>
    <w:rsid w:val="118AB8DC"/>
    <w:rsid w:val="118DCDD5"/>
    <w:rsid w:val="1198B071"/>
    <w:rsid w:val="1199BBE8"/>
    <w:rsid w:val="11A21DAC"/>
    <w:rsid w:val="11A27523"/>
    <w:rsid w:val="11A9CD70"/>
    <w:rsid w:val="11B00414"/>
    <w:rsid w:val="11B01095"/>
    <w:rsid w:val="11B386F7"/>
    <w:rsid w:val="11B67F87"/>
    <w:rsid w:val="11BC50E4"/>
    <w:rsid w:val="11BEAA5A"/>
    <w:rsid w:val="11C21C1F"/>
    <w:rsid w:val="11C22EB0"/>
    <w:rsid w:val="11C23BAA"/>
    <w:rsid w:val="11C309D4"/>
    <w:rsid w:val="11C457C6"/>
    <w:rsid w:val="11C57FDC"/>
    <w:rsid w:val="11D835E0"/>
    <w:rsid w:val="11D8A779"/>
    <w:rsid w:val="11DA9887"/>
    <w:rsid w:val="11DE4266"/>
    <w:rsid w:val="11E90B90"/>
    <w:rsid w:val="11EBD414"/>
    <w:rsid w:val="11EED343"/>
    <w:rsid w:val="11F0A8DE"/>
    <w:rsid w:val="11F27134"/>
    <w:rsid w:val="11F4C2CB"/>
    <w:rsid w:val="11F604AF"/>
    <w:rsid w:val="1205B051"/>
    <w:rsid w:val="12096A68"/>
    <w:rsid w:val="120A1DD1"/>
    <w:rsid w:val="120F71FE"/>
    <w:rsid w:val="120FBE60"/>
    <w:rsid w:val="1212205D"/>
    <w:rsid w:val="12133F70"/>
    <w:rsid w:val="121580B0"/>
    <w:rsid w:val="1215D7BC"/>
    <w:rsid w:val="12177687"/>
    <w:rsid w:val="121AD8F0"/>
    <w:rsid w:val="121BD14E"/>
    <w:rsid w:val="1229C496"/>
    <w:rsid w:val="122A8B67"/>
    <w:rsid w:val="122C2EFE"/>
    <w:rsid w:val="1232B2F7"/>
    <w:rsid w:val="1238DE1D"/>
    <w:rsid w:val="12411C98"/>
    <w:rsid w:val="1243226B"/>
    <w:rsid w:val="12441BF3"/>
    <w:rsid w:val="1245C448"/>
    <w:rsid w:val="1248FEE9"/>
    <w:rsid w:val="124A73B5"/>
    <w:rsid w:val="124B361F"/>
    <w:rsid w:val="12512B35"/>
    <w:rsid w:val="12568DD2"/>
    <w:rsid w:val="1258A9ED"/>
    <w:rsid w:val="125BC261"/>
    <w:rsid w:val="125D2869"/>
    <w:rsid w:val="126024C6"/>
    <w:rsid w:val="1262C4F1"/>
    <w:rsid w:val="1262E426"/>
    <w:rsid w:val="12663CE3"/>
    <w:rsid w:val="12692D26"/>
    <w:rsid w:val="126F06CE"/>
    <w:rsid w:val="12793E62"/>
    <w:rsid w:val="127AAF60"/>
    <w:rsid w:val="127EA6AE"/>
    <w:rsid w:val="12816E61"/>
    <w:rsid w:val="128334EB"/>
    <w:rsid w:val="12835C06"/>
    <w:rsid w:val="1286CA03"/>
    <w:rsid w:val="1286EB0D"/>
    <w:rsid w:val="128B5D82"/>
    <w:rsid w:val="128F368C"/>
    <w:rsid w:val="1290D6D2"/>
    <w:rsid w:val="1297F0DD"/>
    <w:rsid w:val="129CC551"/>
    <w:rsid w:val="12A0D10D"/>
    <w:rsid w:val="12A71DA4"/>
    <w:rsid w:val="12AA2FC9"/>
    <w:rsid w:val="12AA9E57"/>
    <w:rsid w:val="12ADC8F6"/>
    <w:rsid w:val="12B58763"/>
    <w:rsid w:val="12B970A7"/>
    <w:rsid w:val="12BD2568"/>
    <w:rsid w:val="12BD9266"/>
    <w:rsid w:val="12BEDCC0"/>
    <w:rsid w:val="12BEEB78"/>
    <w:rsid w:val="12C0780A"/>
    <w:rsid w:val="12C2D8B5"/>
    <w:rsid w:val="12C2E6FD"/>
    <w:rsid w:val="12C4E655"/>
    <w:rsid w:val="12D40418"/>
    <w:rsid w:val="12D8E730"/>
    <w:rsid w:val="12D92CC6"/>
    <w:rsid w:val="12DA10DD"/>
    <w:rsid w:val="12DC56DF"/>
    <w:rsid w:val="12DDB0C1"/>
    <w:rsid w:val="12DF6DD5"/>
    <w:rsid w:val="12EB904F"/>
    <w:rsid w:val="12EBE9DB"/>
    <w:rsid w:val="12EBEA5E"/>
    <w:rsid w:val="12EC5741"/>
    <w:rsid w:val="12ED932A"/>
    <w:rsid w:val="12F36427"/>
    <w:rsid w:val="12F7BAC6"/>
    <w:rsid w:val="12F7CB36"/>
    <w:rsid w:val="12FDD413"/>
    <w:rsid w:val="12FE64F8"/>
    <w:rsid w:val="12FFEE39"/>
    <w:rsid w:val="13018202"/>
    <w:rsid w:val="130296B8"/>
    <w:rsid w:val="1303E491"/>
    <w:rsid w:val="13099A53"/>
    <w:rsid w:val="130AA37B"/>
    <w:rsid w:val="130C45BC"/>
    <w:rsid w:val="13187158"/>
    <w:rsid w:val="133199B5"/>
    <w:rsid w:val="13321BE2"/>
    <w:rsid w:val="1333F700"/>
    <w:rsid w:val="13366613"/>
    <w:rsid w:val="13379B97"/>
    <w:rsid w:val="133C7804"/>
    <w:rsid w:val="133F981A"/>
    <w:rsid w:val="1343C4FC"/>
    <w:rsid w:val="1352DCAC"/>
    <w:rsid w:val="135A7E95"/>
    <w:rsid w:val="135DCCC1"/>
    <w:rsid w:val="136792DD"/>
    <w:rsid w:val="136A727D"/>
    <w:rsid w:val="13778F51"/>
    <w:rsid w:val="137D3FCF"/>
    <w:rsid w:val="13843BC3"/>
    <w:rsid w:val="13853420"/>
    <w:rsid w:val="138E16FD"/>
    <w:rsid w:val="138FD0A2"/>
    <w:rsid w:val="13961536"/>
    <w:rsid w:val="13983118"/>
    <w:rsid w:val="1399C3F1"/>
    <w:rsid w:val="139B6082"/>
    <w:rsid w:val="13A18B61"/>
    <w:rsid w:val="13A1EFEB"/>
    <w:rsid w:val="13A4DCAA"/>
    <w:rsid w:val="13A53349"/>
    <w:rsid w:val="13A624D9"/>
    <w:rsid w:val="13A6481A"/>
    <w:rsid w:val="13ABC0AD"/>
    <w:rsid w:val="13ABCA52"/>
    <w:rsid w:val="13AC4777"/>
    <w:rsid w:val="13ADBD96"/>
    <w:rsid w:val="13B16AA4"/>
    <w:rsid w:val="13BA5B29"/>
    <w:rsid w:val="13BAA4A4"/>
    <w:rsid w:val="13BCEA72"/>
    <w:rsid w:val="13C570CB"/>
    <w:rsid w:val="13C9950E"/>
    <w:rsid w:val="13CA67B1"/>
    <w:rsid w:val="13D390B0"/>
    <w:rsid w:val="13D55F28"/>
    <w:rsid w:val="13D5AD44"/>
    <w:rsid w:val="13D5B1E1"/>
    <w:rsid w:val="13D99B1B"/>
    <w:rsid w:val="13E12AF1"/>
    <w:rsid w:val="13E2CB87"/>
    <w:rsid w:val="13E99961"/>
    <w:rsid w:val="13EFC971"/>
    <w:rsid w:val="13F33222"/>
    <w:rsid w:val="13F50457"/>
    <w:rsid w:val="13F60295"/>
    <w:rsid w:val="13F63628"/>
    <w:rsid w:val="13F8DF39"/>
    <w:rsid w:val="13FF2004"/>
    <w:rsid w:val="14038AA9"/>
    <w:rsid w:val="1407CAFF"/>
    <w:rsid w:val="140B6762"/>
    <w:rsid w:val="14112224"/>
    <w:rsid w:val="14161A52"/>
    <w:rsid w:val="1418474E"/>
    <w:rsid w:val="1418CA3C"/>
    <w:rsid w:val="141AF32C"/>
    <w:rsid w:val="141BF953"/>
    <w:rsid w:val="141CCF14"/>
    <w:rsid w:val="141D1DBD"/>
    <w:rsid w:val="141DAE6E"/>
    <w:rsid w:val="142337BE"/>
    <w:rsid w:val="142397D1"/>
    <w:rsid w:val="14261EF7"/>
    <w:rsid w:val="142827F7"/>
    <w:rsid w:val="1429049A"/>
    <w:rsid w:val="14290ECC"/>
    <w:rsid w:val="142C3A98"/>
    <w:rsid w:val="143021D7"/>
    <w:rsid w:val="14338071"/>
    <w:rsid w:val="14344EE2"/>
    <w:rsid w:val="1436F51F"/>
    <w:rsid w:val="143755A8"/>
    <w:rsid w:val="143F0319"/>
    <w:rsid w:val="143F7BCD"/>
    <w:rsid w:val="1444AE9D"/>
    <w:rsid w:val="1445C22E"/>
    <w:rsid w:val="144AFABB"/>
    <w:rsid w:val="144F0F7F"/>
    <w:rsid w:val="1451A232"/>
    <w:rsid w:val="14563CF1"/>
    <w:rsid w:val="145C1C57"/>
    <w:rsid w:val="145C6E8F"/>
    <w:rsid w:val="145E5AD8"/>
    <w:rsid w:val="1460A018"/>
    <w:rsid w:val="1465035F"/>
    <w:rsid w:val="14667EEF"/>
    <w:rsid w:val="146703A7"/>
    <w:rsid w:val="1467B034"/>
    <w:rsid w:val="1467F341"/>
    <w:rsid w:val="14687826"/>
    <w:rsid w:val="146909C3"/>
    <w:rsid w:val="14690C7C"/>
    <w:rsid w:val="146B1CE5"/>
    <w:rsid w:val="147035D6"/>
    <w:rsid w:val="14710A76"/>
    <w:rsid w:val="14740848"/>
    <w:rsid w:val="147908D3"/>
    <w:rsid w:val="147D6656"/>
    <w:rsid w:val="147D784F"/>
    <w:rsid w:val="1480BF8C"/>
    <w:rsid w:val="14825DA5"/>
    <w:rsid w:val="14844242"/>
    <w:rsid w:val="14891718"/>
    <w:rsid w:val="148AA619"/>
    <w:rsid w:val="148EC135"/>
    <w:rsid w:val="1490252D"/>
    <w:rsid w:val="1491AA4B"/>
    <w:rsid w:val="14928385"/>
    <w:rsid w:val="1493246A"/>
    <w:rsid w:val="1494C739"/>
    <w:rsid w:val="14958A6E"/>
    <w:rsid w:val="149A1CA5"/>
    <w:rsid w:val="149A762C"/>
    <w:rsid w:val="149E4AE5"/>
    <w:rsid w:val="14A2FCA1"/>
    <w:rsid w:val="14A3525F"/>
    <w:rsid w:val="14A35387"/>
    <w:rsid w:val="14A35454"/>
    <w:rsid w:val="14A9C280"/>
    <w:rsid w:val="14A9F3B4"/>
    <w:rsid w:val="14AA4F53"/>
    <w:rsid w:val="14ACAA03"/>
    <w:rsid w:val="14B298B8"/>
    <w:rsid w:val="14B51C90"/>
    <w:rsid w:val="14B7FB9A"/>
    <w:rsid w:val="14B8AF0E"/>
    <w:rsid w:val="14BC0504"/>
    <w:rsid w:val="14C3C038"/>
    <w:rsid w:val="14C46C05"/>
    <w:rsid w:val="14C63987"/>
    <w:rsid w:val="14C67325"/>
    <w:rsid w:val="14C8C999"/>
    <w:rsid w:val="14CBFDF8"/>
    <w:rsid w:val="14CD6464"/>
    <w:rsid w:val="14D429C1"/>
    <w:rsid w:val="14DB2899"/>
    <w:rsid w:val="14DB97E9"/>
    <w:rsid w:val="14DBDC78"/>
    <w:rsid w:val="14DBF8D4"/>
    <w:rsid w:val="14DD96DD"/>
    <w:rsid w:val="14E286B4"/>
    <w:rsid w:val="14E32DBF"/>
    <w:rsid w:val="14EA684B"/>
    <w:rsid w:val="14ED4B57"/>
    <w:rsid w:val="14F5819B"/>
    <w:rsid w:val="14F632B7"/>
    <w:rsid w:val="1500506D"/>
    <w:rsid w:val="15076277"/>
    <w:rsid w:val="1509D1B2"/>
    <w:rsid w:val="1515460C"/>
    <w:rsid w:val="1517E745"/>
    <w:rsid w:val="151F56C6"/>
    <w:rsid w:val="1523C1FC"/>
    <w:rsid w:val="1539D4D0"/>
    <w:rsid w:val="15418AE5"/>
    <w:rsid w:val="1541A382"/>
    <w:rsid w:val="1541C5AD"/>
    <w:rsid w:val="1542BE78"/>
    <w:rsid w:val="154A39D6"/>
    <w:rsid w:val="15523770"/>
    <w:rsid w:val="155F8711"/>
    <w:rsid w:val="155FBC53"/>
    <w:rsid w:val="155FED8B"/>
    <w:rsid w:val="15604E62"/>
    <w:rsid w:val="1560A51E"/>
    <w:rsid w:val="1560A6C8"/>
    <w:rsid w:val="1562D4D4"/>
    <w:rsid w:val="15661AA0"/>
    <w:rsid w:val="156D65A4"/>
    <w:rsid w:val="1579DD54"/>
    <w:rsid w:val="157DC11B"/>
    <w:rsid w:val="157E82C5"/>
    <w:rsid w:val="15855853"/>
    <w:rsid w:val="15897C4A"/>
    <w:rsid w:val="158A43F4"/>
    <w:rsid w:val="158B39AE"/>
    <w:rsid w:val="158D8AEE"/>
    <w:rsid w:val="158EAC34"/>
    <w:rsid w:val="15908237"/>
    <w:rsid w:val="1592DAAB"/>
    <w:rsid w:val="15947B0F"/>
    <w:rsid w:val="1594C92B"/>
    <w:rsid w:val="15951707"/>
    <w:rsid w:val="15970B9E"/>
    <w:rsid w:val="1599C8DE"/>
    <w:rsid w:val="159C3201"/>
    <w:rsid w:val="159DF658"/>
    <w:rsid w:val="15A4DA0E"/>
    <w:rsid w:val="15A8214F"/>
    <w:rsid w:val="15ABC842"/>
    <w:rsid w:val="15ACD939"/>
    <w:rsid w:val="15ADF61F"/>
    <w:rsid w:val="15B3DCF8"/>
    <w:rsid w:val="15B46FD1"/>
    <w:rsid w:val="15B4B270"/>
    <w:rsid w:val="15B623D6"/>
    <w:rsid w:val="15B93D42"/>
    <w:rsid w:val="15BD3B92"/>
    <w:rsid w:val="15C4264D"/>
    <w:rsid w:val="15C52475"/>
    <w:rsid w:val="15C874CA"/>
    <w:rsid w:val="15CB9CAD"/>
    <w:rsid w:val="15DA7E84"/>
    <w:rsid w:val="15DCB64F"/>
    <w:rsid w:val="15DCD109"/>
    <w:rsid w:val="15E5364E"/>
    <w:rsid w:val="15E5CDD3"/>
    <w:rsid w:val="15E91BAD"/>
    <w:rsid w:val="15E9F64A"/>
    <w:rsid w:val="15EA78A4"/>
    <w:rsid w:val="15EB336F"/>
    <w:rsid w:val="15EE19DF"/>
    <w:rsid w:val="15F25C1F"/>
    <w:rsid w:val="15FB10D6"/>
    <w:rsid w:val="15FB7F7E"/>
    <w:rsid w:val="15FEFF65"/>
    <w:rsid w:val="16002F97"/>
    <w:rsid w:val="160726C2"/>
    <w:rsid w:val="1607F735"/>
    <w:rsid w:val="160D9E44"/>
    <w:rsid w:val="16100A3B"/>
    <w:rsid w:val="16119090"/>
    <w:rsid w:val="16152D36"/>
    <w:rsid w:val="16160B42"/>
    <w:rsid w:val="1618A827"/>
    <w:rsid w:val="16193C98"/>
    <w:rsid w:val="161A54AF"/>
    <w:rsid w:val="161AC42C"/>
    <w:rsid w:val="161B7B8E"/>
    <w:rsid w:val="161C3EFE"/>
    <w:rsid w:val="161E22E8"/>
    <w:rsid w:val="161EB425"/>
    <w:rsid w:val="161EC5F0"/>
    <w:rsid w:val="161EEAB9"/>
    <w:rsid w:val="1623F7FC"/>
    <w:rsid w:val="1627C171"/>
    <w:rsid w:val="162CECC4"/>
    <w:rsid w:val="1630468C"/>
    <w:rsid w:val="16310A50"/>
    <w:rsid w:val="16343619"/>
    <w:rsid w:val="16346586"/>
    <w:rsid w:val="16348F4C"/>
    <w:rsid w:val="16357700"/>
    <w:rsid w:val="16397853"/>
    <w:rsid w:val="163A01C0"/>
    <w:rsid w:val="163DDF84"/>
    <w:rsid w:val="163E5228"/>
    <w:rsid w:val="1641419B"/>
    <w:rsid w:val="164920B8"/>
    <w:rsid w:val="164C4201"/>
    <w:rsid w:val="164CFEFC"/>
    <w:rsid w:val="164D06B8"/>
    <w:rsid w:val="16573D66"/>
    <w:rsid w:val="1657BF42"/>
    <w:rsid w:val="165AEC15"/>
    <w:rsid w:val="165BF01C"/>
    <w:rsid w:val="165D9538"/>
    <w:rsid w:val="16641AEE"/>
    <w:rsid w:val="166499FA"/>
    <w:rsid w:val="1665570C"/>
    <w:rsid w:val="166CC29C"/>
    <w:rsid w:val="166E6CE2"/>
    <w:rsid w:val="166E7CEB"/>
    <w:rsid w:val="166FC0B4"/>
    <w:rsid w:val="16705418"/>
    <w:rsid w:val="1676C7D3"/>
    <w:rsid w:val="16792289"/>
    <w:rsid w:val="1679DB90"/>
    <w:rsid w:val="167A66BC"/>
    <w:rsid w:val="167BAAE2"/>
    <w:rsid w:val="1683052B"/>
    <w:rsid w:val="1683C9E8"/>
    <w:rsid w:val="1686E9B6"/>
    <w:rsid w:val="168805B1"/>
    <w:rsid w:val="16930EB0"/>
    <w:rsid w:val="16956C54"/>
    <w:rsid w:val="1695BF8C"/>
    <w:rsid w:val="1696497E"/>
    <w:rsid w:val="1698B44F"/>
    <w:rsid w:val="169917D9"/>
    <w:rsid w:val="169E05F6"/>
    <w:rsid w:val="16A215E6"/>
    <w:rsid w:val="16A5F6CC"/>
    <w:rsid w:val="16A68346"/>
    <w:rsid w:val="16A7A5E4"/>
    <w:rsid w:val="16ABA703"/>
    <w:rsid w:val="16B15ECE"/>
    <w:rsid w:val="16B417C9"/>
    <w:rsid w:val="16B684C9"/>
    <w:rsid w:val="16B6E83A"/>
    <w:rsid w:val="16BC35A2"/>
    <w:rsid w:val="16BCA120"/>
    <w:rsid w:val="16C0B169"/>
    <w:rsid w:val="16C6A0D0"/>
    <w:rsid w:val="16CB3CA7"/>
    <w:rsid w:val="16D3BD23"/>
    <w:rsid w:val="16DA6E68"/>
    <w:rsid w:val="16DC0733"/>
    <w:rsid w:val="16E491D5"/>
    <w:rsid w:val="16EAF1F8"/>
    <w:rsid w:val="16EC1D03"/>
    <w:rsid w:val="16F31246"/>
    <w:rsid w:val="16F3BFCB"/>
    <w:rsid w:val="16F49E78"/>
    <w:rsid w:val="16F4D034"/>
    <w:rsid w:val="16F77CBE"/>
    <w:rsid w:val="16FAA0A8"/>
    <w:rsid w:val="17025645"/>
    <w:rsid w:val="17050E10"/>
    <w:rsid w:val="1705573F"/>
    <w:rsid w:val="170C1181"/>
    <w:rsid w:val="170FB483"/>
    <w:rsid w:val="17106A6E"/>
    <w:rsid w:val="1713AE2B"/>
    <w:rsid w:val="1718507A"/>
    <w:rsid w:val="171910D6"/>
    <w:rsid w:val="171BB10E"/>
    <w:rsid w:val="171E3CB9"/>
    <w:rsid w:val="1720F506"/>
    <w:rsid w:val="17229961"/>
    <w:rsid w:val="172E07FE"/>
    <w:rsid w:val="1732AC41"/>
    <w:rsid w:val="1733C855"/>
    <w:rsid w:val="1733DA0C"/>
    <w:rsid w:val="1735F7F6"/>
    <w:rsid w:val="173C7AD4"/>
    <w:rsid w:val="1740654D"/>
    <w:rsid w:val="17486EBB"/>
    <w:rsid w:val="174F1046"/>
    <w:rsid w:val="1751C65A"/>
    <w:rsid w:val="17530586"/>
    <w:rsid w:val="17565476"/>
    <w:rsid w:val="1758D2B7"/>
    <w:rsid w:val="1759AB4E"/>
    <w:rsid w:val="175B5D76"/>
    <w:rsid w:val="175D06C6"/>
    <w:rsid w:val="175DEB03"/>
    <w:rsid w:val="175E508B"/>
    <w:rsid w:val="1764995E"/>
    <w:rsid w:val="1764CADD"/>
    <w:rsid w:val="176A7FC5"/>
    <w:rsid w:val="176D8EB1"/>
    <w:rsid w:val="1770DBC8"/>
    <w:rsid w:val="1770EABC"/>
    <w:rsid w:val="177155FC"/>
    <w:rsid w:val="177A9554"/>
    <w:rsid w:val="177ADFD4"/>
    <w:rsid w:val="177B0DE9"/>
    <w:rsid w:val="177B8F03"/>
    <w:rsid w:val="177E5286"/>
    <w:rsid w:val="17822DB1"/>
    <w:rsid w:val="178555BA"/>
    <w:rsid w:val="1786B505"/>
    <w:rsid w:val="1786F71A"/>
    <w:rsid w:val="1789D35A"/>
    <w:rsid w:val="178A6A25"/>
    <w:rsid w:val="178D8D86"/>
    <w:rsid w:val="17928216"/>
    <w:rsid w:val="1793CCEF"/>
    <w:rsid w:val="1793E92D"/>
    <w:rsid w:val="179731B4"/>
    <w:rsid w:val="179865B7"/>
    <w:rsid w:val="1798AECB"/>
    <w:rsid w:val="179B4C31"/>
    <w:rsid w:val="179B9C9B"/>
    <w:rsid w:val="179E6FFA"/>
    <w:rsid w:val="17A073F6"/>
    <w:rsid w:val="17A31247"/>
    <w:rsid w:val="17A4B5C0"/>
    <w:rsid w:val="17AAB152"/>
    <w:rsid w:val="17AB5290"/>
    <w:rsid w:val="17AC6804"/>
    <w:rsid w:val="17B3AA45"/>
    <w:rsid w:val="17B3E6B0"/>
    <w:rsid w:val="17B92A63"/>
    <w:rsid w:val="17BD17E8"/>
    <w:rsid w:val="17BEDAA4"/>
    <w:rsid w:val="17C0F728"/>
    <w:rsid w:val="17C1B4D2"/>
    <w:rsid w:val="17C38A31"/>
    <w:rsid w:val="17C39B0C"/>
    <w:rsid w:val="17C54138"/>
    <w:rsid w:val="17C5AC22"/>
    <w:rsid w:val="17CDEEC5"/>
    <w:rsid w:val="17D29F55"/>
    <w:rsid w:val="17D4BA16"/>
    <w:rsid w:val="17D73F33"/>
    <w:rsid w:val="17DA61F1"/>
    <w:rsid w:val="17DC5622"/>
    <w:rsid w:val="17DD894A"/>
    <w:rsid w:val="17E00318"/>
    <w:rsid w:val="17E066E3"/>
    <w:rsid w:val="17E33915"/>
    <w:rsid w:val="17E4AE9C"/>
    <w:rsid w:val="17EA5EED"/>
    <w:rsid w:val="17F0039E"/>
    <w:rsid w:val="17F01673"/>
    <w:rsid w:val="17F2D40F"/>
    <w:rsid w:val="17F469AA"/>
    <w:rsid w:val="17F52050"/>
    <w:rsid w:val="1800C661"/>
    <w:rsid w:val="18075539"/>
    <w:rsid w:val="18088FC2"/>
    <w:rsid w:val="1809ACF0"/>
    <w:rsid w:val="180A41B4"/>
    <w:rsid w:val="180D67E0"/>
    <w:rsid w:val="180F3DE0"/>
    <w:rsid w:val="181641B9"/>
    <w:rsid w:val="1819C859"/>
    <w:rsid w:val="1819CE06"/>
    <w:rsid w:val="18213019"/>
    <w:rsid w:val="1821452F"/>
    <w:rsid w:val="182DB7F5"/>
    <w:rsid w:val="182F60BA"/>
    <w:rsid w:val="183127B9"/>
    <w:rsid w:val="183559C3"/>
    <w:rsid w:val="1837DF0B"/>
    <w:rsid w:val="1837F557"/>
    <w:rsid w:val="18384196"/>
    <w:rsid w:val="183E49AE"/>
    <w:rsid w:val="183ECD3B"/>
    <w:rsid w:val="183F5CBF"/>
    <w:rsid w:val="1840E7F1"/>
    <w:rsid w:val="1848B53B"/>
    <w:rsid w:val="1849882F"/>
    <w:rsid w:val="184F51AE"/>
    <w:rsid w:val="1856FDB7"/>
    <w:rsid w:val="1859155C"/>
    <w:rsid w:val="1859B5A3"/>
    <w:rsid w:val="185C49CF"/>
    <w:rsid w:val="185D6F8A"/>
    <w:rsid w:val="185E0A00"/>
    <w:rsid w:val="1861A8AC"/>
    <w:rsid w:val="18654BDF"/>
    <w:rsid w:val="1868588A"/>
    <w:rsid w:val="186B83E9"/>
    <w:rsid w:val="186BBD09"/>
    <w:rsid w:val="186BF0E3"/>
    <w:rsid w:val="186D687E"/>
    <w:rsid w:val="186FA8CB"/>
    <w:rsid w:val="18718D9F"/>
    <w:rsid w:val="1871B3E9"/>
    <w:rsid w:val="18730886"/>
    <w:rsid w:val="1877C2FE"/>
    <w:rsid w:val="187A7804"/>
    <w:rsid w:val="187BD917"/>
    <w:rsid w:val="18850FC6"/>
    <w:rsid w:val="188BD855"/>
    <w:rsid w:val="188C342A"/>
    <w:rsid w:val="188D697F"/>
    <w:rsid w:val="18918F2A"/>
    <w:rsid w:val="1896E26D"/>
    <w:rsid w:val="18982A9F"/>
    <w:rsid w:val="189AAAA5"/>
    <w:rsid w:val="189DC24F"/>
    <w:rsid w:val="18A4F2BD"/>
    <w:rsid w:val="18A7CF81"/>
    <w:rsid w:val="18AA0902"/>
    <w:rsid w:val="18AA6DF3"/>
    <w:rsid w:val="18AAD406"/>
    <w:rsid w:val="18AD8F68"/>
    <w:rsid w:val="18B299A4"/>
    <w:rsid w:val="18B49E94"/>
    <w:rsid w:val="18B8CC1C"/>
    <w:rsid w:val="18BA508E"/>
    <w:rsid w:val="18BB9AA2"/>
    <w:rsid w:val="18BBAE61"/>
    <w:rsid w:val="18BD5D91"/>
    <w:rsid w:val="18C0667E"/>
    <w:rsid w:val="18C10637"/>
    <w:rsid w:val="18CBFA6B"/>
    <w:rsid w:val="18D3D43C"/>
    <w:rsid w:val="18D78CBD"/>
    <w:rsid w:val="18DA757E"/>
    <w:rsid w:val="18DC6E8D"/>
    <w:rsid w:val="18DE99CE"/>
    <w:rsid w:val="18DFB6F8"/>
    <w:rsid w:val="18E18C99"/>
    <w:rsid w:val="18EA1B7C"/>
    <w:rsid w:val="18F79F7B"/>
    <w:rsid w:val="18F8DF21"/>
    <w:rsid w:val="18FB1E46"/>
    <w:rsid w:val="18FB806E"/>
    <w:rsid w:val="18FD13DD"/>
    <w:rsid w:val="18FFAAD7"/>
    <w:rsid w:val="19077367"/>
    <w:rsid w:val="190B3994"/>
    <w:rsid w:val="190CDA56"/>
    <w:rsid w:val="190E9C79"/>
    <w:rsid w:val="190FA0DB"/>
    <w:rsid w:val="1910F585"/>
    <w:rsid w:val="19118F34"/>
    <w:rsid w:val="1912A63A"/>
    <w:rsid w:val="1913F0A4"/>
    <w:rsid w:val="19181463"/>
    <w:rsid w:val="191E17B2"/>
    <w:rsid w:val="1921E051"/>
    <w:rsid w:val="1925A545"/>
    <w:rsid w:val="1925A627"/>
    <w:rsid w:val="1925B87B"/>
    <w:rsid w:val="1926293E"/>
    <w:rsid w:val="19295E3C"/>
    <w:rsid w:val="192BC8C7"/>
    <w:rsid w:val="192ECF08"/>
    <w:rsid w:val="1931FC2B"/>
    <w:rsid w:val="193647DA"/>
    <w:rsid w:val="193BFA04"/>
    <w:rsid w:val="1942FEB3"/>
    <w:rsid w:val="19466EA2"/>
    <w:rsid w:val="194A0A04"/>
    <w:rsid w:val="194AC929"/>
    <w:rsid w:val="194B1BAF"/>
    <w:rsid w:val="194E04F5"/>
    <w:rsid w:val="19553603"/>
    <w:rsid w:val="195541F7"/>
    <w:rsid w:val="19624A16"/>
    <w:rsid w:val="1965036B"/>
    <w:rsid w:val="19665E1B"/>
    <w:rsid w:val="1966DC82"/>
    <w:rsid w:val="1967D10B"/>
    <w:rsid w:val="1973985B"/>
    <w:rsid w:val="19793EEC"/>
    <w:rsid w:val="197D3CE2"/>
    <w:rsid w:val="19844D1D"/>
    <w:rsid w:val="198C725D"/>
    <w:rsid w:val="19904993"/>
    <w:rsid w:val="1991352F"/>
    <w:rsid w:val="19915D8B"/>
    <w:rsid w:val="1994BBB2"/>
    <w:rsid w:val="19966F37"/>
    <w:rsid w:val="199779F1"/>
    <w:rsid w:val="19A1DF3B"/>
    <w:rsid w:val="19AB57F7"/>
    <w:rsid w:val="19AD659B"/>
    <w:rsid w:val="19AD715D"/>
    <w:rsid w:val="19B042AC"/>
    <w:rsid w:val="19B57C41"/>
    <w:rsid w:val="19B81C17"/>
    <w:rsid w:val="19C4C768"/>
    <w:rsid w:val="19C95BA2"/>
    <w:rsid w:val="19CD9DFF"/>
    <w:rsid w:val="19CF6EC7"/>
    <w:rsid w:val="19D34DBD"/>
    <w:rsid w:val="19D59425"/>
    <w:rsid w:val="19E5ABCE"/>
    <w:rsid w:val="19E74324"/>
    <w:rsid w:val="19E7B617"/>
    <w:rsid w:val="19E7B944"/>
    <w:rsid w:val="19E99C02"/>
    <w:rsid w:val="19F18796"/>
    <w:rsid w:val="19F2C4D2"/>
    <w:rsid w:val="19F2D882"/>
    <w:rsid w:val="19F4E48B"/>
    <w:rsid w:val="19F79120"/>
    <w:rsid w:val="19FB3CE6"/>
    <w:rsid w:val="1A03A0B1"/>
    <w:rsid w:val="1A07544A"/>
    <w:rsid w:val="1A07C144"/>
    <w:rsid w:val="1A0A20E1"/>
    <w:rsid w:val="1A0A652E"/>
    <w:rsid w:val="1A0C6765"/>
    <w:rsid w:val="1A0DBAD6"/>
    <w:rsid w:val="1A0FB397"/>
    <w:rsid w:val="1A13C0B5"/>
    <w:rsid w:val="1A13D634"/>
    <w:rsid w:val="1A147C6E"/>
    <w:rsid w:val="1A1F6F5F"/>
    <w:rsid w:val="1A200EB5"/>
    <w:rsid w:val="1A203166"/>
    <w:rsid w:val="1A20EFA0"/>
    <w:rsid w:val="1A221245"/>
    <w:rsid w:val="1A229E0A"/>
    <w:rsid w:val="1A264CF1"/>
    <w:rsid w:val="1A2A2D82"/>
    <w:rsid w:val="1A2CE5C9"/>
    <w:rsid w:val="1A2D1299"/>
    <w:rsid w:val="1A2D9812"/>
    <w:rsid w:val="1A2DA1A7"/>
    <w:rsid w:val="1A300035"/>
    <w:rsid w:val="1A301537"/>
    <w:rsid w:val="1A30C44C"/>
    <w:rsid w:val="1A31D653"/>
    <w:rsid w:val="1A32F834"/>
    <w:rsid w:val="1A3514AF"/>
    <w:rsid w:val="1A362C47"/>
    <w:rsid w:val="1A3AF32B"/>
    <w:rsid w:val="1A404834"/>
    <w:rsid w:val="1A40E809"/>
    <w:rsid w:val="1A4726AA"/>
    <w:rsid w:val="1A47E33F"/>
    <w:rsid w:val="1A4B62B2"/>
    <w:rsid w:val="1A50A0C5"/>
    <w:rsid w:val="1A53C0B0"/>
    <w:rsid w:val="1A5A4523"/>
    <w:rsid w:val="1A5C684E"/>
    <w:rsid w:val="1A5D2A85"/>
    <w:rsid w:val="1A5E147D"/>
    <w:rsid w:val="1A5F60EF"/>
    <w:rsid w:val="1A610871"/>
    <w:rsid w:val="1A62A1F7"/>
    <w:rsid w:val="1A69B2D4"/>
    <w:rsid w:val="1A6BF2BC"/>
    <w:rsid w:val="1A6DCB7A"/>
    <w:rsid w:val="1A6E211F"/>
    <w:rsid w:val="1A6F23CC"/>
    <w:rsid w:val="1A700028"/>
    <w:rsid w:val="1A74573E"/>
    <w:rsid w:val="1A76CF7F"/>
    <w:rsid w:val="1A7715AF"/>
    <w:rsid w:val="1A7A96D6"/>
    <w:rsid w:val="1A7BE163"/>
    <w:rsid w:val="1A7F902A"/>
    <w:rsid w:val="1A809763"/>
    <w:rsid w:val="1A816A1C"/>
    <w:rsid w:val="1A83262F"/>
    <w:rsid w:val="1A8CF36A"/>
    <w:rsid w:val="1A8F5614"/>
    <w:rsid w:val="1A91CE0D"/>
    <w:rsid w:val="1A947312"/>
    <w:rsid w:val="1A957567"/>
    <w:rsid w:val="1A994B3C"/>
    <w:rsid w:val="1A9B3A7B"/>
    <w:rsid w:val="1A9BE847"/>
    <w:rsid w:val="1A9DAF67"/>
    <w:rsid w:val="1AA16116"/>
    <w:rsid w:val="1AA3617A"/>
    <w:rsid w:val="1AA57202"/>
    <w:rsid w:val="1AA9B625"/>
    <w:rsid w:val="1AAFE602"/>
    <w:rsid w:val="1AB02567"/>
    <w:rsid w:val="1AB7BC38"/>
    <w:rsid w:val="1ABCE12C"/>
    <w:rsid w:val="1AC03D96"/>
    <w:rsid w:val="1AC20B24"/>
    <w:rsid w:val="1AC3054B"/>
    <w:rsid w:val="1AC4309E"/>
    <w:rsid w:val="1AC5BD0C"/>
    <w:rsid w:val="1ACD448E"/>
    <w:rsid w:val="1ACE08BD"/>
    <w:rsid w:val="1ACF2C7B"/>
    <w:rsid w:val="1ACFA9A5"/>
    <w:rsid w:val="1AD0392C"/>
    <w:rsid w:val="1AD230EB"/>
    <w:rsid w:val="1AD7F226"/>
    <w:rsid w:val="1ADC59B4"/>
    <w:rsid w:val="1ADD7DCA"/>
    <w:rsid w:val="1AE0BF40"/>
    <w:rsid w:val="1AE3B74D"/>
    <w:rsid w:val="1AE5ED37"/>
    <w:rsid w:val="1AE72795"/>
    <w:rsid w:val="1AEC88C2"/>
    <w:rsid w:val="1AF6A05C"/>
    <w:rsid w:val="1AF9E79D"/>
    <w:rsid w:val="1AFFD407"/>
    <w:rsid w:val="1B00F3B3"/>
    <w:rsid w:val="1B04A755"/>
    <w:rsid w:val="1B059A4C"/>
    <w:rsid w:val="1B08BEFB"/>
    <w:rsid w:val="1B0A6078"/>
    <w:rsid w:val="1B0F16A0"/>
    <w:rsid w:val="1B1349D9"/>
    <w:rsid w:val="1B13C039"/>
    <w:rsid w:val="1B1739D0"/>
    <w:rsid w:val="1B1C8B6C"/>
    <w:rsid w:val="1B2189AD"/>
    <w:rsid w:val="1B240FDF"/>
    <w:rsid w:val="1B26A959"/>
    <w:rsid w:val="1B2B20EC"/>
    <w:rsid w:val="1B31D406"/>
    <w:rsid w:val="1B3270B8"/>
    <w:rsid w:val="1B32C17F"/>
    <w:rsid w:val="1B337324"/>
    <w:rsid w:val="1B361F74"/>
    <w:rsid w:val="1B369653"/>
    <w:rsid w:val="1B39AAEA"/>
    <w:rsid w:val="1B3FE9FF"/>
    <w:rsid w:val="1B40694F"/>
    <w:rsid w:val="1B420DCF"/>
    <w:rsid w:val="1B426562"/>
    <w:rsid w:val="1B457EA9"/>
    <w:rsid w:val="1B50CE00"/>
    <w:rsid w:val="1B529D43"/>
    <w:rsid w:val="1B564E63"/>
    <w:rsid w:val="1B5B94B6"/>
    <w:rsid w:val="1B5DD3C6"/>
    <w:rsid w:val="1B5EC1DB"/>
    <w:rsid w:val="1B5FA3D5"/>
    <w:rsid w:val="1B60A58B"/>
    <w:rsid w:val="1B60B4DF"/>
    <w:rsid w:val="1B66BABB"/>
    <w:rsid w:val="1B69715B"/>
    <w:rsid w:val="1B6F05B7"/>
    <w:rsid w:val="1B72F768"/>
    <w:rsid w:val="1B73EDF5"/>
    <w:rsid w:val="1B75E4C1"/>
    <w:rsid w:val="1B765E75"/>
    <w:rsid w:val="1B777B49"/>
    <w:rsid w:val="1B7AD8F0"/>
    <w:rsid w:val="1B83F739"/>
    <w:rsid w:val="1B8C4DA8"/>
    <w:rsid w:val="1B8FF196"/>
    <w:rsid w:val="1B94AF55"/>
    <w:rsid w:val="1B94F7EC"/>
    <w:rsid w:val="1B9605DD"/>
    <w:rsid w:val="1B986A8B"/>
    <w:rsid w:val="1B9DBC44"/>
    <w:rsid w:val="1BA1B283"/>
    <w:rsid w:val="1BA324AB"/>
    <w:rsid w:val="1BA95597"/>
    <w:rsid w:val="1BAC5BDD"/>
    <w:rsid w:val="1BAE6E33"/>
    <w:rsid w:val="1BB29480"/>
    <w:rsid w:val="1BB7D960"/>
    <w:rsid w:val="1BBE2032"/>
    <w:rsid w:val="1BC1F610"/>
    <w:rsid w:val="1BCC3872"/>
    <w:rsid w:val="1BCF9CB8"/>
    <w:rsid w:val="1BD0207C"/>
    <w:rsid w:val="1BD05747"/>
    <w:rsid w:val="1BD4049E"/>
    <w:rsid w:val="1BD67884"/>
    <w:rsid w:val="1BDE06E1"/>
    <w:rsid w:val="1BDFD289"/>
    <w:rsid w:val="1BE0700A"/>
    <w:rsid w:val="1BE28801"/>
    <w:rsid w:val="1BE3F0A0"/>
    <w:rsid w:val="1BEA76C3"/>
    <w:rsid w:val="1BEAF82B"/>
    <w:rsid w:val="1BF0AEF2"/>
    <w:rsid w:val="1BF1AC51"/>
    <w:rsid w:val="1BF36D9E"/>
    <w:rsid w:val="1BF45C6E"/>
    <w:rsid w:val="1BF49770"/>
    <w:rsid w:val="1BF57A19"/>
    <w:rsid w:val="1BFB0876"/>
    <w:rsid w:val="1BFBC131"/>
    <w:rsid w:val="1BFCF0FC"/>
    <w:rsid w:val="1BFE07C6"/>
    <w:rsid w:val="1BFE6D20"/>
    <w:rsid w:val="1BFF4AF2"/>
    <w:rsid w:val="1BFF73D4"/>
    <w:rsid w:val="1C01AD7D"/>
    <w:rsid w:val="1C03CA2C"/>
    <w:rsid w:val="1C09F180"/>
    <w:rsid w:val="1C0A43FA"/>
    <w:rsid w:val="1C0A922D"/>
    <w:rsid w:val="1C0B137A"/>
    <w:rsid w:val="1C0D4E27"/>
    <w:rsid w:val="1C0D901E"/>
    <w:rsid w:val="1C11E95A"/>
    <w:rsid w:val="1C1447DC"/>
    <w:rsid w:val="1C169E9A"/>
    <w:rsid w:val="1C1D3DD1"/>
    <w:rsid w:val="1C1D6EEB"/>
    <w:rsid w:val="1C1EEB5C"/>
    <w:rsid w:val="1C20C41D"/>
    <w:rsid w:val="1C258067"/>
    <w:rsid w:val="1C2CB864"/>
    <w:rsid w:val="1C2DC44F"/>
    <w:rsid w:val="1C300055"/>
    <w:rsid w:val="1C3AB853"/>
    <w:rsid w:val="1C3AC23C"/>
    <w:rsid w:val="1C3F4787"/>
    <w:rsid w:val="1C419BE5"/>
    <w:rsid w:val="1C487B3B"/>
    <w:rsid w:val="1C4A0D00"/>
    <w:rsid w:val="1C4A3A43"/>
    <w:rsid w:val="1C4CD5A6"/>
    <w:rsid w:val="1C51C3A9"/>
    <w:rsid w:val="1C54F822"/>
    <w:rsid w:val="1C55825B"/>
    <w:rsid w:val="1C5901F3"/>
    <w:rsid w:val="1C5A563F"/>
    <w:rsid w:val="1C5DBCEA"/>
    <w:rsid w:val="1C62185B"/>
    <w:rsid w:val="1C6375FE"/>
    <w:rsid w:val="1C688495"/>
    <w:rsid w:val="1C6E3F07"/>
    <w:rsid w:val="1C7168DF"/>
    <w:rsid w:val="1C719D9B"/>
    <w:rsid w:val="1C74C09F"/>
    <w:rsid w:val="1C773A16"/>
    <w:rsid w:val="1C7E1A35"/>
    <w:rsid w:val="1C7F22DA"/>
    <w:rsid w:val="1C7F87AE"/>
    <w:rsid w:val="1C7FD927"/>
    <w:rsid w:val="1C825FE9"/>
    <w:rsid w:val="1C83EF22"/>
    <w:rsid w:val="1C8769A1"/>
    <w:rsid w:val="1C888B52"/>
    <w:rsid w:val="1C8D8340"/>
    <w:rsid w:val="1C8E4329"/>
    <w:rsid w:val="1C9369E7"/>
    <w:rsid w:val="1C99C577"/>
    <w:rsid w:val="1CA63C34"/>
    <w:rsid w:val="1CA7AE98"/>
    <w:rsid w:val="1CAD66D4"/>
    <w:rsid w:val="1CB15331"/>
    <w:rsid w:val="1CB9781D"/>
    <w:rsid w:val="1CBCD21B"/>
    <w:rsid w:val="1CBE49D5"/>
    <w:rsid w:val="1CC0839C"/>
    <w:rsid w:val="1CC46173"/>
    <w:rsid w:val="1CC7DA2E"/>
    <w:rsid w:val="1CD494A5"/>
    <w:rsid w:val="1CE81BB3"/>
    <w:rsid w:val="1CEA6574"/>
    <w:rsid w:val="1CEC5E8C"/>
    <w:rsid w:val="1CF35899"/>
    <w:rsid w:val="1CF3CB7A"/>
    <w:rsid w:val="1CF48AC6"/>
    <w:rsid w:val="1CF79516"/>
    <w:rsid w:val="1CFADA5A"/>
    <w:rsid w:val="1CFD52AD"/>
    <w:rsid w:val="1D0045E8"/>
    <w:rsid w:val="1D00619C"/>
    <w:rsid w:val="1D029CC1"/>
    <w:rsid w:val="1D02D1DD"/>
    <w:rsid w:val="1D03F166"/>
    <w:rsid w:val="1D056A01"/>
    <w:rsid w:val="1D093AC4"/>
    <w:rsid w:val="1D103EFD"/>
    <w:rsid w:val="1D139FDE"/>
    <w:rsid w:val="1D14ED65"/>
    <w:rsid w:val="1D1585E4"/>
    <w:rsid w:val="1D16812C"/>
    <w:rsid w:val="1D1718D5"/>
    <w:rsid w:val="1D1AD86A"/>
    <w:rsid w:val="1D1CCB27"/>
    <w:rsid w:val="1D1CEDFE"/>
    <w:rsid w:val="1D1DA12F"/>
    <w:rsid w:val="1D20A446"/>
    <w:rsid w:val="1D2290F6"/>
    <w:rsid w:val="1D22B070"/>
    <w:rsid w:val="1D22BD35"/>
    <w:rsid w:val="1D28D937"/>
    <w:rsid w:val="1D2C7A1C"/>
    <w:rsid w:val="1D2CB942"/>
    <w:rsid w:val="1D2F70B3"/>
    <w:rsid w:val="1D3228C6"/>
    <w:rsid w:val="1D3310A8"/>
    <w:rsid w:val="1D343BF0"/>
    <w:rsid w:val="1D3817F7"/>
    <w:rsid w:val="1D3B3637"/>
    <w:rsid w:val="1D42B82B"/>
    <w:rsid w:val="1D4751EA"/>
    <w:rsid w:val="1D4793A7"/>
    <w:rsid w:val="1D4B5FA1"/>
    <w:rsid w:val="1D4CD64B"/>
    <w:rsid w:val="1D4E885F"/>
    <w:rsid w:val="1D535F62"/>
    <w:rsid w:val="1D5948FD"/>
    <w:rsid w:val="1D5A3078"/>
    <w:rsid w:val="1D5AAFFB"/>
    <w:rsid w:val="1D5ABC1A"/>
    <w:rsid w:val="1D5ADB5E"/>
    <w:rsid w:val="1D5CCE90"/>
    <w:rsid w:val="1D5F7266"/>
    <w:rsid w:val="1D623D56"/>
    <w:rsid w:val="1D632719"/>
    <w:rsid w:val="1D67DC8C"/>
    <w:rsid w:val="1D690FBC"/>
    <w:rsid w:val="1D692CA9"/>
    <w:rsid w:val="1D6F99E4"/>
    <w:rsid w:val="1D74F593"/>
    <w:rsid w:val="1D7F80E8"/>
    <w:rsid w:val="1D80F3DE"/>
    <w:rsid w:val="1D874425"/>
    <w:rsid w:val="1D8BCA83"/>
    <w:rsid w:val="1D8D0858"/>
    <w:rsid w:val="1D965133"/>
    <w:rsid w:val="1D967F48"/>
    <w:rsid w:val="1D979192"/>
    <w:rsid w:val="1D9BB9A7"/>
    <w:rsid w:val="1D9E17F2"/>
    <w:rsid w:val="1DA54279"/>
    <w:rsid w:val="1DA64FF4"/>
    <w:rsid w:val="1DA7D311"/>
    <w:rsid w:val="1DA8AE9D"/>
    <w:rsid w:val="1DA9009E"/>
    <w:rsid w:val="1DAADF4B"/>
    <w:rsid w:val="1DAB2442"/>
    <w:rsid w:val="1DAC6993"/>
    <w:rsid w:val="1DACA8F1"/>
    <w:rsid w:val="1DAE6D97"/>
    <w:rsid w:val="1DB15375"/>
    <w:rsid w:val="1DB2EDB1"/>
    <w:rsid w:val="1DB549C0"/>
    <w:rsid w:val="1DBAC6F1"/>
    <w:rsid w:val="1DC0F56F"/>
    <w:rsid w:val="1DCA80ED"/>
    <w:rsid w:val="1DCE9282"/>
    <w:rsid w:val="1DD98B50"/>
    <w:rsid w:val="1DD9D089"/>
    <w:rsid w:val="1DDA64D8"/>
    <w:rsid w:val="1DDE8B86"/>
    <w:rsid w:val="1DDEFA98"/>
    <w:rsid w:val="1DE3E7F7"/>
    <w:rsid w:val="1DE4E68A"/>
    <w:rsid w:val="1DE50057"/>
    <w:rsid w:val="1DE549ED"/>
    <w:rsid w:val="1DE74FD8"/>
    <w:rsid w:val="1DE82ADE"/>
    <w:rsid w:val="1DEA0D1B"/>
    <w:rsid w:val="1DEB6165"/>
    <w:rsid w:val="1DEE4E38"/>
    <w:rsid w:val="1DEEF000"/>
    <w:rsid w:val="1DF199E8"/>
    <w:rsid w:val="1DF38C4A"/>
    <w:rsid w:val="1DFDC246"/>
    <w:rsid w:val="1E026D8D"/>
    <w:rsid w:val="1E03D307"/>
    <w:rsid w:val="1E04544E"/>
    <w:rsid w:val="1E0F5390"/>
    <w:rsid w:val="1E119165"/>
    <w:rsid w:val="1E17A8DA"/>
    <w:rsid w:val="1E1ADB2C"/>
    <w:rsid w:val="1E1E6912"/>
    <w:rsid w:val="1E24ADAA"/>
    <w:rsid w:val="1E27F94F"/>
    <w:rsid w:val="1E2F3D21"/>
    <w:rsid w:val="1E33F5A4"/>
    <w:rsid w:val="1E36C9F3"/>
    <w:rsid w:val="1E3B039B"/>
    <w:rsid w:val="1E3C4A2F"/>
    <w:rsid w:val="1E3C77F7"/>
    <w:rsid w:val="1E41E9B1"/>
    <w:rsid w:val="1E424FB5"/>
    <w:rsid w:val="1E484BB7"/>
    <w:rsid w:val="1E4A2AD6"/>
    <w:rsid w:val="1E4AF2E2"/>
    <w:rsid w:val="1E4B9BC7"/>
    <w:rsid w:val="1E51D007"/>
    <w:rsid w:val="1E56F769"/>
    <w:rsid w:val="1E59D41F"/>
    <w:rsid w:val="1E5B27C5"/>
    <w:rsid w:val="1E5B7351"/>
    <w:rsid w:val="1E5C94AC"/>
    <w:rsid w:val="1E5E2AAD"/>
    <w:rsid w:val="1E614287"/>
    <w:rsid w:val="1E624B35"/>
    <w:rsid w:val="1E683A69"/>
    <w:rsid w:val="1E689C94"/>
    <w:rsid w:val="1E6B689B"/>
    <w:rsid w:val="1E72F8C5"/>
    <w:rsid w:val="1E736FAE"/>
    <w:rsid w:val="1E73AC4E"/>
    <w:rsid w:val="1E74C36D"/>
    <w:rsid w:val="1E7898F4"/>
    <w:rsid w:val="1E794F22"/>
    <w:rsid w:val="1E79CDBA"/>
    <w:rsid w:val="1E7D9FB2"/>
    <w:rsid w:val="1E7E3220"/>
    <w:rsid w:val="1E84F0E1"/>
    <w:rsid w:val="1E862B77"/>
    <w:rsid w:val="1E8A5605"/>
    <w:rsid w:val="1E8B017B"/>
    <w:rsid w:val="1E8B22FB"/>
    <w:rsid w:val="1E95D83C"/>
    <w:rsid w:val="1E9B1ADF"/>
    <w:rsid w:val="1E9F19AD"/>
    <w:rsid w:val="1EA0920C"/>
    <w:rsid w:val="1EA1D02A"/>
    <w:rsid w:val="1EA86859"/>
    <w:rsid w:val="1EA90EC7"/>
    <w:rsid w:val="1EB4B8CF"/>
    <w:rsid w:val="1EB66328"/>
    <w:rsid w:val="1EB9C830"/>
    <w:rsid w:val="1EB9D511"/>
    <w:rsid w:val="1EBBE8E5"/>
    <w:rsid w:val="1EBD5513"/>
    <w:rsid w:val="1EC016A2"/>
    <w:rsid w:val="1EC35D86"/>
    <w:rsid w:val="1EC44AD6"/>
    <w:rsid w:val="1EC4B6BD"/>
    <w:rsid w:val="1EC73175"/>
    <w:rsid w:val="1EC77AFD"/>
    <w:rsid w:val="1EC8644E"/>
    <w:rsid w:val="1EC8AB1D"/>
    <w:rsid w:val="1EC9F9EE"/>
    <w:rsid w:val="1ECBDCCD"/>
    <w:rsid w:val="1ECE2205"/>
    <w:rsid w:val="1ED9BF93"/>
    <w:rsid w:val="1EDD0A4B"/>
    <w:rsid w:val="1EE30794"/>
    <w:rsid w:val="1EE6FABA"/>
    <w:rsid w:val="1EE7554D"/>
    <w:rsid w:val="1EE955ED"/>
    <w:rsid w:val="1EEF1F22"/>
    <w:rsid w:val="1EF0097B"/>
    <w:rsid w:val="1EF5AC11"/>
    <w:rsid w:val="1EF99703"/>
    <w:rsid w:val="1EFB6462"/>
    <w:rsid w:val="1EFC20E6"/>
    <w:rsid w:val="1EFD285D"/>
    <w:rsid w:val="1F075A81"/>
    <w:rsid w:val="1F0850DC"/>
    <w:rsid w:val="1F09B1CD"/>
    <w:rsid w:val="1F0A0A40"/>
    <w:rsid w:val="1F0A1E60"/>
    <w:rsid w:val="1F0CE33D"/>
    <w:rsid w:val="1F0E749D"/>
    <w:rsid w:val="1F1039C2"/>
    <w:rsid w:val="1F111E4A"/>
    <w:rsid w:val="1F12A083"/>
    <w:rsid w:val="1F16774B"/>
    <w:rsid w:val="1F1B19FD"/>
    <w:rsid w:val="1F2023EC"/>
    <w:rsid w:val="1F23CCC1"/>
    <w:rsid w:val="1F2411F3"/>
    <w:rsid w:val="1F2EE8B4"/>
    <w:rsid w:val="1F2F61A3"/>
    <w:rsid w:val="1F307D63"/>
    <w:rsid w:val="1F327495"/>
    <w:rsid w:val="1F392180"/>
    <w:rsid w:val="1F3FE5CF"/>
    <w:rsid w:val="1F41D6A2"/>
    <w:rsid w:val="1F43CD87"/>
    <w:rsid w:val="1F4EFEED"/>
    <w:rsid w:val="1F4F0554"/>
    <w:rsid w:val="1F4F5286"/>
    <w:rsid w:val="1F4FB3DC"/>
    <w:rsid w:val="1F504510"/>
    <w:rsid w:val="1F52D869"/>
    <w:rsid w:val="1F5545AA"/>
    <w:rsid w:val="1F5BC958"/>
    <w:rsid w:val="1F5DB388"/>
    <w:rsid w:val="1F5EA1FD"/>
    <w:rsid w:val="1F61BC7D"/>
    <w:rsid w:val="1F65DB91"/>
    <w:rsid w:val="1F66B5C6"/>
    <w:rsid w:val="1F684182"/>
    <w:rsid w:val="1F6F02CA"/>
    <w:rsid w:val="1F6FBFB5"/>
    <w:rsid w:val="1F704695"/>
    <w:rsid w:val="1F718B7F"/>
    <w:rsid w:val="1F78DCE6"/>
    <w:rsid w:val="1F81F5E4"/>
    <w:rsid w:val="1F8ADD80"/>
    <w:rsid w:val="1F8B15E1"/>
    <w:rsid w:val="1F8C2C9D"/>
    <w:rsid w:val="1F90D680"/>
    <w:rsid w:val="1F92E8D9"/>
    <w:rsid w:val="1F94FD7F"/>
    <w:rsid w:val="1F983FA3"/>
    <w:rsid w:val="1F985C41"/>
    <w:rsid w:val="1F99C1E4"/>
    <w:rsid w:val="1F9A85CE"/>
    <w:rsid w:val="1F9F73DF"/>
    <w:rsid w:val="1FA4F012"/>
    <w:rsid w:val="1FAB2373"/>
    <w:rsid w:val="1FABD19C"/>
    <w:rsid w:val="1FAD5BEE"/>
    <w:rsid w:val="1FAF5EA9"/>
    <w:rsid w:val="1FB0A8CD"/>
    <w:rsid w:val="1FB3DC06"/>
    <w:rsid w:val="1FB50A13"/>
    <w:rsid w:val="1FB8433D"/>
    <w:rsid w:val="1FB8B301"/>
    <w:rsid w:val="1FBAC2A0"/>
    <w:rsid w:val="1FC24EA8"/>
    <w:rsid w:val="1FC7EF8F"/>
    <w:rsid w:val="1FC8A92C"/>
    <w:rsid w:val="1FCB4519"/>
    <w:rsid w:val="1FD22809"/>
    <w:rsid w:val="1FD572BD"/>
    <w:rsid w:val="1FD913D5"/>
    <w:rsid w:val="1FD9278A"/>
    <w:rsid w:val="1FDBDAB2"/>
    <w:rsid w:val="1FDF9EC6"/>
    <w:rsid w:val="1FE2DC7A"/>
    <w:rsid w:val="1FECDFD6"/>
    <w:rsid w:val="1FEDFA59"/>
    <w:rsid w:val="1FF66E9A"/>
    <w:rsid w:val="1FF9A169"/>
    <w:rsid w:val="1FF9A580"/>
    <w:rsid w:val="1FFB46CE"/>
    <w:rsid w:val="1FFCDE55"/>
    <w:rsid w:val="1FFFC25A"/>
    <w:rsid w:val="2001E778"/>
    <w:rsid w:val="20042659"/>
    <w:rsid w:val="20049497"/>
    <w:rsid w:val="2012C7BE"/>
    <w:rsid w:val="20173647"/>
    <w:rsid w:val="201A8A62"/>
    <w:rsid w:val="201C2E05"/>
    <w:rsid w:val="201D2F96"/>
    <w:rsid w:val="2025E487"/>
    <w:rsid w:val="2026C942"/>
    <w:rsid w:val="202808DB"/>
    <w:rsid w:val="2028CE3D"/>
    <w:rsid w:val="202F2DD1"/>
    <w:rsid w:val="2031CB9D"/>
    <w:rsid w:val="2033F12C"/>
    <w:rsid w:val="2035F4B4"/>
    <w:rsid w:val="2039ECBB"/>
    <w:rsid w:val="203E7B05"/>
    <w:rsid w:val="203F37D3"/>
    <w:rsid w:val="2042093F"/>
    <w:rsid w:val="204B3EF9"/>
    <w:rsid w:val="204E6F15"/>
    <w:rsid w:val="204E946B"/>
    <w:rsid w:val="204F489F"/>
    <w:rsid w:val="20519F78"/>
    <w:rsid w:val="20534EB0"/>
    <w:rsid w:val="20539234"/>
    <w:rsid w:val="2055100F"/>
    <w:rsid w:val="2057E0CB"/>
    <w:rsid w:val="205DA32D"/>
    <w:rsid w:val="205DCA80"/>
    <w:rsid w:val="205FF1F2"/>
    <w:rsid w:val="206285A8"/>
    <w:rsid w:val="20636ECD"/>
    <w:rsid w:val="206CB7B2"/>
    <w:rsid w:val="20701586"/>
    <w:rsid w:val="2072C6E1"/>
    <w:rsid w:val="207593BA"/>
    <w:rsid w:val="207906C6"/>
    <w:rsid w:val="207D7075"/>
    <w:rsid w:val="2085F2F5"/>
    <w:rsid w:val="20861111"/>
    <w:rsid w:val="2087806B"/>
    <w:rsid w:val="208E1C08"/>
    <w:rsid w:val="208E541A"/>
    <w:rsid w:val="208F1E20"/>
    <w:rsid w:val="208FBAD8"/>
    <w:rsid w:val="2090748E"/>
    <w:rsid w:val="20925F2F"/>
    <w:rsid w:val="20938BC0"/>
    <w:rsid w:val="2095C9CA"/>
    <w:rsid w:val="20990DCB"/>
    <w:rsid w:val="209A7C9D"/>
    <w:rsid w:val="209C06E8"/>
    <w:rsid w:val="209E0452"/>
    <w:rsid w:val="20A0CB86"/>
    <w:rsid w:val="20A1448D"/>
    <w:rsid w:val="20ADA51F"/>
    <w:rsid w:val="20AE313C"/>
    <w:rsid w:val="20B61A03"/>
    <w:rsid w:val="20BD08B0"/>
    <w:rsid w:val="20C6FEB7"/>
    <w:rsid w:val="20CDBEFD"/>
    <w:rsid w:val="20CE49E7"/>
    <w:rsid w:val="20CED13E"/>
    <w:rsid w:val="20D4A80E"/>
    <w:rsid w:val="20D863B7"/>
    <w:rsid w:val="20DF7E5E"/>
    <w:rsid w:val="20E3E683"/>
    <w:rsid w:val="20E94E37"/>
    <w:rsid w:val="20EEB18D"/>
    <w:rsid w:val="20EFE97F"/>
    <w:rsid w:val="20F3B81B"/>
    <w:rsid w:val="20F80BBD"/>
    <w:rsid w:val="20FA92F6"/>
    <w:rsid w:val="2108E573"/>
    <w:rsid w:val="211173CB"/>
    <w:rsid w:val="211287B3"/>
    <w:rsid w:val="21151087"/>
    <w:rsid w:val="211678CC"/>
    <w:rsid w:val="2116B2D1"/>
    <w:rsid w:val="2116CC56"/>
    <w:rsid w:val="21183622"/>
    <w:rsid w:val="211970E8"/>
    <w:rsid w:val="211BD270"/>
    <w:rsid w:val="2124AD51"/>
    <w:rsid w:val="21252BC3"/>
    <w:rsid w:val="2128183C"/>
    <w:rsid w:val="213A0FC2"/>
    <w:rsid w:val="214C8CD0"/>
    <w:rsid w:val="2155F6A3"/>
    <w:rsid w:val="2157CE57"/>
    <w:rsid w:val="215B3B07"/>
    <w:rsid w:val="215BDB9F"/>
    <w:rsid w:val="215D5643"/>
    <w:rsid w:val="2163DEAF"/>
    <w:rsid w:val="216B3623"/>
    <w:rsid w:val="216C212E"/>
    <w:rsid w:val="216D604F"/>
    <w:rsid w:val="21717A29"/>
    <w:rsid w:val="217C9805"/>
    <w:rsid w:val="217D4595"/>
    <w:rsid w:val="21802F16"/>
    <w:rsid w:val="21812F06"/>
    <w:rsid w:val="2183877D"/>
    <w:rsid w:val="21872779"/>
    <w:rsid w:val="21888A66"/>
    <w:rsid w:val="218A74C5"/>
    <w:rsid w:val="218CD530"/>
    <w:rsid w:val="21900D01"/>
    <w:rsid w:val="2195AD07"/>
    <w:rsid w:val="2198D38C"/>
    <w:rsid w:val="2199071C"/>
    <w:rsid w:val="21996735"/>
    <w:rsid w:val="219C7CB3"/>
    <w:rsid w:val="219DBA5E"/>
    <w:rsid w:val="21A4CC11"/>
    <w:rsid w:val="21A9FB6E"/>
    <w:rsid w:val="21AB84E3"/>
    <w:rsid w:val="21AC49BA"/>
    <w:rsid w:val="21AC66AB"/>
    <w:rsid w:val="21AEB93F"/>
    <w:rsid w:val="21AF32FE"/>
    <w:rsid w:val="21B0C94E"/>
    <w:rsid w:val="21B1409F"/>
    <w:rsid w:val="21B8C782"/>
    <w:rsid w:val="21BC209C"/>
    <w:rsid w:val="21BEF4B8"/>
    <w:rsid w:val="21C3D2B1"/>
    <w:rsid w:val="21C6466D"/>
    <w:rsid w:val="21C6A9A9"/>
    <w:rsid w:val="21CA7654"/>
    <w:rsid w:val="21CAE80A"/>
    <w:rsid w:val="21CC829E"/>
    <w:rsid w:val="21CD154A"/>
    <w:rsid w:val="21D452FA"/>
    <w:rsid w:val="21D6A5E8"/>
    <w:rsid w:val="21DC5393"/>
    <w:rsid w:val="21E01F33"/>
    <w:rsid w:val="21E37BA5"/>
    <w:rsid w:val="21E41D17"/>
    <w:rsid w:val="21E48DE3"/>
    <w:rsid w:val="21EBCEB0"/>
    <w:rsid w:val="21EFD004"/>
    <w:rsid w:val="21F39833"/>
    <w:rsid w:val="21F8962C"/>
    <w:rsid w:val="21FCCAF2"/>
    <w:rsid w:val="220285BC"/>
    <w:rsid w:val="2203E950"/>
    <w:rsid w:val="22040467"/>
    <w:rsid w:val="22043E33"/>
    <w:rsid w:val="2205C96C"/>
    <w:rsid w:val="22068063"/>
    <w:rsid w:val="2206A075"/>
    <w:rsid w:val="220D2FA5"/>
    <w:rsid w:val="220DE176"/>
    <w:rsid w:val="220EFC25"/>
    <w:rsid w:val="221071DB"/>
    <w:rsid w:val="22128C40"/>
    <w:rsid w:val="2219B1FE"/>
    <w:rsid w:val="221A5DE5"/>
    <w:rsid w:val="2221479A"/>
    <w:rsid w:val="22215F53"/>
    <w:rsid w:val="222A6DED"/>
    <w:rsid w:val="222AB922"/>
    <w:rsid w:val="222EC257"/>
    <w:rsid w:val="223A8E24"/>
    <w:rsid w:val="223BD631"/>
    <w:rsid w:val="223C3531"/>
    <w:rsid w:val="223EFA7A"/>
    <w:rsid w:val="22426AEF"/>
    <w:rsid w:val="2248B76E"/>
    <w:rsid w:val="224BC0C7"/>
    <w:rsid w:val="224F7021"/>
    <w:rsid w:val="2255DF10"/>
    <w:rsid w:val="22568D91"/>
    <w:rsid w:val="225BC776"/>
    <w:rsid w:val="225E8112"/>
    <w:rsid w:val="225F61EE"/>
    <w:rsid w:val="225FA74F"/>
    <w:rsid w:val="225FD37B"/>
    <w:rsid w:val="22659DCC"/>
    <w:rsid w:val="2267ED7C"/>
    <w:rsid w:val="2269BFA1"/>
    <w:rsid w:val="226E340E"/>
    <w:rsid w:val="227D1475"/>
    <w:rsid w:val="227E415D"/>
    <w:rsid w:val="227FAF85"/>
    <w:rsid w:val="2284148B"/>
    <w:rsid w:val="228742EC"/>
    <w:rsid w:val="228C876E"/>
    <w:rsid w:val="229612BF"/>
    <w:rsid w:val="229F7C86"/>
    <w:rsid w:val="22A47A48"/>
    <w:rsid w:val="22AAD146"/>
    <w:rsid w:val="22AB5B53"/>
    <w:rsid w:val="22ABB578"/>
    <w:rsid w:val="22AFCF48"/>
    <w:rsid w:val="22B4BF25"/>
    <w:rsid w:val="22B62A6B"/>
    <w:rsid w:val="22B74C49"/>
    <w:rsid w:val="22B8B835"/>
    <w:rsid w:val="22B9F752"/>
    <w:rsid w:val="22BE6AD2"/>
    <w:rsid w:val="22C1BC95"/>
    <w:rsid w:val="22C23EB4"/>
    <w:rsid w:val="22C25C3D"/>
    <w:rsid w:val="22C4422A"/>
    <w:rsid w:val="22C62B1E"/>
    <w:rsid w:val="22C63F8D"/>
    <w:rsid w:val="22C90BFC"/>
    <w:rsid w:val="22CC9768"/>
    <w:rsid w:val="22CE4C47"/>
    <w:rsid w:val="22CFB117"/>
    <w:rsid w:val="22D170A1"/>
    <w:rsid w:val="22D182CA"/>
    <w:rsid w:val="22D6BDC9"/>
    <w:rsid w:val="22DC9A1F"/>
    <w:rsid w:val="22E3CB8B"/>
    <w:rsid w:val="22EA5BC6"/>
    <w:rsid w:val="22F145E7"/>
    <w:rsid w:val="22F7B75B"/>
    <w:rsid w:val="23002E5A"/>
    <w:rsid w:val="23009301"/>
    <w:rsid w:val="2300E919"/>
    <w:rsid w:val="23011C43"/>
    <w:rsid w:val="2304A228"/>
    <w:rsid w:val="23056E73"/>
    <w:rsid w:val="230663FE"/>
    <w:rsid w:val="230FBF59"/>
    <w:rsid w:val="231582F8"/>
    <w:rsid w:val="23166A22"/>
    <w:rsid w:val="2317499B"/>
    <w:rsid w:val="231B1ECF"/>
    <w:rsid w:val="231DD48B"/>
    <w:rsid w:val="231E992E"/>
    <w:rsid w:val="231EA765"/>
    <w:rsid w:val="231F8B33"/>
    <w:rsid w:val="23211001"/>
    <w:rsid w:val="23226BAD"/>
    <w:rsid w:val="232EC614"/>
    <w:rsid w:val="233054FE"/>
    <w:rsid w:val="2330C33C"/>
    <w:rsid w:val="2336F9A0"/>
    <w:rsid w:val="23378A12"/>
    <w:rsid w:val="2337EF23"/>
    <w:rsid w:val="233FCF9C"/>
    <w:rsid w:val="234479EE"/>
    <w:rsid w:val="2345F2C8"/>
    <w:rsid w:val="2346C1B6"/>
    <w:rsid w:val="23484F30"/>
    <w:rsid w:val="2349ADC3"/>
    <w:rsid w:val="234C1D71"/>
    <w:rsid w:val="23528564"/>
    <w:rsid w:val="235D8549"/>
    <w:rsid w:val="235F3516"/>
    <w:rsid w:val="235F5C22"/>
    <w:rsid w:val="2360CD8D"/>
    <w:rsid w:val="2363D667"/>
    <w:rsid w:val="2363FF13"/>
    <w:rsid w:val="23662DD7"/>
    <w:rsid w:val="236AA2DF"/>
    <w:rsid w:val="236E2707"/>
    <w:rsid w:val="2374BFE7"/>
    <w:rsid w:val="23765488"/>
    <w:rsid w:val="237A2B86"/>
    <w:rsid w:val="237F19B9"/>
    <w:rsid w:val="237FE03F"/>
    <w:rsid w:val="238309F6"/>
    <w:rsid w:val="2388C84D"/>
    <w:rsid w:val="238A2DB2"/>
    <w:rsid w:val="238CF75A"/>
    <w:rsid w:val="238D1E8B"/>
    <w:rsid w:val="238ED586"/>
    <w:rsid w:val="238FC793"/>
    <w:rsid w:val="2394F272"/>
    <w:rsid w:val="23954567"/>
    <w:rsid w:val="2398BECF"/>
    <w:rsid w:val="239ACA88"/>
    <w:rsid w:val="239C30BA"/>
    <w:rsid w:val="239CD36F"/>
    <w:rsid w:val="239D00A2"/>
    <w:rsid w:val="239DCD01"/>
    <w:rsid w:val="23A61ED7"/>
    <w:rsid w:val="23AEAEC1"/>
    <w:rsid w:val="23AEE453"/>
    <w:rsid w:val="23B0594F"/>
    <w:rsid w:val="23B6EA97"/>
    <w:rsid w:val="23B7227D"/>
    <w:rsid w:val="23BF8375"/>
    <w:rsid w:val="23C01364"/>
    <w:rsid w:val="23C19814"/>
    <w:rsid w:val="23C5A44F"/>
    <w:rsid w:val="23C7C802"/>
    <w:rsid w:val="23C9750C"/>
    <w:rsid w:val="23CBA1A7"/>
    <w:rsid w:val="23D19DC1"/>
    <w:rsid w:val="23DD89D6"/>
    <w:rsid w:val="23E3627C"/>
    <w:rsid w:val="23E3EB9E"/>
    <w:rsid w:val="23E926B2"/>
    <w:rsid w:val="23EE41C5"/>
    <w:rsid w:val="23F6F575"/>
    <w:rsid w:val="23FE1D16"/>
    <w:rsid w:val="24005CFC"/>
    <w:rsid w:val="2400E962"/>
    <w:rsid w:val="24018879"/>
    <w:rsid w:val="2404C6DD"/>
    <w:rsid w:val="2407A077"/>
    <w:rsid w:val="240A399B"/>
    <w:rsid w:val="240BB94A"/>
    <w:rsid w:val="240D101B"/>
    <w:rsid w:val="240FE282"/>
    <w:rsid w:val="2411BDA2"/>
    <w:rsid w:val="2423325E"/>
    <w:rsid w:val="242CFF71"/>
    <w:rsid w:val="243941F3"/>
    <w:rsid w:val="243B0D47"/>
    <w:rsid w:val="243B5AF3"/>
    <w:rsid w:val="243FBE4A"/>
    <w:rsid w:val="24422D75"/>
    <w:rsid w:val="24423E50"/>
    <w:rsid w:val="24479EF0"/>
    <w:rsid w:val="2447CB3B"/>
    <w:rsid w:val="2449A501"/>
    <w:rsid w:val="244B1F1C"/>
    <w:rsid w:val="244EDFA2"/>
    <w:rsid w:val="244F39D7"/>
    <w:rsid w:val="244FC9BC"/>
    <w:rsid w:val="244FDABA"/>
    <w:rsid w:val="245112B6"/>
    <w:rsid w:val="2451C2E9"/>
    <w:rsid w:val="245676CF"/>
    <w:rsid w:val="2456DD97"/>
    <w:rsid w:val="245A366E"/>
    <w:rsid w:val="245DE5A1"/>
    <w:rsid w:val="24608AD5"/>
    <w:rsid w:val="24622868"/>
    <w:rsid w:val="2465829A"/>
    <w:rsid w:val="2467296F"/>
    <w:rsid w:val="246B48F8"/>
    <w:rsid w:val="24736C89"/>
    <w:rsid w:val="24747169"/>
    <w:rsid w:val="24791CA7"/>
    <w:rsid w:val="247D031A"/>
    <w:rsid w:val="24800AE0"/>
    <w:rsid w:val="2482E654"/>
    <w:rsid w:val="2485334C"/>
    <w:rsid w:val="2485897B"/>
    <w:rsid w:val="24885E3A"/>
    <w:rsid w:val="2488769D"/>
    <w:rsid w:val="2488B7DF"/>
    <w:rsid w:val="248BFC25"/>
    <w:rsid w:val="248C25B9"/>
    <w:rsid w:val="248D03FE"/>
    <w:rsid w:val="248D22F3"/>
    <w:rsid w:val="248DACF8"/>
    <w:rsid w:val="2491F1B9"/>
    <w:rsid w:val="24A0DD19"/>
    <w:rsid w:val="24A11B35"/>
    <w:rsid w:val="24A23B22"/>
    <w:rsid w:val="24A297BC"/>
    <w:rsid w:val="24A4CF1A"/>
    <w:rsid w:val="24A6FC1E"/>
    <w:rsid w:val="24A9BC8B"/>
    <w:rsid w:val="24ACA894"/>
    <w:rsid w:val="24B16A5E"/>
    <w:rsid w:val="24B41051"/>
    <w:rsid w:val="24B60B61"/>
    <w:rsid w:val="24B7B701"/>
    <w:rsid w:val="24B7C9B9"/>
    <w:rsid w:val="24BCD949"/>
    <w:rsid w:val="24C4DA42"/>
    <w:rsid w:val="24C99301"/>
    <w:rsid w:val="24CA9437"/>
    <w:rsid w:val="24CC1BE1"/>
    <w:rsid w:val="24CF196D"/>
    <w:rsid w:val="24D4A159"/>
    <w:rsid w:val="24D50494"/>
    <w:rsid w:val="24DACE76"/>
    <w:rsid w:val="24DB411B"/>
    <w:rsid w:val="24E0A455"/>
    <w:rsid w:val="24E110A5"/>
    <w:rsid w:val="24E1CA5C"/>
    <w:rsid w:val="24E1CDC9"/>
    <w:rsid w:val="24E4D890"/>
    <w:rsid w:val="24E9FEBE"/>
    <w:rsid w:val="24EAE3E2"/>
    <w:rsid w:val="24EC1D96"/>
    <w:rsid w:val="24F54905"/>
    <w:rsid w:val="24FB94C9"/>
    <w:rsid w:val="24FD20E4"/>
    <w:rsid w:val="24FD7FA3"/>
    <w:rsid w:val="24FE9893"/>
    <w:rsid w:val="2507CB36"/>
    <w:rsid w:val="250B4A38"/>
    <w:rsid w:val="250CB855"/>
    <w:rsid w:val="2510456E"/>
    <w:rsid w:val="2511313A"/>
    <w:rsid w:val="2512293A"/>
    <w:rsid w:val="251328FE"/>
    <w:rsid w:val="25145DC4"/>
    <w:rsid w:val="2514A0C7"/>
    <w:rsid w:val="2515E986"/>
    <w:rsid w:val="251669E1"/>
    <w:rsid w:val="2519FC56"/>
    <w:rsid w:val="25200ED3"/>
    <w:rsid w:val="25224EA0"/>
    <w:rsid w:val="25233AAC"/>
    <w:rsid w:val="252BC670"/>
    <w:rsid w:val="252CA429"/>
    <w:rsid w:val="252D646E"/>
    <w:rsid w:val="252FCA34"/>
    <w:rsid w:val="25316D79"/>
    <w:rsid w:val="25326AE7"/>
    <w:rsid w:val="25335F8A"/>
    <w:rsid w:val="2534573E"/>
    <w:rsid w:val="253DD244"/>
    <w:rsid w:val="253F86F3"/>
    <w:rsid w:val="25431DAC"/>
    <w:rsid w:val="254546F7"/>
    <w:rsid w:val="25466E10"/>
    <w:rsid w:val="2546A4A4"/>
    <w:rsid w:val="254A1898"/>
    <w:rsid w:val="255060DE"/>
    <w:rsid w:val="2554CEB5"/>
    <w:rsid w:val="25586C85"/>
    <w:rsid w:val="255EC843"/>
    <w:rsid w:val="255ED43C"/>
    <w:rsid w:val="2560FED7"/>
    <w:rsid w:val="25634802"/>
    <w:rsid w:val="25645AE9"/>
    <w:rsid w:val="256900C0"/>
    <w:rsid w:val="256C0621"/>
    <w:rsid w:val="256CBDFB"/>
    <w:rsid w:val="257079ED"/>
    <w:rsid w:val="257AD077"/>
    <w:rsid w:val="257F54CB"/>
    <w:rsid w:val="257F8E77"/>
    <w:rsid w:val="25817949"/>
    <w:rsid w:val="25836CE1"/>
    <w:rsid w:val="258FC357"/>
    <w:rsid w:val="25921078"/>
    <w:rsid w:val="2595FCCF"/>
    <w:rsid w:val="259704F9"/>
    <w:rsid w:val="25971AAB"/>
    <w:rsid w:val="259A6FAD"/>
    <w:rsid w:val="25A32984"/>
    <w:rsid w:val="25A560D3"/>
    <w:rsid w:val="25A56E67"/>
    <w:rsid w:val="25A858CB"/>
    <w:rsid w:val="25A9509E"/>
    <w:rsid w:val="25ACA6D1"/>
    <w:rsid w:val="25AD88F7"/>
    <w:rsid w:val="25B093FF"/>
    <w:rsid w:val="25B5E21F"/>
    <w:rsid w:val="25B74A7D"/>
    <w:rsid w:val="25B83AA7"/>
    <w:rsid w:val="25BDB719"/>
    <w:rsid w:val="25BE75D2"/>
    <w:rsid w:val="25C60BFB"/>
    <w:rsid w:val="25CEAE6C"/>
    <w:rsid w:val="25D1932B"/>
    <w:rsid w:val="25D1DAD3"/>
    <w:rsid w:val="25D34FF9"/>
    <w:rsid w:val="25D371D7"/>
    <w:rsid w:val="25D38FB8"/>
    <w:rsid w:val="25D53C94"/>
    <w:rsid w:val="25D85019"/>
    <w:rsid w:val="25DF7D92"/>
    <w:rsid w:val="25E13B7D"/>
    <w:rsid w:val="25E14631"/>
    <w:rsid w:val="25E1945D"/>
    <w:rsid w:val="25EBA745"/>
    <w:rsid w:val="25F0E16A"/>
    <w:rsid w:val="25F51D41"/>
    <w:rsid w:val="25F5B29E"/>
    <w:rsid w:val="25F5E68F"/>
    <w:rsid w:val="25F6B780"/>
    <w:rsid w:val="25F99841"/>
    <w:rsid w:val="25FA7A16"/>
    <w:rsid w:val="25FB675E"/>
    <w:rsid w:val="25FCA197"/>
    <w:rsid w:val="260031C6"/>
    <w:rsid w:val="2600C452"/>
    <w:rsid w:val="2601B898"/>
    <w:rsid w:val="2605FE9A"/>
    <w:rsid w:val="26071762"/>
    <w:rsid w:val="260CBC2D"/>
    <w:rsid w:val="261126F3"/>
    <w:rsid w:val="26119401"/>
    <w:rsid w:val="26125330"/>
    <w:rsid w:val="2619679F"/>
    <w:rsid w:val="261A077D"/>
    <w:rsid w:val="2626F937"/>
    <w:rsid w:val="26293199"/>
    <w:rsid w:val="262BFDB7"/>
    <w:rsid w:val="262E13A7"/>
    <w:rsid w:val="262EAE84"/>
    <w:rsid w:val="2635B00A"/>
    <w:rsid w:val="2635CE8D"/>
    <w:rsid w:val="2637CD16"/>
    <w:rsid w:val="263E23F3"/>
    <w:rsid w:val="26417761"/>
    <w:rsid w:val="26490E99"/>
    <w:rsid w:val="264B5773"/>
    <w:rsid w:val="264B8A3F"/>
    <w:rsid w:val="264ECD1E"/>
    <w:rsid w:val="264EDA79"/>
    <w:rsid w:val="26533541"/>
    <w:rsid w:val="2653A5B0"/>
    <w:rsid w:val="26574E95"/>
    <w:rsid w:val="2659843F"/>
    <w:rsid w:val="265DBC10"/>
    <w:rsid w:val="2661449B"/>
    <w:rsid w:val="2664443C"/>
    <w:rsid w:val="266513E0"/>
    <w:rsid w:val="2665998A"/>
    <w:rsid w:val="266756CB"/>
    <w:rsid w:val="26701BA8"/>
    <w:rsid w:val="2671EB57"/>
    <w:rsid w:val="2671EF5C"/>
    <w:rsid w:val="26734C4E"/>
    <w:rsid w:val="26792203"/>
    <w:rsid w:val="267D7759"/>
    <w:rsid w:val="267DC316"/>
    <w:rsid w:val="267EDA0D"/>
    <w:rsid w:val="26863855"/>
    <w:rsid w:val="268801D5"/>
    <w:rsid w:val="26899780"/>
    <w:rsid w:val="268EEF56"/>
    <w:rsid w:val="26960AC6"/>
    <w:rsid w:val="2697657B"/>
    <w:rsid w:val="269A085A"/>
    <w:rsid w:val="26A1CCBD"/>
    <w:rsid w:val="26A9659C"/>
    <w:rsid w:val="26A9B423"/>
    <w:rsid w:val="26A9E047"/>
    <w:rsid w:val="26ACD7A7"/>
    <w:rsid w:val="26AD44E2"/>
    <w:rsid w:val="26ADB7B3"/>
    <w:rsid w:val="26B10577"/>
    <w:rsid w:val="26B751DC"/>
    <w:rsid w:val="26B9A06C"/>
    <w:rsid w:val="26B9FF05"/>
    <w:rsid w:val="26BBAFFB"/>
    <w:rsid w:val="26BC42DD"/>
    <w:rsid w:val="26BDA9B4"/>
    <w:rsid w:val="26C05031"/>
    <w:rsid w:val="26C0C0F9"/>
    <w:rsid w:val="26C119D9"/>
    <w:rsid w:val="26C327D7"/>
    <w:rsid w:val="26C97FE7"/>
    <w:rsid w:val="26CCF35D"/>
    <w:rsid w:val="26CFFCB1"/>
    <w:rsid w:val="26D52BF3"/>
    <w:rsid w:val="26D6D307"/>
    <w:rsid w:val="26D86C90"/>
    <w:rsid w:val="26DA2792"/>
    <w:rsid w:val="26DAB270"/>
    <w:rsid w:val="26DAED1F"/>
    <w:rsid w:val="26DB1E7C"/>
    <w:rsid w:val="26E0F107"/>
    <w:rsid w:val="26E267D6"/>
    <w:rsid w:val="26E42DE8"/>
    <w:rsid w:val="26E45136"/>
    <w:rsid w:val="26E53F21"/>
    <w:rsid w:val="26EB907E"/>
    <w:rsid w:val="26EBDDF3"/>
    <w:rsid w:val="26ED4577"/>
    <w:rsid w:val="26EEF801"/>
    <w:rsid w:val="26F24F14"/>
    <w:rsid w:val="26F7E535"/>
    <w:rsid w:val="26FD9AC4"/>
    <w:rsid w:val="2700FEAE"/>
    <w:rsid w:val="2702102C"/>
    <w:rsid w:val="2704B8A0"/>
    <w:rsid w:val="2709B582"/>
    <w:rsid w:val="270AE242"/>
    <w:rsid w:val="270CE907"/>
    <w:rsid w:val="27185DFD"/>
    <w:rsid w:val="271C966B"/>
    <w:rsid w:val="271D6E01"/>
    <w:rsid w:val="271DAF73"/>
    <w:rsid w:val="27263241"/>
    <w:rsid w:val="272998EF"/>
    <w:rsid w:val="272E3E9A"/>
    <w:rsid w:val="27306BF1"/>
    <w:rsid w:val="2732A551"/>
    <w:rsid w:val="273556E0"/>
    <w:rsid w:val="273612B3"/>
    <w:rsid w:val="273788BA"/>
    <w:rsid w:val="27380854"/>
    <w:rsid w:val="27388E03"/>
    <w:rsid w:val="273D6D2B"/>
    <w:rsid w:val="2741F185"/>
    <w:rsid w:val="274243AB"/>
    <w:rsid w:val="27438117"/>
    <w:rsid w:val="2744B8B1"/>
    <w:rsid w:val="2746B2D9"/>
    <w:rsid w:val="274C02AF"/>
    <w:rsid w:val="274E5398"/>
    <w:rsid w:val="2750989A"/>
    <w:rsid w:val="275B44E6"/>
    <w:rsid w:val="27640C50"/>
    <w:rsid w:val="27648098"/>
    <w:rsid w:val="2764A929"/>
    <w:rsid w:val="276808A6"/>
    <w:rsid w:val="276A86A1"/>
    <w:rsid w:val="2771E952"/>
    <w:rsid w:val="27742B84"/>
    <w:rsid w:val="27767CA9"/>
    <w:rsid w:val="277B0C6D"/>
    <w:rsid w:val="2786509D"/>
    <w:rsid w:val="27888563"/>
    <w:rsid w:val="278ACE02"/>
    <w:rsid w:val="2791E343"/>
    <w:rsid w:val="27964176"/>
    <w:rsid w:val="27975317"/>
    <w:rsid w:val="27992CF4"/>
    <w:rsid w:val="279A8469"/>
    <w:rsid w:val="279D65FC"/>
    <w:rsid w:val="279EB848"/>
    <w:rsid w:val="27A75E99"/>
    <w:rsid w:val="27ADAFD3"/>
    <w:rsid w:val="27AE62D6"/>
    <w:rsid w:val="27AF31FA"/>
    <w:rsid w:val="27B02FE7"/>
    <w:rsid w:val="27B6549A"/>
    <w:rsid w:val="27B6AC76"/>
    <w:rsid w:val="27B7A7C9"/>
    <w:rsid w:val="27B89DA9"/>
    <w:rsid w:val="27BDC79C"/>
    <w:rsid w:val="27BE8B03"/>
    <w:rsid w:val="27C20A68"/>
    <w:rsid w:val="27C27225"/>
    <w:rsid w:val="27C3170E"/>
    <w:rsid w:val="27CA0660"/>
    <w:rsid w:val="27CCFBB8"/>
    <w:rsid w:val="27CE3B8F"/>
    <w:rsid w:val="27CE6312"/>
    <w:rsid w:val="27CF92BB"/>
    <w:rsid w:val="27D13C00"/>
    <w:rsid w:val="27D4C573"/>
    <w:rsid w:val="27DD42AA"/>
    <w:rsid w:val="27DDF432"/>
    <w:rsid w:val="27DF06FD"/>
    <w:rsid w:val="27E60B00"/>
    <w:rsid w:val="27E76173"/>
    <w:rsid w:val="27E88B92"/>
    <w:rsid w:val="27E8BAD3"/>
    <w:rsid w:val="27ED5631"/>
    <w:rsid w:val="27ED671A"/>
    <w:rsid w:val="27F11200"/>
    <w:rsid w:val="27FAF64D"/>
    <w:rsid w:val="27FB63DC"/>
    <w:rsid w:val="27FE4E8C"/>
    <w:rsid w:val="2800B1B1"/>
    <w:rsid w:val="2803E24F"/>
    <w:rsid w:val="280D7F84"/>
    <w:rsid w:val="280DE447"/>
    <w:rsid w:val="28103667"/>
    <w:rsid w:val="28127267"/>
    <w:rsid w:val="281B9B1D"/>
    <w:rsid w:val="281FB031"/>
    <w:rsid w:val="2820A09F"/>
    <w:rsid w:val="28219F80"/>
    <w:rsid w:val="282352E4"/>
    <w:rsid w:val="28257EAD"/>
    <w:rsid w:val="282BF0CB"/>
    <w:rsid w:val="2831E989"/>
    <w:rsid w:val="28384FF9"/>
    <w:rsid w:val="283CA3DC"/>
    <w:rsid w:val="283E804B"/>
    <w:rsid w:val="2842168B"/>
    <w:rsid w:val="28447144"/>
    <w:rsid w:val="284B1F84"/>
    <w:rsid w:val="284D0F49"/>
    <w:rsid w:val="284D7192"/>
    <w:rsid w:val="284FC099"/>
    <w:rsid w:val="2851C053"/>
    <w:rsid w:val="28534700"/>
    <w:rsid w:val="2855857A"/>
    <w:rsid w:val="28558EAC"/>
    <w:rsid w:val="28567087"/>
    <w:rsid w:val="285F485D"/>
    <w:rsid w:val="2864661A"/>
    <w:rsid w:val="28674DF2"/>
    <w:rsid w:val="2867E44A"/>
    <w:rsid w:val="286B68AF"/>
    <w:rsid w:val="286DFC85"/>
    <w:rsid w:val="2879E577"/>
    <w:rsid w:val="287C6ACA"/>
    <w:rsid w:val="28866A67"/>
    <w:rsid w:val="28871DCA"/>
    <w:rsid w:val="28880E3F"/>
    <w:rsid w:val="288EDDE5"/>
    <w:rsid w:val="2892C466"/>
    <w:rsid w:val="28962999"/>
    <w:rsid w:val="2897DC9E"/>
    <w:rsid w:val="28999414"/>
    <w:rsid w:val="289B9024"/>
    <w:rsid w:val="289BB29A"/>
    <w:rsid w:val="289C39F6"/>
    <w:rsid w:val="289FCBD5"/>
    <w:rsid w:val="28B19318"/>
    <w:rsid w:val="28B53923"/>
    <w:rsid w:val="28BA2FD5"/>
    <w:rsid w:val="28C26A2C"/>
    <w:rsid w:val="28C69196"/>
    <w:rsid w:val="28C70081"/>
    <w:rsid w:val="28C7AE9B"/>
    <w:rsid w:val="28C87E28"/>
    <w:rsid w:val="28CDC011"/>
    <w:rsid w:val="28D64115"/>
    <w:rsid w:val="28D6C731"/>
    <w:rsid w:val="28D898BD"/>
    <w:rsid w:val="28DCE335"/>
    <w:rsid w:val="28E10E67"/>
    <w:rsid w:val="28E4ED10"/>
    <w:rsid w:val="28E6BABF"/>
    <w:rsid w:val="28E8E4EA"/>
    <w:rsid w:val="28EE8379"/>
    <w:rsid w:val="28EF3011"/>
    <w:rsid w:val="28F5CDE4"/>
    <w:rsid w:val="28F6519F"/>
    <w:rsid w:val="28F8BACC"/>
    <w:rsid w:val="28FD868E"/>
    <w:rsid w:val="28FE22B3"/>
    <w:rsid w:val="2902FF6A"/>
    <w:rsid w:val="29039D5D"/>
    <w:rsid w:val="29057DD5"/>
    <w:rsid w:val="290696CF"/>
    <w:rsid w:val="29095258"/>
    <w:rsid w:val="290A5995"/>
    <w:rsid w:val="290B499A"/>
    <w:rsid w:val="290EEAAD"/>
    <w:rsid w:val="2912C577"/>
    <w:rsid w:val="29130C62"/>
    <w:rsid w:val="29136916"/>
    <w:rsid w:val="29144929"/>
    <w:rsid w:val="291FAF4C"/>
    <w:rsid w:val="2924FB3E"/>
    <w:rsid w:val="29260925"/>
    <w:rsid w:val="29276F14"/>
    <w:rsid w:val="292A9C10"/>
    <w:rsid w:val="292ACC18"/>
    <w:rsid w:val="292CC855"/>
    <w:rsid w:val="2937CEF1"/>
    <w:rsid w:val="29394777"/>
    <w:rsid w:val="293B0A97"/>
    <w:rsid w:val="293DE9F6"/>
    <w:rsid w:val="2944ADC7"/>
    <w:rsid w:val="294CE4C4"/>
    <w:rsid w:val="2951A68E"/>
    <w:rsid w:val="2952117B"/>
    <w:rsid w:val="29560493"/>
    <w:rsid w:val="29569AFF"/>
    <w:rsid w:val="29578419"/>
    <w:rsid w:val="295835BC"/>
    <w:rsid w:val="2958A562"/>
    <w:rsid w:val="295A5B64"/>
    <w:rsid w:val="296226F3"/>
    <w:rsid w:val="296FD8B3"/>
    <w:rsid w:val="2970F5CA"/>
    <w:rsid w:val="2972BE34"/>
    <w:rsid w:val="2974A3CA"/>
    <w:rsid w:val="2974EB45"/>
    <w:rsid w:val="29788D45"/>
    <w:rsid w:val="2978CF24"/>
    <w:rsid w:val="297ACBA2"/>
    <w:rsid w:val="297E5029"/>
    <w:rsid w:val="298135D8"/>
    <w:rsid w:val="29817C3A"/>
    <w:rsid w:val="298328FA"/>
    <w:rsid w:val="2985C42C"/>
    <w:rsid w:val="29885D77"/>
    <w:rsid w:val="29895324"/>
    <w:rsid w:val="298D0979"/>
    <w:rsid w:val="298E65C8"/>
    <w:rsid w:val="2992DEB3"/>
    <w:rsid w:val="29932D32"/>
    <w:rsid w:val="29951AD5"/>
    <w:rsid w:val="299D329E"/>
    <w:rsid w:val="299E6F6D"/>
    <w:rsid w:val="299F84C8"/>
    <w:rsid w:val="29A1150B"/>
    <w:rsid w:val="29A44F3D"/>
    <w:rsid w:val="29A49D1F"/>
    <w:rsid w:val="29A4F8F7"/>
    <w:rsid w:val="29A72C9F"/>
    <w:rsid w:val="29A7EF79"/>
    <w:rsid w:val="29ABE675"/>
    <w:rsid w:val="29B553EF"/>
    <w:rsid w:val="29B599D4"/>
    <w:rsid w:val="29BC3BF2"/>
    <w:rsid w:val="29C15449"/>
    <w:rsid w:val="29C2DF1D"/>
    <w:rsid w:val="29C2EE5B"/>
    <w:rsid w:val="29C77202"/>
    <w:rsid w:val="29C90E32"/>
    <w:rsid w:val="29CC8FFA"/>
    <w:rsid w:val="29D56316"/>
    <w:rsid w:val="29D7AAFE"/>
    <w:rsid w:val="29D7B910"/>
    <w:rsid w:val="29DAF6AC"/>
    <w:rsid w:val="29DFD416"/>
    <w:rsid w:val="29E004D7"/>
    <w:rsid w:val="29EACDF7"/>
    <w:rsid w:val="29EF0DEE"/>
    <w:rsid w:val="29F2C02F"/>
    <w:rsid w:val="29F37232"/>
    <w:rsid w:val="29F6C1C2"/>
    <w:rsid w:val="29FA101A"/>
    <w:rsid w:val="2A000A9D"/>
    <w:rsid w:val="2A00EF0A"/>
    <w:rsid w:val="2A01AED5"/>
    <w:rsid w:val="2A0237D8"/>
    <w:rsid w:val="2A03FF23"/>
    <w:rsid w:val="2A04E811"/>
    <w:rsid w:val="2A06D1C7"/>
    <w:rsid w:val="2A0F334B"/>
    <w:rsid w:val="2A0F93B2"/>
    <w:rsid w:val="2A110338"/>
    <w:rsid w:val="2A113383"/>
    <w:rsid w:val="2A13DB73"/>
    <w:rsid w:val="2A14DDE0"/>
    <w:rsid w:val="2A154DE7"/>
    <w:rsid w:val="2A17D473"/>
    <w:rsid w:val="2A21C4FA"/>
    <w:rsid w:val="2A24F192"/>
    <w:rsid w:val="2A2982C3"/>
    <w:rsid w:val="2A2C79B0"/>
    <w:rsid w:val="2A2CF5FE"/>
    <w:rsid w:val="2A2DB0B0"/>
    <w:rsid w:val="2A315879"/>
    <w:rsid w:val="2A352C7B"/>
    <w:rsid w:val="2A4B389B"/>
    <w:rsid w:val="2A4E7E6E"/>
    <w:rsid w:val="2A556AD4"/>
    <w:rsid w:val="2A577DA7"/>
    <w:rsid w:val="2A58C11B"/>
    <w:rsid w:val="2A5D4F97"/>
    <w:rsid w:val="2A608BB6"/>
    <w:rsid w:val="2A69691B"/>
    <w:rsid w:val="2A6BAC87"/>
    <w:rsid w:val="2A6BAF77"/>
    <w:rsid w:val="2A6C228C"/>
    <w:rsid w:val="2A6CF8D7"/>
    <w:rsid w:val="2A73425F"/>
    <w:rsid w:val="2A758512"/>
    <w:rsid w:val="2A76506E"/>
    <w:rsid w:val="2A7E0A72"/>
    <w:rsid w:val="2A7E5C5C"/>
    <w:rsid w:val="2A7FC24C"/>
    <w:rsid w:val="2A825700"/>
    <w:rsid w:val="2A8351FC"/>
    <w:rsid w:val="2A898B09"/>
    <w:rsid w:val="2A8D6D03"/>
    <w:rsid w:val="2A9155B5"/>
    <w:rsid w:val="2A96E69B"/>
    <w:rsid w:val="2A9B12D0"/>
    <w:rsid w:val="2AA077CE"/>
    <w:rsid w:val="2AA13843"/>
    <w:rsid w:val="2AA49DB6"/>
    <w:rsid w:val="2AA762E5"/>
    <w:rsid w:val="2AB07BBE"/>
    <w:rsid w:val="2AB2E333"/>
    <w:rsid w:val="2AB2EEB5"/>
    <w:rsid w:val="2AB37828"/>
    <w:rsid w:val="2AB5E32B"/>
    <w:rsid w:val="2AB71406"/>
    <w:rsid w:val="2ABFE7F6"/>
    <w:rsid w:val="2ABFEEE3"/>
    <w:rsid w:val="2AC571BA"/>
    <w:rsid w:val="2AC5A11B"/>
    <w:rsid w:val="2AC62117"/>
    <w:rsid w:val="2ACF4786"/>
    <w:rsid w:val="2AD0F626"/>
    <w:rsid w:val="2AD1457E"/>
    <w:rsid w:val="2ADB3644"/>
    <w:rsid w:val="2ADC02FF"/>
    <w:rsid w:val="2AE1BA8B"/>
    <w:rsid w:val="2AE4CFE8"/>
    <w:rsid w:val="2AE81AEC"/>
    <w:rsid w:val="2AEBBE21"/>
    <w:rsid w:val="2AF217CC"/>
    <w:rsid w:val="2AF4C155"/>
    <w:rsid w:val="2AF5B989"/>
    <w:rsid w:val="2AFD5E56"/>
    <w:rsid w:val="2B0324EA"/>
    <w:rsid w:val="2B06A9CC"/>
    <w:rsid w:val="2B06D6EB"/>
    <w:rsid w:val="2B08AD76"/>
    <w:rsid w:val="2B0F5FB4"/>
    <w:rsid w:val="2B117EA9"/>
    <w:rsid w:val="2B11ADFE"/>
    <w:rsid w:val="2B12F41F"/>
    <w:rsid w:val="2B1949F0"/>
    <w:rsid w:val="2B1CAAC1"/>
    <w:rsid w:val="2B1E5ED7"/>
    <w:rsid w:val="2B1F7B8A"/>
    <w:rsid w:val="2B1FCEEC"/>
    <w:rsid w:val="2B231C24"/>
    <w:rsid w:val="2B2594BC"/>
    <w:rsid w:val="2B25B42A"/>
    <w:rsid w:val="2B26838E"/>
    <w:rsid w:val="2B273966"/>
    <w:rsid w:val="2B2916ED"/>
    <w:rsid w:val="2B2A1823"/>
    <w:rsid w:val="2B32ED83"/>
    <w:rsid w:val="2B34C95D"/>
    <w:rsid w:val="2B35CEB8"/>
    <w:rsid w:val="2B3732F7"/>
    <w:rsid w:val="2B37C795"/>
    <w:rsid w:val="2B37D289"/>
    <w:rsid w:val="2B38F3E4"/>
    <w:rsid w:val="2B3E754D"/>
    <w:rsid w:val="2B429280"/>
    <w:rsid w:val="2B443873"/>
    <w:rsid w:val="2B44CF3B"/>
    <w:rsid w:val="2B47F1E2"/>
    <w:rsid w:val="2B4A14ED"/>
    <w:rsid w:val="2B4BED19"/>
    <w:rsid w:val="2B50BF3C"/>
    <w:rsid w:val="2B51843D"/>
    <w:rsid w:val="2B55C29E"/>
    <w:rsid w:val="2B587535"/>
    <w:rsid w:val="2B5D24AA"/>
    <w:rsid w:val="2B65DE1F"/>
    <w:rsid w:val="2B697BE9"/>
    <w:rsid w:val="2B6EE3B2"/>
    <w:rsid w:val="2B713377"/>
    <w:rsid w:val="2B716A09"/>
    <w:rsid w:val="2B7208F7"/>
    <w:rsid w:val="2B7391F4"/>
    <w:rsid w:val="2B754231"/>
    <w:rsid w:val="2B762947"/>
    <w:rsid w:val="2B77CA8C"/>
    <w:rsid w:val="2B78820B"/>
    <w:rsid w:val="2B84EDA1"/>
    <w:rsid w:val="2B8BA404"/>
    <w:rsid w:val="2B8CA829"/>
    <w:rsid w:val="2B8D058F"/>
    <w:rsid w:val="2B8DE98C"/>
    <w:rsid w:val="2B94F3A3"/>
    <w:rsid w:val="2B95F755"/>
    <w:rsid w:val="2BA27054"/>
    <w:rsid w:val="2BAA17AF"/>
    <w:rsid w:val="2BAEF55F"/>
    <w:rsid w:val="2BB26BF8"/>
    <w:rsid w:val="2BB33C88"/>
    <w:rsid w:val="2BB6D8A7"/>
    <w:rsid w:val="2BBD5745"/>
    <w:rsid w:val="2BC765DC"/>
    <w:rsid w:val="2BCB2FF1"/>
    <w:rsid w:val="2BD1850A"/>
    <w:rsid w:val="2BD5CC87"/>
    <w:rsid w:val="2BD7AAAB"/>
    <w:rsid w:val="2BE29A8F"/>
    <w:rsid w:val="2BE7C9C7"/>
    <w:rsid w:val="2BEA5686"/>
    <w:rsid w:val="2BEC44FF"/>
    <w:rsid w:val="2BECA110"/>
    <w:rsid w:val="2BEE539E"/>
    <w:rsid w:val="2BF525B7"/>
    <w:rsid w:val="2BF79097"/>
    <w:rsid w:val="2BF9C6C7"/>
    <w:rsid w:val="2BFD50D6"/>
    <w:rsid w:val="2C0167CE"/>
    <w:rsid w:val="2C067D0D"/>
    <w:rsid w:val="2C07CD1E"/>
    <w:rsid w:val="2C09BD92"/>
    <w:rsid w:val="2C0BF10A"/>
    <w:rsid w:val="2C0C171F"/>
    <w:rsid w:val="2C0DB2F6"/>
    <w:rsid w:val="2C11D134"/>
    <w:rsid w:val="2C239644"/>
    <w:rsid w:val="2C2876F5"/>
    <w:rsid w:val="2C293F25"/>
    <w:rsid w:val="2C2A354C"/>
    <w:rsid w:val="2C3128A0"/>
    <w:rsid w:val="2C318B8D"/>
    <w:rsid w:val="2C32CDE6"/>
    <w:rsid w:val="2C33BEA4"/>
    <w:rsid w:val="2C342C16"/>
    <w:rsid w:val="2C396D80"/>
    <w:rsid w:val="2C3A7D0B"/>
    <w:rsid w:val="2C3F7EC2"/>
    <w:rsid w:val="2C3F8651"/>
    <w:rsid w:val="2C402019"/>
    <w:rsid w:val="2C409CA1"/>
    <w:rsid w:val="2C41AFF1"/>
    <w:rsid w:val="2C47776B"/>
    <w:rsid w:val="2C47D25A"/>
    <w:rsid w:val="2C4D2DCC"/>
    <w:rsid w:val="2C4EF5DA"/>
    <w:rsid w:val="2C51519F"/>
    <w:rsid w:val="2C51ED92"/>
    <w:rsid w:val="2C558374"/>
    <w:rsid w:val="2C55C79E"/>
    <w:rsid w:val="2C56BE19"/>
    <w:rsid w:val="2C5B12B3"/>
    <w:rsid w:val="2C5DC673"/>
    <w:rsid w:val="2C5E2906"/>
    <w:rsid w:val="2C619A96"/>
    <w:rsid w:val="2C698E8C"/>
    <w:rsid w:val="2C71741E"/>
    <w:rsid w:val="2C73814D"/>
    <w:rsid w:val="2C798EBE"/>
    <w:rsid w:val="2C7F1B1A"/>
    <w:rsid w:val="2C80ABB5"/>
    <w:rsid w:val="2C837570"/>
    <w:rsid w:val="2C880509"/>
    <w:rsid w:val="2C88CC66"/>
    <w:rsid w:val="2C8B1626"/>
    <w:rsid w:val="2C8B7D63"/>
    <w:rsid w:val="2C8D9D40"/>
    <w:rsid w:val="2C8E281D"/>
    <w:rsid w:val="2C8EEF9C"/>
    <w:rsid w:val="2C8FF3A1"/>
    <w:rsid w:val="2C98E8C7"/>
    <w:rsid w:val="2C9CFDBE"/>
    <w:rsid w:val="2CA22D12"/>
    <w:rsid w:val="2CB21561"/>
    <w:rsid w:val="2CB7D925"/>
    <w:rsid w:val="2CB82275"/>
    <w:rsid w:val="2CB9832A"/>
    <w:rsid w:val="2CBCC271"/>
    <w:rsid w:val="2CCA3BE8"/>
    <w:rsid w:val="2CD006D9"/>
    <w:rsid w:val="2CD086CE"/>
    <w:rsid w:val="2CD13425"/>
    <w:rsid w:val="2CD1B0CB"/>
    <w:rsid w:val="2CD1C038"/>
    <w:rsid w:val="2CD2C232"/>
    <w:rsid w:val="2CD2DE69"/>
    <w:rsid w:val="2CD56D13"/>
    <w:rsid w:val="2CD673CC"/>
    <w:rsid w:val="2CD934FF"/>
    <w:rsid w:val="2CDA9C5F"/>
    <w:rsid w:val="2CE55EB2"/>
    <w:rsid w:val="2CE75C15"/>
    <w:rsid w:val="2CEB74BD"/>
    <w:rsid w:val="2CEF61E5"/>
    <w:rsid w:val="2CF03816"/>
    <w:rsid w:val="2CF131E1"/>
    <w:rsid w:val="2CF6A6C5"/>
    <w:rsid w:val="2CF8D03E"/>
    <w:rsid w:val="2CF925A8"/>
    <w:rsid w:val="2CF984F2"/>
    <w:rsid w:val="2CFA00DA"/>
    <w:rsid w:val="2CFB315C"/>
    <w:rsid w:val="2D01A7B5"/>
    <w:rsid w:val="2D04E5BC"/>
    <w:rsid w:val="2D08FAA8"/>
    <w:rsid w:val="2D0C57A5"/>
    <w:rsid w:val="2D0EADD2"/>
    <w:rsid w:val="2D0F64B5"/>
    <w:rsid w:val="2D1CB540"/>
    <w:rsid w:val="2D1D7015"/>
    <w:rsid w:val="2D1D7E3A"/>
    <w:rsid w:val="2D1DEF91"/>
    <w:rsid w:val="2D2203C3"/>
    <w:rsid w:val="2D269010"/>
    <w:rsid w:val="2D2B4943"/>
    <w:rsid w:val="2D2B84F3"/>
    <w:rsid w:val="2D2BEB26"/>
    <w:rsid w:val="2D2E8157"/>
    <w:rsid w:val="2D316AF2"/>
    <w:rsid w:val="2D3546EE"/>
    <w:rsid w:val="2D376436"/>
    <w:rsid w:val="2D39230B"/>
    <w:rsid w:val="2D39DE7C"/>
    <w:rsid w:val="2D3C74C3"/>
    <w:rsid w:val="2D3E18D6"/>
    <w:rsid w:val="2D44D55F"/>
    <w:rsid w:val="2D466FFD"/>
    <w:rsid w:val="2D46DDDE"/>
    <w:rsid w:val="2D48A790"/>
    <w:rsid w:val="2D4990E1"/>
    <w:rsid w:val="2D5B5633"/>
    <w:rsid w:val="2D5BBE03"/>
    <w:rsid w:val="2D5C3F67"/>
    <w:rsid w:val="2D656F13"/>
    <w:rsid w:val="2D6918D0"/>
    <w:rsid w:val="2D6BEF22"/>
    <w:rsid w:val="2D721173"/>
    <w:rsid w:val="2D7684D0"/>
    <w:rsid w:val="2D78F706"/>
    <w:rsid w:val="2D7BB058"/>
    <w:rsid w:val="2D7E8757"/>
    <w:rsid w:val="2D80EF91"/>
    <w:rsid w:val="2D820FC2"/>
    <w:rsid w:val="2D8B04CD"/>
    <w:rsid w:val="2D8BB750"/>
    <w:rsid w:val="2D8C396C"/>
    <w:rsid w:val="2D8D2726"/>
    <w:rsid w:val="2D8DA1C8"/>
    <w:rsid w:val="2D90AC64"/>
    <w:rsid w:val="2D975633"/>
    <w:rsid w:val="2D989594"/>
    <w:rsid w:val="2D99316B"/>
    <w:rsid w:val="2D9D3062"/>
    <w:rsid w:val="2DA3E662"/>
    <w:rsid w:val="2DA8ECF2"/>
    <w:rsid w:val="2DA9B629"/>
    <w:rsid w:val="2DA9F5C3"/>
    <w:rsid w:val="2DAAB5D2"/>
    <w:rsid w:val="2DADF130"/>
    <w:rsid w:val="2DAF2C23"/>
    <w:rsid w:val="2DB19B6A"/>
    <w:rsid w:val="2DB7C4C6"/>
    <w:rsid w:val="2DBCA6A4"/>
    <w:rsid w:val="2DBD52C2"/>
    <w:rsid w:val="2DBFCECF"/>
    <w:rsid w:val="2DC2621C"/>
    <w:rsid w:val="2DC52738"/>
    <w:rsid w:val="2DCC1985"/>
    <w:rsid w:val="2DD6FF81"/>
    <w:rsid w:val="2DD7B19E"/>
    <w:rsid w:val="2DDB5311"/>
    <w:rsid w:val="2DDB7F42"/>
    <w:rsid w:val="2DDFA9F3"/>
    <w:rsid w:val="2DE1C2AA"/>
    <w:rsid w:val="2DEC22A1"/>
    <w:rsid w:val="2DEC4767"/>
    <w:rsid w:val="2DF44591"/>
    <w:rsid w:val="2DF6F0C1"/>
    <w:rsid w:val="2DFCF4EB"/>
    <w:rsid w:val="2DFE48AD"/>
    <w:rsid w:val="2E0143F8"/>
    <w:rsid w:val="2E01DFFA"/>
    <w:rsid w:val="2E021836"/>
    <w:rsid w:val="2E069808"/>
    <w:rsid w:val="2E07811F"/>
    <w:rsid w:val="2E078967"/>
    <w:rsid w:val="2E09108C"/>
    <w:rsid w:val="2E0F9BF7"/>
    <w:rsid w:val="2E1210B3"/>
    <w:rsid w:val="2E12F839"/>
    <w:rsid w:val="2E14F172"/>
    <w:rsid w:val="2E1B90CA"/>
    <w:rsid w:val="2E1EF5DE"/>
    <w:rsid w:val="2E1F628E"/>
    <w:rsid w:val="2E1FD66E"/>
    <w:rsid w:val="2E24680A"/>
    <w:rsid w:val="2E275B97"/>
    <w:rsid w:val="2E2ABE43"/>
    <w:rsid w:val="2E2D3164"/>
    <w:rsid w:val="2E2D5F0C"/>
    <w:rsid w:val="2E2EE7F4"/>
    <w:rsid w:val="2E317BD9"/>
    <w:rsid w:val="2E38C3FA"/>
    <w:rsid w:val="2E3E6C68"/>
    <w:rsid w:val="2E3FEE58"/>
    <w:rsid w:val="2E42E9D0"/>
    <w:rsid w:val="2E474485"/>
    <w:rsid w:val="2E483DC0"/>
    <w:rsid w:val="2E4B7155"/>
    <w:rsid w:val="2E4BBBE8"/>
    <w:rsid w:val="2E4D8B41"/>
    <w:rsid w:val="2E512E93"/>
    <w:rsid w:val="2E5366FF"/>
    <w:rsid w:val="2E54054B"/>
    <w:rsid w:val="2E584E20"/>
    <w:rsid w:val="2E59F220"/>
    <w:rsid w:val="2E5C5B88"/>
    <w:rsid w:val="2E5D78A2"/>
    <w:rsid w:val="2E64CB3A"/>
    <w:rsid w:val="2E6D3718"/>
    <w:rsid w:val="2E790E76"/>
    <w:rsid w:val="2E7CBC35"/>
    <w:rsid w:val="2E7F34C7"/>
    <w:rsid w:val="2E8012B7"/>
    <w:rsid w:val="2E85A233"/>
    <w:rsid w:val="2E85B807"/>
    <w:rsid w:val="2E9029EE"/>
    <w:rsid w:val="2E937C90"/>
    <w:rsid w:val="2E9613D9"/>
    <w:rsid w:val="2E98B065"/>
    <w:rsid w:val="2E9B2F5F"/>
    <w:rsid w:val="2E9B9FF4"/>
    <w:rsid w:val="2E9CCC8A"/>
    <w:rsid w:val="2E9EF795"/>
    <w:rsid w:val="2EA11CAB"/>
    <w:rsid w:val="2EA5E8BB"/>
    <w:rsid w:val="2EA790CA"/>
    <w:rsid w:val="2EA83EA3"/>
    <w:rsid w:val="2EA85E23"/>
    <w:rsid w:val="2EAC016D"/>
    <w:rsid w:val="2EB2324B"/>
    <w:rsid w:val="2EB4B499"/>
    <w:rsid w:val="2EB64751"/>
    <w:rsid w:val="2EB773C3"/>
    <w:rsid w:val="2EB78286"/>
    <w:rsid w:val="2EBC5D9C"/>
    <w:rsid w:val="2EBEFAD0"/>
    <w:rsid w:val="2EC0238D"/>
    <w:rsid w:val="2EC1DBEF"/>
    <w:rsid w:val="2EC52C9D"/>
    <w:rsid w:val="2EC7DF74"/>
    <w:rsid w:val="2ECDF3DD"/>
    <w:rsid w:val="2ED14816"/>
    <w:rsid w:val="2ED4060A"/>
    <w:rsid w:val="2EDD0129"/>
    <w:rsid w:val="2EDFA8AC"/>
    <w:rsid w:val="2EE15B33"/>
    <w:rsid w:val="2EE40ABB"/>
    <w:rsid w:val="2EEC9933"/>
    <w:rsid w:val="2EEDDCDC"/>
    <w:rsid w:val="2EEE5B62"/>
    <w:rsid w:val="2EEE8CCF"/>
    <w:rsid w:val="2EF5BC03"/>
    <w:rsid w:val="2EFC51D4"/>
    <w:rsid w:val="2F009846"/>
    <w:rsid w:val="2F02B336"/>
    <w:rsid w:val="2F0703D7"/>
    <w:rsid w:val="2F105E15"/>
    <w:rsid w:val="2F151602"/>
    <w:rsid w:val="2F17BACE"/>
    <w:rsid w:val="2F1B45B7"/>
    <w:rsid w:val="2F215E3C"/>
    <w:rsid w:val="2F2247D3"/>
    <w:rsid w:val="2F249F37"/>
    <w:rsid w:val="2F26943F"/>
    <w:rsid w:val="2F2DBDEE"/>
    <w:rsid w:val="2F32F0E2"/>
    <w:rsid w:val="2F35FA15"/>
    <w:rsid w:val="2F36403A"/>
    <w:rsid w:val="2F365444"/>
    <w:rsid w:val="2F39D28A"/>
    <w:rsid w:val="2F3AD59A"/>
    <w:rsid w:val="2F3BD22E"/>
    <w:rsid w:val="2F4182C1"/>
    <w:rsid w:val="2F4528E1"/>
    <w:rsid w:val="2F45BE55"/>
    <w:rsid w:val="2F47A109"/>
    <w:rsid w:val="2F4A1F66"/>
    <w:rsid w:val="2F4BFADA"/>
    <w:rsid w:val="2F521434"/>
    <w:rsid w:val="2F56B049"/>
    <w:rsid w:val="2F581ABD"/>
    <w:rsid w:val="2F5CF1DB"/>
    <w:rsid w:val="2F5E9F7B"/>
    <w:rsid w:val="2F61AC73"/>
    <w:rsid w:val="2F6DEA3D"/>
    <w:rsid w:val="2F7776E1"/>
    <w:rsid w:val="2F7AFFDB"/>
    <w:rsid w:val="2F812FD7"/>
    <w:rsid w:val="2F814CFD"/>
    <w:rsid w:val="2F878E0A"/>
    <w:rsid w:val="2F89D8D5"/>
    <w:rsid w:val="2F8D83D7"/>
    <w:rsid w:val="2F911D37"/>
    <w:rsid w:val="2F955E75"/>
    <w:rsid w:val="2F97D6A1"/>
    <w:rsid w:val="2F97DBC8"/>
    <w:rsid w:val="2F9A4B5A"/>
    <w:rsid w:val="2F9B435C"/>
    <w:rsid w:val="2F9DECC7"/>
    <w:rsid w:val="2FA43E14"/>
    <w:rsid w:val="2FA4EC4E"/>
    <w:rsid w:val="2FAE2D7E"/>
    <w:rsid w:val="2FAF3325"/>
    <w:rsid w:val="2FAF8BC4"/>
    <w:rsid w:val="2FAFEB60"/>
    <w:rsid w:val="2FB03C54"/>
    <w:rsid w:val="2FB1D989"/>
    <w:rsid w:val="2FB6D924"/>
    <w:rsid w:val="2FB97472"/>
    <w:rsid w:val="2FBAB84E"/>
    <w:rsid w:val="2FBEA357"/>
    <w:rsid w:val="2FC6FDDE"/>
    <w:rsid w:val="2FCFD7BF"/>
    <w:rsid w:val="2FCFF25E"/>
    <w:rsid w:val="2FD13DB1"/>
    <w:rsid w:val="2FD74BEA"/>
    <w:rsid w:val="2FDA4A1B"/>
    <w:rsid w:val="2FDAA648"/>
    <w:rsid w:val="2FDE0438"/>
    <w:rsid w:val="2FDFB3A4"/>
    <w:rsid w:val="2FDFD063"/>
    <w:rsid w:val="2FE627B2"/>
    <w:rsid w:val="2FE69CF5"/>
    <w:rsid w:val="2FE72CD2"/>
    <w:rsid w:val="2FEA5962"/>
    <w:rsid w:val="2FED5E11"/>
    <w:rsid w:val="2FEE209B"/>
    <w:rsid w:val="2FEF9AAA"/>
    <w:rsid w:val="2FF05FB1"/>
    <w:rsid w:val="2FF2A619"/>
    <w:rsid w:val="2FF2B8FA"/>
    <w:rsid w:val="2FF33CAA"/>
    <w:rsid w:val="2FF55C6E"/>
    <w:rsid w:val="2FF83AE5"/>
    <w:rsid w:val="2FFBC820"/>
    <w:rsid w:val="2FFDE419"/>
    <w:rsid w:val="2FFE0B89"/>
    <w:rsid w:val="30007338"/>
    <w:rsid w:val="3001CF92"/>
    <w:rsid w:val="3005A224"/>
    <w:rsid w:val="3006D4A4"/>
    <w:rsid w:val="300A585D"/>
    <w:rsid w:val="300C12C2"/>
    <w:rsid w:val="300D952D"/>
    <w:rsid w:val="30158284"/>
    <w:rsid w:val="3019C712"/>
    <w:rsid w:val="301B7839"/>
    <w:rsid w:val="301D69BA"/>
    <w:rsid w:val="301F04A4"/>
    <w:rsid w:val="302036D5"/>
    <w:rsid w:val="3025E9A7"/>
    <w:rsid w:val="3025EA57"/>
    <w:rsid w:val="30266AA9"/>
    <w:rsid w:val="30267ECB"/>
    <w:rsid w:val="302B6925"/>
    <w:rsid w:val="3034003E"/>
    <w:rsid w:val="30354BD6"/>
    <w:rsid w:val="303F6035"/>
    <w:rsid w:val="3046F809"/>
    <w:rsid w:val="304AB55A"/>
    <w:rsid w:val="30510F45"/>
    <w:rsid w:val="3052E9DA"/>
    <w:rsid w:val="3057277C"/>
    <w:rsid w:val="305EB2A2"/>
    <w:rsid w:val="3060573B"/>
    <w:rsid w:val="30632970"/>
    <w:rsid w:val="3063C660"/>
    <w:rsid w:val="306A04BF"/>
    <w:rsid w:val="306A6B28"/>
    <w:rsid w:val="306CF28E"/>
    <w:rsid w:val="307313E1"/>
    <w:rsid w:val="307AD10A"/>
    <w:rsid w:val="307AEF8D"/>
    <w:rsid w:val="307B98F3"/>
    <w:rsid w:val="307D472E"/>
    <w:rsid w:val="307DE9E3"/>
    <w:rsid w:val="307E1796"/>
    <w:rsid w:val="307EA25D"/>
    <w:rsid w:val="3081801D"/>
    <w:rsid w:val="3089188D"/>
    <w:rsid w:val="3089EEC9"/>
    <w:rsid w:val="308B380D"/>
    <w:rsid w:val="30930245"/>
    <w:rsid w:val="309723D3"/>
    <w:rsid w:val="30994242"/>
    <w:rsid w:val="309B5EC7"/>
    <w:rsid w:val="309E0C9F"/>
    <w:rsid w:val="309F74DB"/>
    <w:rsid w:val="30A3986B"/>
    <w:rsid w:val="30A4133D"/>
    <w:rsid w:val="30A90529"/>
    <w:rsid w:val="30B0372B"/>
    <w:rsid w:val="30B06E2C"/>
    <w:rsid w:val="30B7B649"/>
    <w:rsid w:val="30B8F47B"/>
    <w:rsid w:val="30BAF6E1"/>
    <w:rsid w:val="30BDCE6A"/>
    <w:rsid w:val="30C19A47"/>
    <w:rsid w:val="30C68012"/>
    <w:rsid w:val="30C71D39"/>
    <w:rsid w:val="30C79EC9"/>
    <w:rsid w:val="30CE8367"/>
    <w:rsid w:val="30D0DCF6"/>
    <w:rsid w:val="30D1A4C5"/>
    <w:rsid w:val="30DBA13C"/>
    <w:rsid w:val="30DDAD77"/>
    <w:rsid w:val="30DED091"/>
    <w:rsid w:val="30E01E98"/>
    <w:rsid w:val="30E06AFF"/>
    <w:rsid w:val="30E1B5D5"/>
    <w:rsid w:val="30E2405A"/>
    <w:rsid w:val="30EB6771"/>
    <w:rsid w:val="30EC7241"/>
    <w:rsid w:val="30ECA714"/>
    <w:rsid w:val="30FAEB8C"/>
    <w:rsid w:val="30FB2DB1"/>
    <w:rsid w:val="30FFA544"/>
    <w:rsid w:val="30FFB3D7"/>
    <w:rsid w:val="31005766"/>
    <w:rsid w:val="3104AFC9"/>
    <w:rsid w:val="3104D02E"/>
    <w:rsid w:val="3106C218"/>
    <w:rsid w:val="310876A3"/>
    <w:rsid w:val="310B7086"/>
    <w:rsid w:val="310E0D1A"/>
    <w:rsid w:val="31176874"/>
    <w:rsid w:val="311E8CDA"/>
    <w:rsid w:val="3122C986"/>
    <w:rsid w:val="31232BBE"/>
    <w:rsid w:val="312CD1E8"/>
    <w:rsid w:val="312E7166"/>
    <w:rsid w:val="312F8463"/>
    <w:rsid w:val="31322871"/>
    <w:rsid w:val="31350E31"/>
    <w:rsid w:val="31387565"/>
    <w:rsid w:val="313D7DC7"/>
    <w:rsid w:val="3140B13E"/>
    <w:rsid w:val="3145BE6B"/>
    <w:rsid w:val="31482AE7"/>
    <w:rsid w:val="3149EF2C"/>
    <w:rsid w:val="314C0A9A"/>
    <w:rsid w:val="31546DED"/>
    <w:rsid w:val="315767DD"/>
    <w:rsid w:val="31589FD1"/>
    <w:rsid w:val="315CB2B4"/>
    <w:rsid w:val="315D0B39"/>
    <w:rsid w:val="315DB398"/>
    <w:rsid w:val="315DFFE6"/>
    <w:rsid w:val="31625CC3"/>
    <w:rsid w:val="31643EF8"/>
    <w:rsid w:val="31688233"/>
    <w:rsid w:val="316CB354"/>
    <w:rsid w:val="316E0B9E"/>
    <w:rsid w:val="316EFE45"/>
    <w:rsid w:val="316F97E3"/>
    <w:rsid w:val="3171D4C0"/>
    <w:rsid w:val="317332D8"/>
    <w:rsid w:val="31773CEC"/>
    <w:rsid w:val="31784751"/>
    <w:rsid w:val="318035DE"/>
    <w:rsid w:val="31828AF5"/>
    <w:rsid w:val="31838C8B"/>
    <w:rsid w:val="31873447"/>
    <w:rsid w:val="318B6EDA"/>
    <w:rsid w:val="318FE35A"/>
    <w:rsid w:val="3193C747"/>
    <w:rsid w:val="3196A752"/>
    <w:rsid w:val="3196ACEC"/>
    <w:rsid w:val="319B98C1"/>
    <w:rsid w:val="319C5C09"/>
    <w:rsid w:val="319E2321"/>
    <w:rsid w:val="319FCEDD"/>
    <w:rsid w:val="31A29A77"/>
    <w:rsid w:val="31A43F02"/>
    <w:rsid w:val="31ABFA3C"/>
    <w:rsid w:val="31ADA994"/>
    <w:rsid w:val="31AE3395"/>
    <w:rsid w:val="31B2A0EE"/>
    <w:rsid w:val="31C115FF"/>
    <w:rsid w:val="31C3DFD1"/>
    <w:rsid w:val="31C59CBD"/>
    <w:rsid w:val="31C9EF2C"/>
    <w:rsid w:val="31CC3A34"/>
    <w:rsid w:val="31CD8C9B"/>
    <w:rsid w:val="31D4CB85"/>
    <w:rsid w:val="31D53252"/>
    <w:rsid w:val="31D5E852"/>
    <w:rsid w:val="31D603D8"/>
    <w:rsid w:val="31D698DA"/>
    <w:rsid w:val="31D6FFCD"/>
    <w:rsid w:val="31D781A3"/>
    <w:rsid w:val="31DC272B"/>
    <w:rsid w:val="31DCFB23"/>
    <w:rsid w:val="31E0F6E7"/>
    <w:rsid w:val="31E11A54"/>
    <w:rsid w:val="31E33813"/>
    <w:rsid w:val="31E3AE19"/>
    <w:rsid w:val="31E6A2C6"/>
    <w:rsid w:val="31E70CA6"/>
    <w:rsid w:val="31E98B39"/>
    <w:rsid w:val="31EC6B86"/>
    <w:rsid w:val="31EC800A"/>
    <w:rsid w:val="31ED5A53"/>
    <w:rsid w:val="31F1DDE7"/>
    <w:rsid w:val="31F4E369"/>
    <w:rsid w:val="31FC8195"/>
    <w:rsid w:val="31FF4302"/>
    <w:rsid w:val="31FFEEC8"/>
    <w:rsid w:val="320427DE"/>
    <w:rsid w:val="3204C326"/>
    <w:rsid w:val="32057AC8"/>
    <w:rsid w:val="3206AE6A"/>
    <w:rsid w:val="320F9F88"/>
    <w:rsid w:val="32121172"/>
    <w:rsid w:val="3215E80B"/>
    <w:rsid w:val="3215F32C"/>
    <w:rsid w:val="32195EBC"/>
    <w:rsid w:val="321B5A97"/>
    <w:rsid w:val="321BD5E7"/>
    <w:rsid w:val="321D9C11"/>
    <w:rsid w:val="3221DC17"/>
    <w:rsid w:val="32236E9B"/>
    <w:rsid w:val="322DA5D1"/>
    <w:rsid w:val="322DF17F"/>
    <w:rsid w:val="322FCDBE"/>
    <w:rsid w:val="32300EC8"/>
    <w:rsid w:val="3233951C"/>
    <w:rsid w:val="3233D9DC"/>
    <w:rsid w:val="323B4D76"/>
    <w:rsid w:val="323D5A63"/>
    <w:rsid w:val="3241811A"/>
    <w:rsid w:val="32419270"/>
    <w:rsid w:val="32427DD0"/>
    <w:rsid w:val="3242B1E3"/>
    <w:rsid w:val="3243EE17"/>
    <w:rsid w:val="324B2858"/>
    <w:rsid w:val="324E2E75"/>
    <w:rsid w:val="324FCC3D"/>
    <w:rsid w:val="32507984"/>
    <w:rsid w:val="3252DA6F"/>
    <w:rsid w:val="32558267"/>
    <w:rsid w:val="3256768E"/>
    <w:rsid w:val="325F0BEF"/>
    <w:rsid w:val="3260C83D"/>
    <w:rsid w:val="32680F26"/>
    <w:rsid w:val="32696D5F"/>
    <w:rsid w:val="3269D636"/>
    <w:rsid w:val="32725A58"/>
    <w:rsid w:val="327CBED2"/>
    <w:rsid w:val="327E264C"/>
    <w:rsid w:val="327EAA96"/>
    <w:rsid w:val="327F2AC0"/>
    <w:rsid w:val="3285F286"/>
    <w:rsid w:val="3287EDFA"/>
    <w:rsid w:val="328A0C4A"/>
    <w:rsid w:val="3291005E"/>
    <w:rsid w:val="3297EE9E"/>
    <w:rsid w:val="329A6AB2"/>
    <w:rsid w:val="329FE368"/>
    <w:rsid w:val="32A3D89A"/>
    <w:rsid w:val="32A43593"/>
    <w:rsid w:val="32AC8E5F"/>
    <w:rsid w:val="32AD9897"/>
    <w:rsid w:val="32AEC7D5"/>
    <w:rsid w:val="32B15B4C"/>
    <w:rsid w:val="32B2D42F"/>
    <w:rsid w:val="32B3C533"/>
    <w:rsid w:val="32B3FAEE"/>
    <w:rsid w:val="32B68083"/>
    <w:rsid w:val="32B802BE"/>
    <w:rsid w:val="32B955A7"/>
    <w:rsid w:val="32BA0B38"/>
    <w:rsid w:val="32BBC7E2"/>
    <w:rsid w:val="32BC805C"/>
    <w:rsid w:val="32BC8B06"/>
    <w:rsid w:val="32BCB584"/>
    <w:rsid w:val="32BCE5C0"/>
    <w:rsid w:val="32BD94AF"/>
    <w:rsid w:val="32BEBF11"/>
    <w:rsid w:val="32C171F3"/>
    <w:rsid w:val="32C2989B"/>
    <w:rsid w:val="32C442F9"/>
    <w:rsid w:val="32C76448"/>
    <w:rsid w:val="32C7B6D9"/>
    <w:rsid w:val="32C8AB53"/>
    <w:rsid w:val="32CA1B6C"/>
    <w:rsid w:val="32CB3941"/>
    <w:rsid w:val="32CC6132"/>
    <w:rsid w:val="32CD4794"/>
    <w:rsid w:val="32CE5EBB"/>
    <w:rsid w:val="32D0392F"/>
    <w:rsid w:val="32D4C8EB"/>
    <w:rsid w:val="32DC8D10"/>
    <w:rsid w:val="32E49141"/>
    <w:rsid w:val="32E54852"/>
    <w:rsid w:val="32E5A649"/>
    <w:rsid w:val="32E5D6F7"/>
    <w:rsid w:val="32EBBC6A"/>
    <w:rsid w:val="32EC0B7F"/>
    <w:rsid w:val="32EDE089"/>
    <w:rsid w:val="32F11085"/>
    <w:rsid w:val="32F5B56D"/>
    <w:rsid w:val="32FEF08A"/>
    <w:rsid w:val="3303B3EC"/>
    <w:rsid w:val="33109453"/>
    <w:rsid w:val="3312BEDC"/>
    <w:rsid w:val="3317F177"/>
    <w:rsid w:val="33185D9E"/>
    <w:rsid w:val="332365EE"/>
    <w:rsid w:val="332F37EA"/>
    <w:rsid w:val="333221B9"/>
    <w:rsid w:val="3332AD0D"/>
    <w:rsid w:val="33334EC0"/>
    <w:rsid w:val="333401FC"/>
    <w:rsid w:val="333800F2"/>
    <w:rsid w:val="333BB55B"/>
    <w:rsid w:val="333E565D"/>
    <w:rsid w:val="33479A55"/>
    <w:rsid w:val="334F6558"/>
    <w:rsid w:val="33592636"/>
    <w:rsid w:val="335D118E"/>
    <w:rsid w:val="335F8EB5"/>
    <w:rsid w:val="336AF03D"/>
    <w:rsid w:val="336EF1F5"/>
    <w:rsid w:val="337242AF"/>
    <w:rsid w:val="33725774"/>
    <w:rsid w:val="3372A743"/>
    <w:rsid w:val="3373454E"/>
    <w:rsid w:val="337752FE"/>
    <w:rsid w:val="337B6BA4"/>
    <w:rsid w:val="337CADBC"/>
    <w:rsid w:val="33832DAA"/>
    <w:rsid w:val="338851AB"/>
    <w:rsid w:val="33888DAE"/>
    <w:rsid w:val="338A9ACE"/>
    <w:rsid w:val="339390E3"/>
    <w:rsid w:val="3394A3AF"/>
    <w:rsid w:val="339FB525"/>
    <w:rsid w:val="33A1D63C"/>
    <w:rsid w:val="33A20D98"/>
    <w:rsid w:val="33A5351D"/>
    <w:rsid w:val="33A66EFF"/>
    <w:rsid w:val="33A6B950"/>
    <w:rsid w:val="33A6E55A"/>
    <w:rsid w:val="33B3D8B4"/>
    <w:rsid w:val="33B62CF2"/>
    <w:rsid w:val="33B6982A"/>
    <w:rsid w:val="33BBB742"/>
    <w:rsid w:val="33BF0470"/>
    <w:rsid w:val="33C24388"/>
    <w:rsid w:val="33CA54E4"/>
    <w:rsid w:val="33CAC0E6"/>
    <w:rsid w:val="33CBF67B"/>
    <w:rsid w:val="33CC4355"/>
    <w:rsid w:val="33CC43AB"/>
    <w:rsid w:val="33D119BA"/>
    <w:rsid w:val="33D233ED"/>
    <w:rsid w:val="33E00AEC"/>
    <w:rsid w:val="33E14D50"/>
    <w:rsid w:val="33E4762F"/>
    <w:rsid w:val="33E74238"/>
    <w:rsid w:val="33EA204C"/>
    <w:rsid w:val="33EAB632"/>
    <w:rsid w:val="33F3FDBD"/>
    <w:rsid w:val="33F70682"/>
    <w:rsid w:val="33F74191"/>
    <w:rsid w:val="33F981C6"/>
    <w:rsid w:val="33FABAAD"/>
    <w:rsid w:val="33FB5C75"/>
    <w:rsid w:val="33FBEFCA"/>
    <w:rsid w:val="33FC4364"/>
    <w:rsid w:val="33FDAA55"/>
    <w:rsid w:val="34014C67"/>
    <w:rsid w:val="34027512"/>
    <w:rsid w:val="3404D6FD"/>
    <w:rsid w:val="3405EACB"/>
    <w:rsid w:val="340820D4"/>
    <w:rsid w:val="340BAB36"/>
    <w:rsid w:val="340DC192"/>
    <w:rsid w:val="340ED926"/>
    <w:rsid w:val="34150E72"/>
    <w:rsid w:val="34154629"/>
    <w:rsid w:val="34163EC1"/>
    <w:rsid w:val="3416E265"/>
    <w:rsid w:val="341839BD"/>
    <w:rsid w:val="34197560"/>
    <w:rsid w:val="341C2DD4"/>
    <w:rsid w:val="341C5883"/>
    <w:rsid w:val="341CC7D2"/>
    <w:rsid w:val="341F8236"/>
    <w:rsid w:val="342374A8"/>
    <w:rsid w:val="3426DD97"/>
    <w:rsid w:val="34298196"/>
    <w:rsid w:val="342A8778"/>
    <w:rsid w:val="342C860B"/>
    <w:rsid w:val="342CD6A0"/>
    <w:rsid w:val="342D0635"/>
    <w:rsid w:val="3433ECE4"/>
    <w:rsid w:val="3436B85B"/>
    <w:rsid w:val="3437DE03"/>
    <w:rsid w:val="34433420"/>
    <w:rsid w:val="3444516A"/>
    <w:rsid w:val="34455D06"/>
    <w:rsid w:val="3448156E"/>
    <w:rsid w:val="3449D015"/>
    <w:rsid w:val="344D7717"/>
    <w:rsid w:val="344EE6A8"/>
    <w:rsid w:val="3450B526"/>
    <w:rsid w:val="3451955E"/>
    <w:rsid w:val="3453E156"/>
    <w:rsid w:val="3455E546"/>
    <w:rsid w:val="3457D711"/>
    <w:rsid w:val="345A35F4"/>
    <w:rsid w:val="345BCB4B"/>
    <w:rsid w:val="346147A2"/>
    <w:rsid w:val="3463DCBF"/>
    <w:rsid w:val="3467B166"/>
    <w:rsid w:val="3468C535"/>
    <w:rsid w:val="346C6A3F"/>
    <w:rsid w:val="34722A29"/>
    <w:rsid w:val="3474935F"/>
    <w:rsid w:val="347593F1"/>
    <w:rsid w:val="34773274"/>
    <w:rsid w:val="347787D8"/>
    <w:rsid w:val="3477B179"/>
    <w:rsid w:val="3478B22F"/>
    <w:rsid w:val="3479665E"/>
    <w:rsid w:val="347B9168"/>
    <w:rsid w:val="347CD9CD"/>
    <w:rsid w:val="347E23DB"/>
    <w:rsid w:val="34889178"/>
    <w:rsid w:val="34892AAC"/>
    <w:rsid w:val="348B95DE"/>
    <w:rsid w:val="349104F1"/>
    <w:rsid w:val="349B1C16"/>
    <w:rsid w:val="349BE4F0"/>
    <w:rsid w:val="349C0906"/>
    <w:rsid w:val="349DA129"/>
    <w:rsid w:val="34A02777"/>
    <w:rsid w:val="34A14E41"/>
    <w:rsid w:val="34A26D23"/>
    <w:rsid w:val="34A6DB9A"/>
    <w:rsid w:val="34AECFE3"/>
    <w:rsid w:val="34B02453"/>
    <w:rsid w:val="34BC5775"/>
    <w:rsid w:val="34BF38C0"/>
    <w:rsid w:val="34BF43DE"/>
    <w:rsid w:val="34C0FDC6"/>
    <w:rsid w:val="34C3B0DA"/>
    <w:rsid w:val="34C8DC45"/>
    <w:rsid w:val="34CB1589"/>
    <w:rsid w:val="34CBB809"/>
    <w:rsid w:val="34CEBEC4"/>
    <w:rsid w:val="34CEDAB7"/>
    <w:rsid w:val="34D09593"/>
    <w:rsid w:val="34D13AC5"/>
    <w:rsid w:val="34D521B7"/>
    <w:rsid w:val="34D5A33A"/>
    <w:rsid w:val="34DF85F4"/>
    <w:rsid w:val="34E01E0D"/>
    <w:rsid w:val="34E3C627"/>
    <w:rsid w:val="34E4198E"/>
    <w:rsid w:val="34E65281"/>
    <w:rsid w:val="34EAF276"/>
    <w:rsid w:val="34EB5994"/>
    <w:rsid w:val="34EEC376"/>
    <w:rsid w:val="34EFC1D2"/>
    <w:rsid w:val="34F6E4CE"/>
    <w:rsid w:val="34FCC280"/>
    <w:rsid w:val="34FDF048"/>
    <w:rsid w:val="34FFBE24"/>
    <w:rsid w:val="35118C56"/>
    <w:rsid w:val="3519909E"/>
    <w:rsid w:val="35271C7C"/>
    <w:rsid w:val="352A7615"/>
    <w:rsid w:val="352D4ABB"/>
    <w:rsid w:val="35337D82"/>
    <w:rsid w:val="35341E72"/>
    <w:rsid w:val="353CD543"/>
    <w:rsid w:val="353DB4F4"/>
    <w:rsid w:val="353FA1DB"/>
    <w:rsid w:val="3541057E"/>
    <w:rsid w:val="35466810"/>
    <w:rsid w:val="35478F1F"/>
    <w:rsid w:val="3547BF35"/>
    <w:rsid w:val="3549CAED"/>
    <w:rsid w:val="354CE67D"/>
    <w:rsid w:val="35505EA5"/>
    <w:rsid w:val="35543AB2"/>
    <w:rsid w:val="3556B25E"/>
    <w:rsid w:val="35570D28"/>
    <w:rsid w:val="356175C6"/>
    <w:rsid w:val="3561DAE2"/>
    <w:rsid w:val="3568853B"/>
    <w:rsid w:val="3568D733"/>
    <w:rsid w:val="356BA395"/>
    <w:rsid w:val="356BC5E8"/>
    <w:rsid w:val="356C92CF"/>
    <w:rsid w:val="356D7F8B"/>
    <w:rsid w:val="356EB2A5"/>
    <w:rsid w:val="356F6A2E"/>
    <w:rsid w:val="35728623"/>
    <w:rsid w:val="35785FE6"/>
    <w:rsid w:val="357DDEC1"/>
    <w:rsid w:val="3580AF32"/>
    <w:rsid w:val="358A888A"/>
    <w:rsid w:val="358B90F9"/>
    <w:rsid w:val="358DAB77"/>
    <w:rsid w:val="358E9342"/>
    <w:rsid w:val="3597AC64"/>
    <w:rsid w:val="359849D1"/>
    <w:rsid w:val="359B071E"/>
    <w:rsid w:val="359CAF9F"/>
    <w:rsid w:val="359E56D2"/>
    <w:rsid w:val="359E910B"/>
    <w:rsid w:val="35A269D4"/>
    <w:rsid w:val="35A7695F"/>
    <w:rsid w:val="35AA4000"/>
    <w:rsid w:val="35AAF8F0"/>
    <w:rsid w:val="35ABB22E"/>
    <w:rsid w:val="35B5F5C2"/>
    <w:rsid w:val="35B68734"/>
    <w:rsid w:val="35BCD6B2"/>
    <w:rsid w:val="35BE9A2E"/>
    <w:rsid w:val="35C1161F"/>
    <w:rsid w:val="35C1E8F4"/>
    <w:rsid w:val="35C36AB3"/>
    <w:rsid w:val="35C3B8F8"/>
    <w:rsid w:val="35CD403A"/>
    <w:rsid w:val="35CF34B7"/>
    <w:rsid w:val="35D30FEE"/>
    <w:rsid w:val="35D9AF61"/>
    <w:rsid w:val="35DA7813"/>
    <w:rsid w:val="35E9D701"/>
    <w:rsid w:val="35EBF235"/>
    <w:rsid w:val="35ED0AAE"/>
    <w:rsid w:val="35EDCE30"/>
    <w:rsid w:val="35EF2092"/>
    <w:rsid w:val="35F12F19"/>
    <w:rsid w:val="35F440BD"/>
    <w:rsid w:val="35F52441"/>
    <w:rsid w:val="35F8EA48"/>
    <w:rsid w:val="35F9FEE7"/>
    <w:rsid w:val="35FD8EE2"/>
    <w:rsid w:val="360173C7"/>
    <w:rsid w:val="36038DFC"/>
    <w:rsid w:val="360500F7"/>
    <w:rsid w:val="3606664B"/>
    <w:rsid w:val="36080AC0"/>
    <w:rsid w:val="360B9BE1"/>
    <w:rsid w:val="360D12BE"/>
    <w:rsid w:val="36103CA4"/>
    <w:rsid w:val="361B2496"/>
    <w:rsid w:val="361D534E"/>
    <w:rsid w:val="3624FE32"/>
    <w:rsid w:val="36260E3F"/>
    <w:rsid w:val="362890D3"/>
    <w:rsid w:val="362A8181"/>
    <w:rsid w:val="362B42F1"/>
    <w:rsid w:val="36313060"/>
    <w:rsid w:val="36349868"/>
    <w:rsid w:val="36371034"/>
    <w:rsid w:val="36376AB9"/>
    <w:rsid w:val="3638A2D5"/>
    <w:rsid w:val="3639906F"/>
    <w:rsid w:val="363B499B"/>
    <w:rsid w:val="363C8DBE"/>
    <w:rsid w:val="363E3BF6"/>
    <w:rsid w:val="3647B501"/>
    <w:rsid w:val="364911E1"/>
    <w:rsid w:val="364FD5D9"/>
    <w:rsid w:val="3650387E"/>
    <w:rsid w:val="3650CA5C"/>
    <w:rsid w:val="3654C6A1"/>
    <w:rsid w:val="3658DF78"/>
    <w:rsid w:val="365D4DF9"/>
    <w:rsid w:val="365E6AD4"/>
    <w:rsid w:val="36614B21"/>
    <w:rsid w:val="3661C986"/>
    <w:rsid w:val="3662B551"/>
    <w:rsid w:val="366405E0"/>
    <w:rsid w:val="36658BFB"/>
    <w:rsid w:val="36672916"/>
    <w:rsid w:val="3667E203"/>
    <w:rsid w:val="3667FA8D"/>
    <w:rsid w:val="3669195F"/>
    <w:rsid w:val="366C0C70"/>
    <w:rsid w:val="366CEB9A"/>
    <w:rsid w:val="366FDE58"/>
    <w:rsid w:val="3675F583"/>
    <w:rsid w:val="367648E7"/>
    <w:rsid w:val="367816AA"/>
    <w:rsid w:val="367B5EDE"/>
    <w:rsid w:val="3680044B"/>
    <w:rsid w:val="368283B0"/>
    <w:rsid w:val="3686EA2E"/>
    <w:rsid w:val="3688F781"/>
    <w:rsid w:val="369025C7"/>
    <w:rsid w:val="3694066E"/>
    <w:rsid w:val="3694A66D"/>
    <w:rsid w:val="369679B1"/>
    <w:rsid w:val="369A278D"/>
    <w:rsid w:val="369EF885"/>
    <w:rsid w:val="36A0A0F7"/>
    <w:rsid w:val="36A1D462"/>
    <w:rsid w:val="36A37FAE"/>
    <w:rsid w:val="36A41059"/>
    <w:rsid w:val="36A5A394"/>
    <w:rsid w:val="36A82B86"/>
    <w:rsid w:val="36A9D9BB"/>
    <w:rsid w:val="36ACBCF3"/>
    <w:rsid w:val="36AF4DC7"/>
    <w:rsid w:val="36B2363D"/>
    <w:rsid w:val="36B49072"/>
    <w:rsid w:val="36B6556D"/>
    <w:rsid w:val="36B7D709"/>
    <w:rsid w:val="36B8EB1F"/>
    <w:rsid w:val="36BED0DA"/>
    <w:rsid w:val="36C37316"/>
    <w:rsid w:val="36C57E32"/>
    <w:rsid w:val="36C80F33"/>
    <w:rsid w:val="36CD670B"/>
    <w:rsid w:val="36D3FF11"/>
    <w:rsid w:val="36E13575"/>
    <w:rsid w:val="36E57A0B"/>
    <w:rsid w:val="36E5D00E"/>
    <w:rsid w:val="36E6B163"/>
    <w:rsid w:val="36E84135"/>
    <w:rsid w:val="36E8E8C5"/>
    <w:rsid w:val="36EAFAFD"/>
    <w:rsid w:val="36EBEC93"/>
    <w:rsid w:val="36F2B5EF"/>
    <w:rsid w:val="36F63A7D"/>
    <w:rsid w:val="36F9BAC7"/>
    <w:rsid w:val="36FA4FC1"/>
    <w:rsid w:val="3700867C"/>
    <w:rsid w:val="3700D39D"/>
    <w:rsid w:val="37029109"/>
    <w:rsid w:val="37031AAC"/>
    <w:rsid w:val="3704C69B"/>
    <w:rsid w:val="37094CA5"/>
    <w:rsid w:val="370BD656"/>
    <w:rsid w:val="37103778"/>
    <w:rsid w:val="3710C8CC"/>
    <w:rsid w:val="3711A6FD"/>
    <w:rsid w:val="3711A855"/>
    <w:rsid w:val="3716938B"/>
    <w:rsid w:val="3717E995"/>
    <w:rsid w:val="371F9968"/>
    <w:rsid w:val="37255038"/>
    <w:rsid w:val="3726D792"/>
    <w:rsid w:val="372ACDE1"/>
    <w:rsid w:val="372B2397"/>
    <w:rsid w:val="372D8949"/>
    <w:rsid w:val="372E2259"/>
    <w:rsid w:val="372E6E85"/>
    <w:rsid w:val="373520BE"/>
    <w:rsid w:val="373C796E"/>
    <w:rsid w:val="373FC380"/>
    <w:rsid w:val="37432150"/>
    <w:rsid w:val="37464343"/>
    <w:rsid w:val="3747E8D3"/>
    <w:rsid w:val="374A6750"/>
    <w:rsid w:val="374C8E15"/>
    <w:rsid w:val="374E063D"/>
    <w:rsid w:val="374E4D63"/>
    <w:rsid w:val="37513E41"/>
    <w:rsid w:val="37535FFA"/>
    <w:rsid w:val="375637F8"/>
    <w:rsid w:val="37571537"/>
    <w:rsid w:val="37580B4A"/>
    <w:rsid w:val="375E2B91"/>
    <w:rsid w:val="37604A99"/>
    <w:rsid w:val="3765D8F8"/>
    <w:rsid w:val="37670543"/>
    <w:rsid w:val="376CB16B"/>
    <w:rsid w:val="376EDC0C"/>
    <w:rsid w:val="377222F8"/>
    <w:rsid w:val="37733104"/>
    <w:rsid w:val="37736277"/>
    <w:rsid w:val="3774023B"/>
    <w:rsid w:val="37764EC5"/>
    <w:rsid w:val="3779BED1"/>
    <w:rsid w:val="377AAD21"/>
    <w:rsid w:val="377C0C66"/>
    <w:rsid w:val="377ED86F"/>
    <w:rsid w:val="378166CC"/>
    <w:rsid w:val="3781EAFD"/>
    <w:rsid w:val="3785C794"/>
    <w:rsid w:val="37875BC0"/>
    <w:rsid w:val="378A2A05"/>
    <w:rsid w:val="378AD184"/>
    <w:rsid w:val="378F0062"/>
    <w:rsid w:val="3793536B"/>
    <w:rsid w:val="379B34D0"/>
    <w:rsid w:val="379C2F05"/>
    <w:rsid w:val="379E368B"/>
    <w:rsid w:val="37A2DCDD"/>
    <w:rsid w:val="37A4D027"/>
    <w:rsid w:val="37A5B39E"/>
    <w:rsid w:val="37A5B3A7"/>
    <w:rsid w:val="37A896A5"/>
    <w:rsid w:val="37A92544"/>
    <w:rsid w:val="37A99F90"/>
    <w:rsid w:val="37A9E13F"/>
    <w:rsid w:val="37AC1F77"/>
    <w:rsid w:val="37ACE97C"/>
    <w:rsid w:val="37AD6A0A"/>
    <w:rsid w:val="37B3C704"/>
    <w:rsid w:val="37B588EE"/>
    <w:rsid w:val="37B7903B"/>
    <w:rsid w:val="37B8E5D7"/>
    <w:rsid w:val="37C002EF"/>
    <w:rsid w:val="37C9EC4A"/>
    <w:rsid w:val="37C9FCDC"/>
    <w:rsid w:val="37D0174D"/>
    <w:rsid w:val="37D1E66A"/>
    <w:rsid w:val="37D27ED7"/>
    <w:rsid w:val="37DA0C57"/>
    <w:rsid w:val="37DBA559"/>
    <w:rsid w:val="37DFF393"/>
    <w:rsid w:val="37E44E72"/>
    <w:rsid w:val="37E9DF8E"/>
    <w:rsid w:val="37EC39BD"/>
    <w:rsid w:val="37FBAF00"/>
    <w:rsid w:val="37FC6865"/>
    <w:rsid w:val="37FF52F7"/>
    <w:rsid w:val="38085C0C"/>
    <w:rsid w:val="380A27EB"/>
    <w:rsid w:val="38188C17"/>
    <w:rsid w:val="3819FE1A"/>
    <w:rsid w:val="381ABBF6"/>
    <w:rsid w:val="381D2064"/>
    <w:rsid w:val="381D7267"/>
    <w:rsid w:val="381E9B9F"/>
    <w:rsid w:val="38235452"/>
    <w:rsid w:val="3826B530"/>
    <w:rsid w:val="382A366F"/>
    <w:rsid w:val="382EFDBD"/>
    <w:rsid w:val="38343B7C"/>
    <w:rsid w:val="38352F6D"/>
    <w:rsid w:val="3837A744"/>
    <w:rsid w:val="3837E3A8"/>
    <w:rsid w:val="38404E1C"/>
    <w:rsid w:val="384167BC"/>
    <w:rsid w:val="3844832F"/>
    <w:rsid w:val="38472240"/>
    <w:rsid w:val="384A7C01"/>
    <w:rsid w:val="384EF60A"/>
    <w:rsid w:val="38573DE7"/>
    <w:rsid w:val="38583EB9"/>
    <w:rsid w:val="385C99D5"/>
    <w:rsid w:val="3860BB44"/>
    <w:rsid w:val="38716FF1"/>
    <w:rsid w:val="38747E36"/>
    <w:rsid w:val="38778B68"/>
    <w:rsid w:val="387C1806"/>
    <w:rsid w:val="3880C72E"/>
    <w:rsid w:val="3882FB99"/>
    <w:rsid w:val="3887BDC6"/>
    <w:rsid w:val="388FD65F"/>
    <w:rsid w:val="38907716"/>
    <w:rsid w:val="3892F31F"/>
    <w:rsid w:val="389A9319"/>
    <w:rsid w:val="389DEB83"/>
    <w:rsid w:val="389EDB70"/>
    <w:rsid w:val="38A227D2"/>
    <w:rsid w:val="38A2723F"/>
    <w:rsid w:val="38A2ADB7"/>
    <w:rsid w:val="38A2B4F5"/>
    <w:rsid w:val="38A4747B"/>
    <w:rsid w:val="38A51D06"/>
    <w:rsid w:val="38A6B45E"/>
    <w:rsid w:val="38A77F90"/>
    <w:rsid w:val="38A862D7"/>
    <w:rsid w:val="38A88E7F"/>
    <w:rsid w:val="38A964E9"/>
    <w:rsid w:val="38AEC038"/>
    <w:rsid w:val="38AFA46D"/>
    <w:rsid w:val="38B77491"/>
    <w:rsid w:val="38B9DA1C"/>
    <w:rsid w:val="38BC5D94"/>
    <w:rsid w:val="38BC94B9"/>
    <w:rsid w:val="38CC0625"/>
    <w:rsid w:val="38CE4800"/>
    <w:rsid w:val="38CFED0A"/>
    <w:rsid w:val="38D217B2"/>
    <w:rsid w:val="38D572C1"/>
    <w:rsid w:val="38D6DD1A"/>
    <w:rsid w:val="38D88DF6"/>
    <w:rsid w:val="38D95A57"/>
    <w:rsid w:val="38DA15A1"/>
    <w:rsid w:val="38DDCEC5"/>
    <w:rsid w:val="38E8DE79"/>
    <w:rsid w:val="38EBB66A"/>
    <w:rsid w:val="38EBE488"/>
    <w:rsid w:val="38EF7936"/>
    <w:rsid w:val="38F21182"/>
    <w:rsid w:val="38F7FD65"/>
    <w:rsid w:val="38FE991E"/>
    <w:rsid w:val="390446B8"/>
    <w:rsid w:val="390769CA"/>
    <w:rsid w:val="390A1285"/>
    <w:rsid w:val="390BC019"/>
    <w:rsid w:val="390CF104"/>
    <w:rsid w:val="390DE494"/>
    <w:rsid w:val="39110AE6"/>
    <w:rsid w:val="391584C6"/>
    <w:rsid w:val="3916EAB8"/>
    <w:rsid w:val="3919AB13"/>
    <w:rsid w:val="391CB9F0"/>
    <w:rsid w:val="391F09D0"/>
    <w:rsid w:val="392148BF"/>
    <w:rsid w:val="39243D26"/>
    <w:rsid w:val="3925C207"/>
    <w:rsid w:val="39284734"/>
    <w:rsid w:val="3928F2D9"/>
    <w:rsid w:val="393348E8"/>
    <w:rsid w:val="39334C82"/>
    <w:rsid w:val="39336453"/>
    <w:rsid w:val="393ABA09"/>
    <w:rsid w:val="39400F10"/>
    <w:rsid w:val="39407268"/>
    <w:rsid w:val="39412AEE"/>
    <w:rsid w:val="3944BCC6"/>
    <w:rsid w:val="394D6B5E"/>
    <w:rsid w:val="394E03CE"/>
    <w:rsid w:val="3953FF1B"/>
    <w:rsid w:val="395BD350"/>
    <w:rsid w:val="395DC4D0"/>
    <w:rsid w:val="395E6DB7"/>
    <w:rsid w:val="395FE110"/>
    <w:rsid w:val="39628F3A"/>
    <w:rsid w:val="39629DCA"/>
    <w:rsid w:val="396740E5"/>
    <w:rsid w:val="3967E9B9"/>
    <w:rsid w:val="396B0718"/>
    <w:rsid w:val="396F0027"/>
    <w:rsid w:val="396F33A4"/>
    <w:rsid w:val="39700608"/>
    <w:rsid w:val="3975C381"/>
    <w:rsid w:val="39789D52"/>
    <w:rsid w:val="397910F1"/>
    <w:rsid w:val="397EC3AE"/>
    <w:rsid w:val="3981DE8E"/>
    <w:rsid w:val="39844EC9"/>
    <w:rsid w:val="39860AEA"/>
    <w:rsid w:val="39863F2D"/>
    <w:rsid w:val="39872C39"/>
    <w:rsid w:val="398B432F"/>
    <w:rsid w:val="3991A55D"/>
    <w:rsid w:val="39935F64"/>
    <w:rsid w:val="399C2BAD"/>
    <w:rsid w:val="399EF268"/>
    <w:rsid w:val="39A13C0B"/>
    <w:rsid w:val="39A6BACA"/>
    <w:rsid w:val="39AA63C9"/>
    <w:rsid w:val="39B0925B"/>
    <w:rsid w:val="39B50D06"/>
    <w:rsid w:val="39B97FC1"/>
    <w:rsid w:val="39BB675D"/>
    <w:rsid w:val="39BCB6F1"/>
    <w:rsid w:val="39BEFD59"/>
    <w:rsid w:val="39C15E9A"/>
    <w:rsid w:val="39C4AC46"/>
    <w:rsid w:val="39CF9872"/>
    <w:rsid w:val="39D29B8F"/>
    <w:rsid w:val="39D361D5"/>
    <w:rsid w:val="39D4D4EC"/>
    <w:rsid w:val="39DE2302"/>
    <w:rsid w:val="39E088F6"/>
    <w:rsid w:val="39E2500A"/>
    <w:rsid w:val="39E43D8D"/>
    <w:rsid w:val="39EC8CA1"/>
    <w:rsid w:val="39F06D5C"/>
    <w:rsid w:val="39F1FAAA"/>
    <w:rsid w:val="39F259F0"/>
    <w:rsid w:val="39F28304"/>
    <w:rsid w:val="39F34411"/>
    <w:rsid w:val="39F51324"/>
    <w:rsid w:val="39FC78E0"/>
    <w:rsid w:val="39FDE6ED"/>
    <w:rsid w:val="39FF77E6"/>
    <w:rsid w:val="3A00DA33"/>
    <w:rsid w:val="3A03CC68"/>
    <w:rsid w:val="3A05573F"/>
    <w:rsid w:val="3A0995B9"/>
    <w:rsid w:val="3A0BD17F"/>
    <w:rsid w:val="3A11F416"/>
    <w:rsid w:val="3A18DA87"/>
    <w:rsid w:val="3A1AA457"/>
    <w:rsid w:val="3A1AEE1E"/>
    <w:rsid w:val="3A1F8D57"/>
    <w:rsid w:val="3A1FFD9E"/>
    <w:rsid w:val="3A285B4E"/>
    <w:rsid w:val="3A291778"/>
    <w:rsid w:val="3A2A05D7"/>
    <w:rsid w:val="3A2D2EC4"/>
    <w:rsid w:val="3A31455E"/>
    <w:rsid w:val="3A327444"/>
    <w:rsid w:val="3A347B13"/>
    <w:rsid w:val="3A39B907"/>
    <w:rsid w:val="3A3B124D"/>
    <w:rsid w:val="3A3B29FE"/>
    <w:rsid w:val="3A3E54A2"/>
    <w:rsid w:val="3A3EC2BA"/>
    <w:rsid w:val="3A3F04FE"/>
    <w:rsid w:val="3A43DF7F"/>
    <w:rsid w:val="3A44B6A5"/>
    <w:rsid w:val="3A48EF54"/>
    <w:rsid w:val="3A4DA179"/>
    <w:rsid w:val="3A51F7FD"/>
    <w:rsid w:val="3A524FB3"/>
    <w:rsid w:val="3A54D16A"/>
    <w:rsid w:val="3A5B35FA"/>
    <w:rsid w:val="3A5CAF0E"/>
    <w:rsid w:val="3A5F4888"/>
    <w:rsid w:val="3A5F4AFD"/>
    <w:rsid w:val="3A5FACE0"/>
    <w:rsid w:val="3A64C4B2"/>
    <w:rsid w:val="3A672B39"/>
    <w:rsid w:val="3A6732B8"/>
    <w:rsid w:val="3A6809A0"/>
    <w:rsid w:val="3A68F802"/>
    <w:rsid w:val="3A6A05AE"/>
    <w:rsid w:val="3A6DCFC7"/>
    <w:rsid w:val="3A70A62C"/>
    <w:rsid w:val="3A71774C"/>
    <w:rsid w:val="3A79F200"/>
    <w:rsid w:val="3A81C6BB"/>
    <w:rsid w:val="3A88D82A"/>
    <w:rsid w:val="3A8A5686"/>
    <w:rsid w:val="3A8EB98F"/>
    <w:rsid w:val="3A8FD928"/>
    <w:rsid w:val="3A93461E"/>
    <w:rsid w:val="3A95F358"/>
    <w:rsid w:val="3A961F1B"/>
    <w:rsid w:val="3A9658D4"/>
    <w:rsid w:val="3A9A5B41"/>
    <w:rsid w:val="3A9D0746"/>
    <w:rsid w:val="3AA44C19"/>
    <w:rsid w:val="3AADE020"/>
    <w:rsid w:val="3AAE3614"/>
    <w:rsid w:val="3AB11BE5"/>
    <w:rsid w:val="3AB7EE21"/>
    <w:rsid w:val="3AB9F0D3"/>
    <w:rsid w:val="3ABA9ED9"/>
    <w:rsid w:val="3ABB3BBA"/>
    <w:rsid w:val="3ABB404A"/>
    <w:rsid w:val="3ABBB42D"/>
    <w:rsid w:val="3ABBE505"/>
    <w:rsid w:val="3AC2824F"/>
    <w:rsid w:val="3AC55F51"/>
    <w:rsid w:val="3AC69612"/>
    <w:rsid w:val="3AC6BB85"/>
    <w:rsid w:val="3AC71A52"/>
    <w:rsid w:val="3AC8812A"/>
    <w:rsid w:val="3AC8E079"/>
    <w:rsid w:val="3AC9B7B4"/>
    <w:rsid w:val="3ACCF5DB"/>
    <w:rsid w:val="3ACD8A69"/>
    <w:rsid w:val="3ACE3C61"/>
    <w:rsid w:val="3AD041BE"/>
    <w:rsid w:val="3AD3F47B"/>
    <w:rsid w:val="3ADBC0FD"/>
    <w:rsid w:val="3ADDECCE"/>
    <w:rsid w:val="3ADEA8E8"/>
    <w:rsid w:val="3AE1A734"/>
    <w:rsid w:val="3AE4FC0E"/>
    <w:rsid w:val="3AE53B36"/>
    <w:rsid w:val="3AE67E23"/>
    <w:rsid w:val="3AE729A1"/>
    <w:rsid w:val="3AE9F43C"/>
    <w:rsid w:val="3AEC7FB2"/>
    <w:rsid w:val="3AF55620"/>
    <w:rsid w:val="3AF557B3"/>
    <w:rsid w:val="3AF66E34"/>
    <w:rsid w:val="3AF9F875"/>
    <w:rsid w:val="3AFB0EDC"/>
    <w:rsid w:val="3AFF33EA"/>
    <w:rsid w:val="3B041B03"/>
    <w:rsid w:val="3B063BDD"/>
    <w:rsid w:val="3B09DC8F"/>
    <w:rsid w:val="3B0BC552"/>
    <w:rsid w:val="3B0C408F"/>
    <w:rsid w:val="3B0E921D"/>
    <w:rsid w:val="3B0F902F"/>
    <w:rsid w:val="3B14C2AF"/>
    <w:rsid w:val="3B17E0A7"/>
    <w:rsid w:val="3B1CDDC5"/>
    <w:rsid w:val="3B1E1167"/>
    <w:rsid w:val="3B1F0D5E"/>
    <w:rsid w:val="3B20A115"/>
    <w:rsid w:val="3B2ADD86"/>
    <w:rsid w:val="3B2BBC5A"/>
    <w:rsid w:val="3B2DA372"/>
    <w:rsid w:val="3B3173B1"/>
    <w:rsid w:val="3B33E8C5"/>
    <w:rsid w:val="3B33FDDC"/>
    <w:rsid w:val="3B35DE5F"/>
    <w:rsid w:val="3B360DF9"/>
    <w:rsid w:val="3B3D3B98"/>
    <w:rsid w:val="3B3FA700"/>
    <w:rsid w:val="3B40DCEA"/>
    <w:rsid w:val="3B417029"/>
    <w:rsid w:val="3B425177"/>
    <w:rsid w:val="3B455E83"/>
    <w:rsid w:val="3B4B5D7E"/>
    <w:rsid w:val="3B506444"/>
    <w:rsid w:val="3B51D061"/>
    <w:rsid w:val="3B529416"/>
    <w:rsid w:val="3B544228"/>
    <w:rsid w:val="3B5487C1"/>
    <w:rsid w:val="3B56B98E"/>
    <w:rsid w:val="3B5B8267"/>
    <w:rsid w:val="3B63BCB6"/>
    <w:rsid w:val="3B65F926"/>
    <w:rsid w:val="3B695710"/>
    <w:rsid w:val="3B699240"/>
    <w:rsid w:val="3B6A00E6"/>
    <w:rsid w:val="3B6D034D"/>
    <w:rsid w:val="3B6F49EA"/>
    <w:rsid w:val="3B71141C"/>
    <w:rsid w:val="3B751931"/>
    <w:rsid w:val="3B7B7336"/>
    <w:rsid w:val="3B7F345E"/>
    <w:rsid w:val="3B836296"/>
    <w:rsid w:val="3B97B9B9"/>
    <w:rsid w:val="3B98791E"/>
    <w:rsid w:val="3B9E35E1"/>
    <w:rsid w:val="3BA23C86"/>
    <w:rsid w:val="3BA4BE19"/>
    <w:rsid w:val="3BA64D14"/>
    <w:rsid w:val="3BAC1718"/>
    <w:rsid w:val="3BACC05C"/>
    <w:rsid w:val="3BAF6700"/>
    <w:rsid w:val="3BAF858F"/>
    <w:rsid w:val="3BAFA4C5"/>
    <w:rsid w:val="3BB25019"/>
    <w:rsid w:val="3BC0BC4B"/>
    <w:rsid w:val="3BC250B0"/>
    <w:rsid w:val="3BC260BD"/>
    <w:rsid w:val="3BC497F4"/>
    <w:rsid w:val="3BC84074"/>
    <w:rsid w:val="3BCC8C5E"/>
    <w:rsid w:val="3BCD5FD8"/>
    <w:rsid w:val="3BCE171F"/>
    <w:rsid w:val="3BCF5C09"/>
    <w:rsid w:val="3BD5EAE0"/>
    <w:rsid w:val="3BD964D4"/>
    <w:rsid w:val="3BDC97CC"/>
    <w:rsid w:val="3BE247B9"/>
    <w:rsid w:val="3BE7458A"/>
    <w:rsid w:val="3BE9C147"/>
    <w:rsid w:val="3BEB8438"/>
    <w:rsid w:val="3BEDBF64"/>
    <w:rsid w:val="3BF1F1E6"/>
    <w:rsid w:val="3BF36C46"/>
    <w:rsid w:val="3BF48FF7"/>
    <w:rsid w:val="3BF59622"/>
    <w:rsid w:val="3C0100FA"/>
    <w:rsid w:val="3C0227A9"/>
    <w:rsid w:val="3C03DAF3"/>
    <w:rsid w:val="3C07C4CB"/>
    <w:rsid w:val="3C0AC326"/>
    <w:rsid w:val="3C0B8B97"/>
    <w:rsid w:val="3C116A42"/>
    <w:rsid w:val="3C15AADA"/>
    <w:rsid w:val="3C194740"/>
    <w:rsid w:val="3C19ABDB"/>
    <w:rsid w:val="3C1CF77B"/>
    <w:rsid w:val="3C1D7B15"/>
    <w:rsid w:val="3C1E6099"/>
    <w:rsid w:val="3C20CAFD"/>
    <w:rsid w:val="3C225FA0"/>
    <w:rsid w:val="3C2406C1"/>
    <w:rsid w:val="3C24EE36"/>
    <w:rsid w:val="3C26AE37"/>
    <w:rsid w:val="3C26AEAE"/>
    <w:rsid w:val="3C29171C"/>
    <w:rsid w:val="3C2AD475"/>
    <w:rsid w:val="3C2E8160"/>
    <w:rsid w:val="3C312DC1"/>
    <w:rsid w:val="3C31ED80"/>
    <w:rsid w:val="3C34CBC1"/>
    <w:rsid w:val="3C359A0E"/>
    <w:rsid w:val="3C3A9F22"/>
    <w:rsid w:val="3C407276"/>
    <w:rsid w:val="3C472638"/>
    <w:rsid w:val="3C490A8D"/>
    <w:rsid w:val="3C4E929C"/>
    <w:rsid w:val="3C506259"/>
    <w:rsid w:val="3C523AAC"/>
    <w:rsid w:val="3C528899"/>
    <w:rsid w:val="3C54A646"/>
    <w:rsid w:val="3C55FAAB"/>
    <w:rsid w:val="3C562F0B"/>
    <w:rsid w:val="3C58C5F9"/>
    <w:rsid w:val="3C5A2740"/>
    <w:rsid w:val="3C5AAE76"/>
    <w:rsid w:val="3C603406"/>
    <w:rsid w:val="3C60D96D"/>
    <w:rsid w:val="3C638504"/>
    <w:rsid w:val="3C64AE93"/>
    <w:rsid w:val="3C658DFD"/>
    <w:rsid w:val="3C6683BC"/>
    <w:rsid w:val="3C66BA5B"/>
    <w:rsid w:val="3C6DD6E7"/>
    <w:rsid w:val="3C75C424"/>
    <w:rsid w:val="3C77D7C2"/>
    <w:rsid w:val="3C7B43D0"/>
    <w:rsid w:val="3C7F6639"/>
    <w:rsid w:val="3C844C50"/>
    <w:rsid w:val="3C86DB34"/>
    <w:rsid w:val="3C8CD658"/>
    <w:rsid w:val="3C8DE7D6"/>
    <w:rsid w:val="3C8FB288"/>
    <w:rsid w:val="3C960CCC"/>
    <w:rsid w:val="3C962F97"/>
    <w:rsid w:val="3C96F46D"/>
    <w:rsid w:val="3C980758"/>
    <w:rsid w:val="3C988F7A"/>
    <w:rsid w:val="3C995F9F"/>
    <w:rsid w:val="3C99FF24"/>
    <w:rsid w:val="3C9A1C1F"/>
    <w:rsid w:val="3C9AB0C4"/>
    <w:rsid w:val="3CA0504E"/>
    <w:rsid w:val="3CA780B8"/>
    <w:rsid w:val="3CA9C873"/>
    <w:rsid w:val="3CAD1CBA"/>
    <w:rsid w:val="3CAE887F"/>
    <w:rsid w:val="3CB50C62"/>
    <w:rsid w:val="3CB63626"/>
    <w:rsid w:val="3CBA7A21"/>
    <w:rsid w:val="3CBCCD1C"/>
    <w:rsid w:val="3CBD43A2"/>
    <w:rsid w:val="3CC5A242"/>
    <w:rsid w:val="3CCAA333"/>
    <w:rsid w:val="3CCB1810"/>
    <w:rsid w:val="3CD095C9"/>
    <w:rsid w:val="3CD1D461"/>
    <w:rsid w:val="3CD37A87"/>
    <w:rsid w:val="3CD4EE80"/>
    <w:rsid w:val="3CD5B32B"/>
    <w:rsid w:val="3CD6A9BA"/>
    <w:rsid w:val="3CD9EBE8"/>
    <w:rsid w:val="3CDF54AF"/>
    <w:rsid w:val="3CE07EE3"/>
    <w:rsid w:val="3CE1F046"/>
    <w:rsid w:val="3CE35D93"/>
    <w:rsid w:val="3CE3C773"/>
    <w:rsid w:val="3CE5E9EC"/>
    <w:rsid w:val="3CE6A747"/>
    <w:rsid w:val="3CE717A4"/>
    <w:rsid w:val="3CE7609A"/>
    <w:rsid w:val="3CE80F78"/>
    <w:rsid w:val="3CF6A4D4"/>
    <w:rsid w:val="3CFD5763"/>
    <w:rsid w:val="3CFD58AA"/>
    <w:rsid w:val="3CFFE6A8"/>
    <w:rsid w:val="3D075CBD"/>
    <w:rsid w:val="3D0ACA2D"/>
    <w:rsid w:val="3D0E5021"/>
    <w:rsid w:val="3D171B35"/>
    <w:rsid w:val="3D1C6FF6"/>
    <w:rsid w:val="3D20E0E8"/>
    <w:rsid w:val="3D21C63D"/>
    <w:rsid w:val="3D21D03A"/>
    <w:rsid w:val="3D22177B"/>
    <w:rsid w:val="3D2278DF"/>
    <w:rsid w:val="3D26785D"/>
    <w:rsid w:val="3D29DD14"/>
    <w:rsid w:val="3D32F198"/>
    <w:rsid w:val="3D3C13F9"/>
    <w:rsid w:val="3D3E4A5D"/>
    <w:rsid w:val="3D40ECBD"/>
    <w:rsid w:val="3D41B22C"/>
    <w:rsid w:val="3D45021A"/>
    <w:rsid w:val="3D460B2C"/>
    <w:rsid w:val="3D4642B5"/>
    <w:rsid w:val="3D46DAC8"/>
    <w:rsid w:val="3D4729AB"/>
    <w:rsid w:val="3D484C2A"/>
    <w:rsid w:val="3D48DC66"/>
    <w:rsid w:val="3D4D93AF"/>
    <w:rsid w:val="3D4F64C3"/>
    <w:rsid w:val="3D51AD96"/>
    <w:rsid w:val="3D56D2D1"/>
    <w:rsid w:val="3D5A5BD8"/>
    <w:rsid w:val="3D61A341"/>
    <w:rsid w:val="3D65722D"/>
    <w:rsid w:val="3D6737FB"/>
    <w:rsid w:val="3D6B60AF"/>
    <w:rsid w:val="3D6E9A5F"/>
    <w:rsid w:val="3D6E9CDD"/>
    <w:rsid w:val="3D710D03"/>
    <w:rsid w:val="3D7130DB"/>
    <w:rsid w:val="3D754456"/>
    <w:rsid w:val="3D76162B"/>
    <w:rsid w:val="3D76AECE"/>
    <w:rsid w:val="3D794396"/>
    <w:rsid w:val="3D841EBE"/>
    <w:rsid w:val="3D91EBC6"/>
    <w:rsid w:val="3D92F378"/>
    <w:rsid w:val="3D93EBC1"/>
    <w:rsid w:val="3D9CA870"/>
    <w:rsid w:val="3D9E36C2"/>
    <w:rsid w:val="3D9EADC6"/>
    <w:rsid w:val="3DA4AFAB"/>
    <w:rsid w:val="3DA6686C"/>
    <w:rsid w:val="3DA88672"/>
    <w:rsid w:val="3DAA01FC"/>
    <w:rsid w:val="3DAD8DC7"/>
    <w:rsid w:val="3DB520B3"/>
    <w:rsid w:val="3DC25DA9"/>
    <w:rsid w:val="3DC27C7F"/>
    <w:rsid w:val="3DCAF533"/>
    <w:rsid w:val="3DCCF084"/>
    <w:rsid w:val="3DCEBC58"/>
    <w:rsid w:val="3DD2EC0D"/>
    <w:rsid w:val="3DD6A425"/>
    <w:rsid w:val="3DDD86C3"/>
    <w:rsid w:val="3DE0C539"/>
    <w:rsid w:val="3DE48E07"/>
    <w:rsid w:val="3DEB2690"/>
    <w:rsid w:val="3DEE0371"/>
    <w:rsid w:val="3DF0F2DF"/>
    <w:rsid w:val="3DF2CA4F"/>
    <w:rsid w:val="3DF55FF6"/>
    <w:rsid w:val="3DF60AAA"/>
    <w:rsid w:val="3DF7B26C"/>
    <w:rsid w:val="3DFAB069"/>
    <w:rsid w:val="3DFAE33D"/>
    <w:rsid w:val="3DFB796D"/>
    <w:rsid w:val="3DFDBF54"/>
    <w:rsid w:val="3DFE404A"/>
    <w:rsid w:val="3DFF087B"/>
    <w:rsid w:val="3E02E29C"/>
    <w:rsid w:val="3E05E50E"/>
    <w:rsid w:val="3E06196A"/>
    <w:rsid w:val="3E0715AF"/>
    <w:rsid w:val="3E0A7697"/>
    <w:rsid w:val="3E0B953D"/>
    <w:rsid w:val="3E113772"/>
    <w:rsid w:val="3E1DB449"/>
    <w:rsid w:val="3E1E376E"/>
    <w:rsid w:val="3E1F2FF6"/>
    <w:rsid w:val="3E21F35A"/>
    <w:rsid w:val="3E2390AC"/>
    <w:rsid w:val="3E25DE56"/>
    <w:rsid w:val="3E261705"/>
    <w:rsid w:val="3E2C267F"/>
    <w:rsid w:val="3E2D75B4"/>
    <w:rsid w:val="3E36DDD5"/>
    <w:rsid w:val="3E38B868"/>
    <w:rsid w:val="3E38F154"/>
    <w:rsid w:val="3E3CA373"/>
    <w:rsid w:val="3E3CD55D"/>
    <w:rsid w:val="3E414ACF"/>
    <w:rsid w:val="3E472BEB"/>
    <w:rsid w:val="3E4853EB"/>
    <w:rsid w:val="3E4BCC65"/>
    <w:rsid w:val="3E4EC511"/>
    <w:rsid w:val="3E519804"/>
    <w:rsid w:val="3E535EC4"/>
    <w:rsid w:val="3E546B7E"/>
    <w:rsid w:val="3E5560FE"/>
    <w:rsid w:val="3E56FEB5"/>
    <w:rsid w:val="3E59F6FA"/>
    <w:rsid w:val="3E5D24DF"/>
    <w:rsid w:val="3E619E44"/>
    <w:rsid w:val="3E6230DE"/>
    <w:rsid w:val="3E62662F"/>
    <w:rsid w:val="3E627583"/>
    <w:rsid w:val="3E62D727"/>
    <w:rsid w:val="3E639085"/>
    <w:rsid w:val="3E63AE12"/>
    <w:rsid w:val="3E662F91"/>
    <w:rsid w:val="3E699249"/>
    <w:rsid w:val="3E6AF68A"/>
    <w:rsid w:val="3E743ECC"/>
    <w:rsid w:val="3E7595F9"/>
    <w:rsid w:val="3E7901BA"/>
    <w:rsid w:val="3E82E82A"/>
    <w:rsid w:val="3E83E438"/>
    <w:rsid w:val="3E862332"/>
    <w:rsid w:val="3E8C8189"/>
    <w:rsid w:val="3E98AF00"/>
    <w:rsid w:val="3E9D5D60"/>
    <w:rsid w:val="3E9F793F"/>
    <w:rsid w:val="3EA186E4"/>
    <w:rsid w:val="3EA37393"/>
    <w:rsid w:val="3EA882AC"/>
    <w:rsid w:val="3EAB84CB"/>
    <w:rsid w:val="3EAE537C"/>
    <w:rsid w:val="3EAFC349"/>
    <w:rsid w:val="3EB4B430"/>
    <w:rsid w:val="3EB4CA94"/>
    <w:rsid w:val="3EB60DF7"/>
    <w:rsid w:val="3EBAEB32"/>
    <w:rsid w:val="3EBFAC54"/>
    <w:rsid w:val="3EC246B7"/>
    <w:rsid w:val="3ECB182A"/>
    <w:rsid w:val="3ED2A100"/>
    <w:rsid w:val="3ED3FF55"/>
    <w:rsid w:val="3ED4E8C8"/>
    <w:rsid w:val="3ED65C56"/>
    <w:rsid w:val="3EDAA066"/>
    <w:rsid w:val="3EDE91DD"/>
    <w:rsid w:val="3EEE21BF"/>
    <w:rsid w:val="3EF49F63"/>
    <w:rsid w:val="3EF8DEB7"/>
    <w:rsid w:val="3EFA09F7"/>
    <w:rsid w:val="3EFF479E"/>
    <w:rsid w:val="3F00BF6C"/>
    <w:rsid w:val="3F019214"/>
    <w:rsid w:val="3F0250C3"/>
    <w:rsid w:val="3F06AA8C"/>
    <w:rsid w:val="3F088002"/>
    <w:rsid w:val="3F08BDDB"/>
    <w:rsid w:val="3F0D337A"/>
    <w:rsid w:val="3F101DE4"/>
    <w:rsid w:val="3F16E96D"/>
    <w:rsid w:val="3F1D7430"/>
    <w:rsid w:val="3F1DF926"/>
    <w:rsid w:val="3F2109A1"/>
    <w:rsid w:val="3F217C8F"/>
    <w:rsid w:val="3F235001"/>
    <w:rsid w:val="3F245739"/>
    <w:rsid w:val="3F2A047B"/>
    <w:rsid w:val="3F2CD445"/>
    <w:rsid w:val="3F2E1EF9"/>
    <w:rsid w:val="3F34A674"/>
    <w:rsid w:val="3F3C9828"/>
    <w:rsid w:val="3F4044A7"/>
    <w:rsid w:val="3F41CA3C"/>
    <w:rsid w:val="3F440E1A"/>
    <w:rsid w:val="3F4636F9"/>
    <w:rsid w:val="3F4DA78D"/>
    <w:rsid w:val="3F4F2D04"/>
    <w:rsid w:val="3F4FC0EB"/>
    <w:rsid w:val="3F501A60"/>
    <w:rsid w:val="3F50A420"/>
    <w:rsid w:val="3F52AA86"/>
    <w:rsid w:val="3F542224"/>
    <w:rsid w:val="3F563A35"/>
    <w:rsid w:val="3F5EE1B5"/>
    <w:rsid w:val="3F615306"/>
    <w:rsid w:val="3F62A5CA"/>
    <w:rsid w:val="3F64CE80"/>
    <w:rsid w:val="3F653E13"/>
    <w:rsid w:val="3F65DDE2"/>
    <w:rsid w:val="3F6A6AA7"/>
    <w:rsid w:val="3F6ABA64"/>
    <w:rsid w:val="3F740E64"/>
    <w:rsid w:val="3F7596D7"/>
    <w:rsid w:val="3F77DAEF"/>
    <w:rsid w:val="3F7CE2E8"/>
    <w:rsid w:val="3F7E756D"/>
    <w:rsid w:val="3F8523B1"/>
    <w:rsid w:val="3F864061"/>
    <w:rsid w:val="3F869DCD"/>
    <w:rsid w:val="3F86A431"/>
    <w:rsid w:val="3F86B89F"/>
    <w:rsid w:val="3F87F5DB"/>
    <w:rsid w:val="3F88582E"/>
    <w:rsid w:val="3F8CDE01"/>
    <w:rsid w:val="3F90A6C1"/>
    <w:rsid w:val="3F926081"/>
    <w:rsid w:val="3F93356F"/>
    <w:rsid w:val="3F961C93"/>
    <w:rsid w:val="3F98772A"/>
    <w:rsid w:val="3F994187"/>
    <w:rsid w:val="3F9B8918"/>
    <w:rsid w:val="3F9BC20D"/>
    <w:rsid w:val="3FA74C62"/>
    <w:rsid w:val="3FAAE82D"/>
    <w:rsid w:val="3FAB76C0"/>
    <w:rsid w:val="3FAC7E2F"/>
    <w:rsid w:val="3FB7A1B5"/>
    <w:rsid w:val="3FBA8426"/>
    <w:rsid w:val="3FBB1018"/>
    <w:rsid w:val="3FBC5E60"/>
    <w:rsid w:val="3FC2FF64"/>
    <w:rsid w:val="3FC78C96"/>
    <w:rsid w:val="3FCD72B7"/>
    <w:rsid w:val="3FD1608F"/>
    <w:rsid w:val="3FD28E10"/>
    <w:rsid w:val="3FD405A4"/>
    <w:rsid w:val="3FD5F7EA"/>
    <w:rsid w:val="3FE0069C"/>
    <w:rsid w:val="3FE80E23"/>
    <w:rsid w:val="3FE891E1"/>
    <w:rsid w:val="3FE8E070"/>
    <w:rsid w:val="3FE94C67"/>
    <w:rsid w:val="3FE9C144"/>
    <w:rsid w:val="3FEA01BB"/>
    <w:rsid w:val="3FEC5CEE"/>
    <w:rsid w:val="3FEE1958"/>
    <w:rsid w:val="3FEE8256"/>
    <w:rsid w:val="3FF4A92F"/>
    <w:rsid w:val="3FF7400C"/>
    <w:rsid w:val="40004234"/>
    <w:rsid w:val="40056075"/>
    <w:rsid w:val="40076CF2"/>
    <w:rsid w:val="400E8F43"/>
    <w:rsid w:val="40232EC9"/>
    <w:rsid w:val="402A1344"/>
    <w:rsid w:val="402A771B"/>
    <w:rsid w:val="402FD3FC"/>
    <w:rsid w:val="40315E1D"/>
    <w:rsid w:val="4032B115"/>
    <w:rsid w:val="4036A696"/>
    <w:rsid w:val="403AA3E4"/>
    <w:rsid w:val="404480A7"/>
    <w:rsid w:val="40452FA2"/>
    <w:rsid w:val="404680D1"/>
    <w:rsid w:val="404EEE73"/>
    <w:rsid w:val="404EF7B0"/>
    <w:rsid w:val="4054F859"/>
    <w:rsid w:val="4055A97E"/>
    <w:rsid w:val="40571DC4"/>
    <w:rsid w:val="405BF453"/>
    <w:rsid w:val="40609328"/>
    <w:rsid w:val="406141AD"/>
    <w:rsid w:val="40631225"/>
    <w:rsid w:val="406342BE"/>
    <w:rsid w:val="40634C3A"/>
    <w:rsid w:val="4065F2C5"/>
    <w:rsid w:val="40690C36"/>
    <w:rsid w:val="406DA3DE"/>
    <w:rsid w:val="406FE18A"/>
    <w:rsid w:val="407621D9"/>
    <w:rsid w:val="4078D43D"/>
    <w:rsid w:val="40795FB5"/>
    <w:rsid w:val="407B4170"/>
    <w:rsid w:val="407B4F07"/>
    <w:rsid w:val="407E9105"/>
    <w:rsid w:val="4082819A"/>
    <w:rsid w:val="408326FA"/>
    <w:rsid w:val="408332E5"/>
    <w:rsid w:val="40868E86"/>
    <w:rsid w:val="4087BFF2"/>
    <w:rsid w:val="4089EBC8"/>
    <w:rsid w:val="409A2A25"/>
    <w:rsid w:val="409A868F"/>
    <w:rsid w:val="409CB9D3"/>
    <w:rsid w:val="409DB8AE"/>
    <w:rsid w:val="409EAC40"/>
    <w:rsid w:val="409F1D1A"/>
    <w:rsid w:val="40A1739B"/>
    <w:rsid w:val="40A5FC40"/>
    <w:rsid w:val="40A6612B"/>
    <w:rsid w:val="40B0B9C1"/>
    <w:rsid w:val="40B3194E"/>
    <w:rsid w:val="40B4B1B6"/>
    <w:rsid w:val="40B84147"/>
    <w:rsid w:val="40B861E7"/>
    <w:rsid w:val="40BDE773"/>
    <w:rsid w:val="40BFE9B3"/>
    <w:rsid w:val="40C7DB9B"/>
    <w:rsid w:val="40CBB9DF"/>
    <w:rsid w:val="40D092F3"/>
    <w:rsid w:val="40D155CD"/>
    <w:rsid w:val="40D6F513"/>
    <w:rsid w:val="40D7C0DE"/>
    <w:rsid w:val="40E26856"/>
    <w:rsid w:val="40E387F1"/>
    <w:rsid w:val="40E7DB52"/>
    <w:rsid w:val="40E7E408"/>
    <w:rsid w:val="40E7FA16"/>
    <w:rsid w:val="40EE765C"/>
    <w:rsid w:val="40F3B8EB"/>
    <w:rsid w:val="40F3F6EA"/>
    <w:rsid w:val="40F4BE6D"/>
    <w:rsid w:val="40F67203"/>
    <w:rsid w:val="40FD126C"/>
    <w:rsid w:val="40FDF171"/>
    <w:rsid w:val="4102BB3B"/>
    <w:rsid w:val="4107824F"/>
    <w:rsid w:val="410AB864"/>
    <w:rsid w:val="410B8079"/>
    <w:rsid w:val="410BD486"/>
    <w:rsid w:val="4111223B"/>
    <w:rsid w:val="41223CDF"/>
    <w:rsid w:val="412342AD"/>
    <w:rsid w:val="412D022F"/>
    <w:rsid w:val="412D4C64"/>
    <w:rsid w:val="412FE4C3"/>
    <w:rsid w:val="413CCED7"/>
    <w:rsid w:val="413DF362"/>
    <w:rsid w:val="414367D5"/>
    <w:rsid w:val="41468FC2"/>
    <w:rsid w:val="41477395"/>
    <w:rsid w:val="41489DFA"/>
    <w:rsid w:val="414B9036"/>
    <w:rsid w:val="414BD871"/>
    <w:rsid w:val="414BF682"/>
    <w:rsid w:val="414EB59A"/>
    <w:rsid w:val="415155F8"/>
    <w:rsid w:val="41537216"/>
    <w:rsid w:val="415476F0"/>
    <w:rsid w:val="4156D0B8"/>
    <w:rsid w:val="4156E079"/>
    <w:rsid w:val="41584469"/>
    <w:rsid w:val="415A7016"/>
    <w:rsid w:val="415BF847"/>
    <w:rsid w:val="415FF18E"/>
    <w:rsid w:val="4160AD15"/>
    <w:rsid w:val="41631A62"/>
    <w:rsid w:val="416512A0"/>
    <w:rsid w:val="4168F708"/>
    <w:rsid w:val="416D102D"/>
    <w:rsid w:val="416DBB93"/>
    <w:rsid w:val="416EDACC"/>
    <w:rsid w:val="41750729"/>
    <w:rsid w:val="4175D199"/>
    <w:rsid w:val="4176E89F"/>
    <w:rsid w:val="417A11BD"/>
    <w:rsid w:val="41844D08"/>
    <w:rsid w:val="4184FDAB"/>
    <w:rsid w:val="418520D1"/>
    <w:rsid w:val="418591A5"/>
    <w:rsid w:val="41879042"/>
    <w:rsid w:val="418EFE81"/>
    <w:rsid w:val="418F4DF0"/>
    <w:rsid w:val="4191F975"/>
    <w:rsid w:val="4199E51A"/>
    <w:rsid w:val="419BBC2D"/>
    <w:rsid w:val="419C62B6"/>
    <w:rsid w:val="419CB624"/>
    <w:rsid w:val="419D0586"/>
    <w:rsid w:val="419E5200"/>
    <w:rsid w:val="41A01382"/>
    <w:rsid w:val="41A0826C"/>
    <w:rsid w:val="41A2FC3B"/>
    <w:rsid w:val="41A32790"/>
    <w:rsid w:val="41A4498F"/>
    <w:rsid w:val="41A67A50"/>
    <w:rsid w:val="41AA50EB"/>
    <w:rsid w:val="41ABA084"/>
    <w:rsid w:val="41AC8333"/>
    <w:rsid w:val="41B2B3C6"/>
    <w:rsid w:val="41B43B74"/>
    <w:rsid w:val="41B7781A"/>
    <w:rsid w:val="41BF230B"/>
    <w:rsid w:val="41BFEDD5"/>
    <w:rsid w:val="41C3345E"/>
    <w:rsid w:val="41C4224B"/>
    <w:rsid w:val="41C67851"/>
    <w:rsid w:val="41CBE6C5"/>
    <w:rsid w:val="41D1AC58"/>
    <w:rsid w:val="41D3FB3A"/>
    <w:rsid w:val="41D7B8F4"/>
    <w:rsid w:val="41DB0E34"/>
    <w:rsid w:val="41DDEED8"/>
    <w:rsid w:val="41DF1286"/>
    <w:rsid w:val="41DFD721"/>
    <w:rsid w:val="41E05D83"/>
    <w:rsid w:val="41EA7CC8"/>
    <w:rsid w:val="41EE1709"/>
    <w:rsid w:val="41F2EC9D"/>
    <w:rsid w:val="41F89E6F"/>
    <w:rsid w:val="41FDD852"/>
    <w:rsid w:val="4202C1C1"/>
    <w:rsid w:val="4206D063"/>
    <w:rsid w:val="420DF788"/>
    <w:rsid w:val="420ED5D2"/>
    <w:rsid w:val="420EF0FA"/>
    <w:rsid w:val="421E1853"/>
    <w:rsid w:val="42209403"/>
    <w:rsid w:val="42227C00"/>
    <w:rsid w:val="42237252"/>
    <w:rsid w:val="4228E39B"/>
    <w:rsid w:val="422F6D72"/>
    <w:rsid w:val="4230EB96"/>
    <w:rsid w:val="42336EA9"/>
    <w:rsid w:val="42340314"/>
    <w:rsid w:val="42354C49"/>
    <w:rsid w:val="42364B9C"/>
    <w:rsid w:val="4236ABC1"/>
    <w:rsid w:val="423E57EA"/>
    <w:rsid w:val="423EC6D5"/>
    <w:rsid w:val="423FC212"/>
    <w:rsid w:val="4242B505"/>
    <w:rsid w:val="42433BDE"/>
    <w:rsid w:val="4251E936"/>
    <w:rsid w:val="425475BA"/>
    <w:rsid w:val="425484A1"/>
    <w:rsid w:val="42562C5E"/>
    <w:rsid w:val="425B2D4F"/>
    <w:rsid w:val="426006D5"/>
    <w:rsid w:val="42601A46"/>
    <w:rsid w:val="42645216"/>
    <w:rsid w:val="42685B2E"/>
    <w:rsid w:val="426BDC41"/>
    <w:rsid w:val="426C797E"/>
    <w:rsid w:val="426E1661"/>
    <w:rsid w:val="426FB044"/>
    <w:rsid w:val="42715845"/>
    <w:rsid w:val="4273EC73"/>
    <w:rsid w:val="4277D99B"/>
    <w:rsid w:val="42799E71"/>
    <w:rsid w:val="4279E4B3"/>
    <w:rsid w:val="427AB82D"/>
    <w:rsid w:val="427B506D"/>
    <w:rsid w:val="427C08A5"/>
    <w:rsid w:val="427CC032"/>
    <w:rsid w:val="427F5852"/>
    <w:rsid w:val="4284482A"/>
    <w:rsid w:val="4288E64F"/>
    <w:rsid w:val="428909CB"/>
    <w:rsid w:val="428950B3"/>
    <w:rsid w:val="428CBC99"/>
    <w:rsid w:val="429756C2"/>
    <w:rsid w:val="4297F08C"/>
    <w:rsid w:val="4299C1D2"/>
    <w:rsid w:val="429A2BFE"/>
    <w:rsid w:val="42A639BC"/>
    <w:rsid w:val="42AB53DF"/>
    <w:rsid w:val="42B01691"/>
    <w:rsid w:val="42B0D580"/>
    <w:rsid w:val="42B27DAC"/>
    <w:rsid w:val="42B37101"/>
    <w:rsid w:val="42B85024"/>
    <w:rsid w:val="42B96570"/>
    <w:rsid w:val="42BC7E0F"/>
    <w:rsid w:val="42C63BB6"/>
    <w:rsid w:val="42C792FC"/>
    <w:rsid w:val="42CB1856"/>
    <w:rsid w:val="42D01C02"/>
    <w:rsid w:val="42D07CB3"/>
    <w:rsid w:val="42DC1506"/>
    <w:rsid w:val="42DC91C4"/>
    <w:rsid w:val="42DD81A8"/>
    <w:rsid w:val="42DF0660"/>
    <w:rsid w:val="42E6919F"/>
    <w:rsid w:val="42E6B6C1"/>
    <w:rsid w:val="42EA11EC"/>
    <w:rsid w:val="42F0BAF7"/>
    <w:rsid w:val="42F53813"/>
    <w:rsid w:val="42F63786"/>
    <w:rsid w:val="42F73A48"/>
    <w:rsid w:val="42F8AC44"/>
    <w:rsid w:val="42F8C70A"/>
    <w:rsid w:val="42FD3F84"/>
    <w:rsid w:val="42FEE6E7"/>
    <w:rsid w:val="42FFFC7D"/>
    <w:rsid w:val="43040347"/>
    <w:rsid w:val="430783E5"/>
    <w:rsid w:val="43085C7D"/>
    <w:rsid w:val="430C1E0D"/>
    <w:rsid w:val="4317FAB0"/>
    <w:rsid w:val="431C2132"/>
    <w:rsid w:val="431CF869"/>
    <w:rsid w:val="432085AF"/>
    <w:rsid w:val="43293D3B"/>
    <w:rsid w:val="43296C89"/>
    <w:rsid w:val="432CE315"/>
    <w:rsid w:val="432D0FFA"/>
    <w:rsid w:val="432F5654"/>
    <w:rsid w:val="4330D4CF"/>
    <w:rsid w:val="4333C61A"/>
    <w:rsid w:val="43357090"/>
    <w:rsid w:val="4336538A"/>
    <w:rsid w:val="433775C4"/>
    <w:rsid w:val="433DAF94"/>
    <w:rsid w:val="433EBC9D"/>
    <w:rsid w:val="43427972"/>
    <w:rsid w:val="43457549"/>
    <w:rsid w:val="4346F5E2"/>
    <w:rsid w:val="434E6EE9"/>
    <w:rsid w:val="434F5D92"/>
    <w:rsid w:val="435000F4"/>
    <w:rsid w:val="43500D2E"/>
    <w:rsid w:val="435235B0"/>
    <w:rsid w:val="43555207"/>
    <w:rsid w:val="4358EDBB"/>
    <w:rsid w:val="435F1671"/>
    <w:rsid w:val="435F7DA4"/>
    <w:rsid w:val="43661AAA"/>
    <w:rsid w:val="436A8F89"/>
    <w:rsid w:val="436D2E89"/>
    <w:rsid w:val="436F42A5"/>
    <w:rsid w:val="43716B35"/>
    <w:rsid w:val="437A4447"/>
    <w:rsid w:val="437BBB4F"/>
    <w:rsid w:val="4383F685"/>
    <w:rsid w:val="43859606"/>
    <w:rsid w:val="4386787C"/>
    <w:rsid w:val="438B3544"/>
    <w:rsid w:val="43912884"/>
    <w:rsid w:val="439C948D"/>
    <w:rsid w:val="439E0514"/>
    <w:rsid w:val="43A2CB9E"/>
    <w:rsid w:val="43A3C42E"/>
    <w:rsid w:val="43A3E737"/>
    <w:rsid w:val="43A420C8"/>
    <w:rsid w:val="43A5D884"/>
    <w:rsid w:val="43AD92D8"/>
    <w:rsid w:val="43AE522E"/>
    <w:rsid w:val="43B368AC"/>
    <w:rsid w:val="43B7C962"/>
    <w:rsid w:val="43B852BA"/>
    <w:rsid w:val="43BB0F65"/>
    <w:rsid w:val="43BB3368"/>
    <w:rsid w:val="43BEF113"/>
    <w:rsid w:val="43BF6105"/>
    <w:rsid w:val="43C6B089"/>
    <w:rsid w:val="43C6C261"/>
    <w:rsid w:val="43CB2B15"/>
    <w:rsid w:val="43CCB635"/>
    <w:rsid w:val="43CE7413"/>
    <w:rsid w:val="43CFAC66"/>
    <w:rsid w:val="43D10445"/>
    <w:rsid w:val="43D1D821"/>
    <w:rsid w:val="43D5B6B0"/>
    <w:rsid w:val="43D7A110"/>
    <w:rsid w:val="43E3147B"/>
    <w:rsid w:val="43E7BE67"/>
    <w:rsid w:val="43EA93E6"/>
    <w:rsid w:val="43EB01E6"/>
    <w:rsid w:val="43EE893A"/>
    <w:rsid w:val="43F061EF"/>
    <w:rsid w:val="43F3B7F9"/>
    <w:rsid w:val="43F68522"/>
    <w:rsid w:val="43F86CA4"/>
    <w:rsid w:val="43F89EAF"/>
    <w:rsid w:val="440067CE"/>
    <w:rsid w:val="440519CF"/>
    <w:rsid w:val="440715FA"/>
    <w:rsid w:val="44074B53"/>
    <w:rsid w:val="44074EB9"/>
    <w:rsid w:val="440C51EC"/>
    <w:rsid w:val="440E515F"/>
    <w:rsid w:val="4412E641"/>
    <w:rsid w:val="44137A3C"/>
    <w:rsid w:val="44160105"/>
    <w:rsid w:val="4416A24E"/>
    <w:rsid w:val="44173425"/>
    <w:rsid w:val="442133BB"/>
    <w:rsid w:val="4427B9D8"/>
    <w:rsid w:val="4427D880"/>
    <w:rsid w:val="4428AF0C"/>
    <w:rsid w:val="4429AFFE"/>
    <w:rsid w:val="442C016B"/>
    <w:rsid w:val="44341818"/>
    <w:rsid w:val="4435F0F7"/>
    <w:rsid w:val="443681DD"/>
    <w:rsid w:val="44371CB8"/>
    <w:rsid w:val="44389815"/>
    <w:rsid w:val="443B4404"/>
    <w:rsid w:val="4442B94C"/>
    <w:rsid w:val="444C6EA2"/>
    <w:rsid w:val="444DE394"/>
    <w:rsid w:val="444E210D"/>
    <w:rsid w:val="444ED9E5"/>
    <w:rsid w:val="444EEC66"/>
    <w:rsid w:val="44529BB8"/>
    <w:rsid w:val="4454D071"/>
    <w:rsid w:val="445643A5"/>
    <w:rsid w:val="44568AB5"/>
    <w:rsid w:val="4456AF20"/>
    <w:rsid w:val="445A1399"/>
    <w:rsid w:val="445EAD10"/>
    <w:rsid w:val="44614260"/>
    <w:rsid w:val="44619250"/>
    <w:rsid w:val="44629296"/>
    <w:rsid w:val="44635198"/>
    <w:rsid w:val="44638E8B"/>
    <w:rsid w:val="4465E490"/>
    <w:rsid w:val="446C8CB0"/>
    <w:rsid w:val="446C91A1"/>
    <w:rsid w:val="446FA8E8"/>
    <w:rsid w:val="4470573D"/>
    <w:rsid w:val="4472D916"/>
    <w:rsid w:val="44757C0B"/>
    <w:rsid w:val="4475FA6D"/>
    <w:rsid w:val="4478C359"/>
    <w:rsid w:val="447AA380"/>
    <w:rsid w:val="447AF51C"/>
    <w:rsid w:val="447E5D94"/>
    <w:rsid w:val="4480FD48"/>
    <w:rsid w:val="44813FEB"/>
    <w:rsid w:val="4483C8B5"/>
    <w:rsid w:val="448722B0"/>
    <w:rsid w:val="448B985D"/>
    <w:rsid w:val="448BE7B9"/>
    <w:rsid w:val="448FFF8F"/>
    <w:rsid w:val="449089DB"/>
    <w:rsid w:val="44933BDA"/>
    <w:rsid w:val="4495B307"/>
    <w:rsid w:val="4498D09D"/>
    <w:rsid w:val="449FF3E2"/>
    <w:rsid w:val="44A11C47"/>
    <w:rsid w:val="44A16884"/>
    <w:rsid w:val="44A53616"/>
    <w:rsid w:val="44ADC877"/>
    <w:rsid w:val="44AED40C"/>
    <w:rsid w:val="44B0E34B"/>
    <w:rsid w:val="44B29028"/>
    <w:rsid w:val="44B3EB36"/>
    <w:rsid w:val="44B522C6"/>
    <w:rsid w:val="44B9463E"/>
    <w:rsid w:val="44C2C1B9"/>
    <w:rsid w:val="44C50424"/>
    <w:rsid w:val="44CA3635"/>
    <w:rsid w:val="44CB7759"/>
    <w:rsid w:val="44CBA9A3"/>
    <w:rsid w:val="44CCA9D3"/>
    <w:rsid w:val="44CE2F4B"/>
    <w:rsid w:val="44D0DB6D"/>
    <w:rsid w:val="44D1F053"/>
    <w:rsid w:val="44D2C6CA"/>
    <w:rsid w:val="44D3C05F"/>
    <w:rsid w:val="44D4CF24"/>
    <w:rsid w:val="44D7554E"/>
    <w:rsid w:val="44E265DF"/>
    <w:rsid w:val="44E54CC1"/>
    <w:rsid w:val="44E8D763"/>
    <w:rsid w:val="44ED3A13"/>
    <w:rsid w:val="44EE0951"/>
    <w:rsid w:val="44F04FC7"/>
    <w:rsid w:val="44FB7067"/>
    <w:rsid w:val="44FBF043"/>
    <w:rsid w:val="44FC151C"/>
    <w:rsid w:val="44FD3046"/>
    <w:rsid w:val="45017933"/>
    <w:rsid w:val="45097CA6"/>
    <w:rsid w:val="450E9D62"/>
    <w:rsid w:val="4516AC37"/>
    <w:rsid w:val="451E6A2F"/>
    <w:rsid w:val="451FD767"/>
    <w:rsid w:val="4525A3D2"/>
    <w:rsid w:val="4527490E"/>
    <w:rsid w:val="452E6F7F"/>
    <w:rsid w:val="45378BE6"/>
    <w:rsid w:val="453F794B"/>
    <w:rsid w:val="453FC37D"/>
    <w:rsid w:val="4541221B"/>
    <w:rsid w:val="45421014"/>
    <w:rsid w:val="4547FBD1"/>
    <w:rsid w:val="4548B6CE"/>
    <w:rsid w:val="454AA6F2"/>
    <w:rsid w:val="454B2AAF"/>
    <w:rsid w:val="454B6C5A"/>
    <w:rsid w:val="454F09BF"/>
    <w:rsid w:val="4553A63D"/>
    <w:rsid w:val="4557F281"/>
    <w:rsid w:val="4559DB1E"/>
    <w:rsid w:val="455C337A"/>
    <w:rsid w:val="456458FF"/>
    <w:rsid w:val="4565D346"/>
    <w:rsid w:val="45686063"/>
    <w:rsid w:val="456B437C"/>
    <w:rsid w:val="456F6C54"/>
    <w:rsid w:val="45726124"/>
    <w:rsid w:val="457294A9"/>
    <w:rsid w:val="45752F01"/>
    <w:rsid w:val="45767906"/>
    <w:rsid w:val="45771284"/>
    <w:rsid w:val="4581B3BA"/>
    <w:rsid w:val="45828BE9"/>
    <w:rsid w:val="4584DD00"/>
    <w:rsid w:val="4586FFBF"/>
    <w:rsid w:val="458BC649"/>
    <w:rsid w:val="458C0F98"/>
    <w:rsid w:val="458C2563"/>
    <w:rsid w:val="458E605A"/>
    <w:rsid w:val="458E8760"/>
    <w:rsid w:val="459022D1"/>
    <w:rsid w:val="4598A51E"/>
    <w:rsid w:val="4599C052"/>
    <w:rsid w:val="459C5D3A"/>
    <w:rsid w:val="459CE202"/>
    <w:rsid w:val="459D22E7"/>
    <w:rsid w:val="45A4EB84"/>
    <w:rsid w:val="45A91F8F"/>
    <w:rsid w:val="45AA6800"/>
    <w:rsid w:val="45BA9063"/>
    <w:rsid w:val="45BD5612"/>
    <w:rsid w:val="45C02F3E"/>
    <w:rsid w:val="45C27C3B"/>
    <w:rsid w:val="45C35C3D"/>
    <w:rsid w:val="45C710CB"/>
    <w:rsid w:val="45C8C866"/>
    <w:rsid w:val="45C92063"/>
    <w:rsid w:val="45CA8B6C"/>
    <w:rsid w:val="45D65649"/>
    <w:rsid w:val="45D911F7"/>
    <w:rsid w:val="45DBCA4E"/>
    <w:rsid w:val="45DD03CC"/>
    <w:rsid w:val="45E0C5AA"/>
    <w:rsid w:val="45E354C3"/>
    <w:rsid w:val="45EF8523"/>
    <w:rsid w:val="45F2161D"/>
    <w:rsid w:val="45F30283"/>
    <w:rsid w:val="45F3CC49"/>
    <w:rsid w:val="45F4714C"/>
    <w:rsid w:val="45F651C4"/>
    <w:rsid w:val="45F681E9"/>
    <w:rsid w:val="45F6E330"/>
    <w:rsid w:val="45F81758"/>
    <w:rsid w:val="45F94297"/>
    <w:rsid w:val="45FC019E"/>
    <w:rsid w:val="45FD605F"/>
    <w:rsid w:val="45FDF498"/>
    <w:rsid w:val="4601D7EE"/>
    <w:rsid w:val="460563BC"/>
    <w:rsid w:val="46057442"/>
    <w:rsid w:val="4605930B"/>
    <w:rsid w:val="4606B236"/>
    <w:rsid w:val="460A0E2B"/>
    <w:rsid w:val="46188229"/>
    <w:rsid w:val="461975A0"/>
    <w:rsid w:val="462CDDBE"/>
    <w:rsid w:val="462D1C95"/>
    <w:rsid w:val="4630BB68"/>
    <w:rsid w:val="4630D8BF"/>
    <w:rsid w:val="4632B34A"/>
    <w:rsid w:val="4636000A"/>
    <w:rsid w:val="4636CAC9"/>
    <w:rsid w:val="463706C7"/>
    <w:rsid w:val="46390DF4"/>
    <w:rsid w:val="463AEE15"/>
    <w:rsid w:val="463F31F9"/>
    <w:rsid w:val="4642FC00"/>
    <w:rsid w:val="4645797E"/>
    <w:rsid w:val="4646D324"/>
    <w:rsid w:val="46486DBD"/>
    <w:rsid w:val="464A597F"/>
    <w:rsid w:val="464A59C2"/>
    <w:rsid w:val="464ED390"/>
    <w:rsid w:val="4652355B"/>
    <w:rsid w:val="46561B13"/>
    <w:rsid w:val="46576F61"/>
    <w:rsid w:val="46581E5E"/>
    <w:rsid w:val="465AF636"/>
    <w:rsid w:val="465FD7B2"/>
    <w:rsid w:val="46671C20"/>
    <w:rsid w:val="46685904"/>
    <w:rsid w:val="46685BF1"/>
    <w:rsid w:val="46695863"/>
    <w:rsid w:val="466B61F5"/>
    <w:rsid w:val="466F5482"/>
    <w:rsid w:val="466FBB89"/>
    <w:rsid w:val="4670368A"/>
    <w:rsid w:val="4670E743"/>
    <w:rsid w:val="46763765"/>
    <w:rsid w:val="46790ED4"/>
    <w:rsid w:val="467A331A"/>
    <w:rsid w:val="467AF2D0"/>
    <w:rsid w:val="467BE5CC"/>
    <w:rsid w:val="46837B2C"/>
    <w:rsid w:val="468FB913"/>
    <w:rsid w:val="4691676D"/>
    <w:rsid w:val="469826DE"/>
    <w:rsid w:val="469B111E"/>
    <w:rsid w:val="469E4B02"/>
    <w:rsid w:val="469F4A11"/>
    <w:rsid w:val="46A04705"/>
    <w:rsid w:val="46A0D88A"/>
    <w:rsid w:val="46A135BC"/>
    <w:rsid w:val="46A630D0"/>
    <w:rsid w:val="46A8E96A"/>
    <w:rsid w:val="46AC4DD9"/>
    <w:rsid w:val="46AFDD19"/>
    <w:rsid w:val="46B9DEFD"/>
    <w:rsid w:val="46BE2373"/>
    <w:rsid w:val="46C11CC5"/>
    <w:rsid w:val="46C2C030"/>
    <w:rsid w:val="46C5BAB7"/>
    <w:rsid w:val="46C60E28"/>
    <w:rsid w:val="46C725D3"/>
    <w:rsid w:val="46C787D3"/>
    <w:rsid w:val="46C87E6A"/>
    <w:rsid w:val="46CAD5A5"/>
    <w:rsid w:val="46CE7DD3"/>
    <w:rsid w:val="46D2210A"/>
    <w:rsid w:val="46D7C517"/>
    <w:rsid w:val="46D836A9"/>
    <w:rsid w:val="46D9B032"/>
    <w:rsid w:val="46E2E748"/>
    <w:rsid w:val="46E51F34"/>
    <w:rsid w:val="46E7880C"/>
    <w:rsid w:val="46E89B64"/>
    <w:rsid w:val="46EA4EAB"/>
    <w:rsid w:val="46EC6587"/>
    <w:rsid w:val="46F2F9A9"/>
    <w:rsid w:val="46F3A0EF"/>
    <w:rsid w:val="46F4B8C9"/>
    <w:rsid w:val="46F5FADA"/>
    <w:rsid w:val="46F84D36"/>
    <w:rsid w:val="46F917C4"/>
    <w:rsid w:val="46FBB878"/>
    <w:rsid w:val="46FD8E89"/>
    <w:rsid w:val="4700973B"/>
    <w:rsid w:val="4708878D"/>
    <w:rsid w:val="470D8527"/>
    <w:rsid w:val="47189D52"/>
    <w:rsid w:val="471CA356"/>
    <w:rsid w:val="471F3B2F"/>
    <w:rsid w:val="47230F1F"/>
    <w:rsid w:val="472D20BB"/>
    <w:rsid w:val="472E13BA"/>
    <w:rsid w:val="4731B550"/>
    <w:rsid w:val="47324197"/>
    <w:rsid w:val="4732F98F"/>
    <w:rsid w:val="4733FCD6"/>
    <w:rsid w:val="47341A1B"/>
    <w:rsid w:val="47386033"/>
    <w:rsid w:val="4744EA58"/>
    <w:rsid w:val="47460441"/>
    <w:rsid w:val="4747B89B"/>
    <w:rsid w:val="474B1A7D"/>
    <w:rsid w:val="475B2F75"/>
    <w:rsid w:val="475BF945"/>
    <w:rsid w:val="475D7D95"/>
    <w:rsid w:val="475DEB4A"/>
    <w:rsid w:val="47620C2D"/>
    <w:rsid w:val="476411C8"/>
    <w:rsid w:val="476A0B95"/>
    <w:rsid w:val="476A7F0F"/>
    <w:rsid w:val="476FBA3F"/>
    <w:rsid w:val="47702935"/>
    <w:rsid w:val="4773EDDB"/>
    <w:rsid w:val="477A6584"/>
    <w:rsid w:val="477BAF21"/>
    <w:rsid w:val="477D47E6"/>
    <w:rsid w:val="477F754A"/>
    <w:rsid w:val="477F9A87"/>
    <w:rsid w:val="47809834"/>
    <w:rsid w:val="4780A1B5"/>
    <w:rsid w:val="47820D68"/>
    <w:rsid w:val="478887C4"/>
    <w:rsid w:val="4788D135"/>
    <w:rsid w:val="4789E27C"/>
    <w:rsid w:val="478DACAD"/>
    <w:rsid w:val="478E4FF9"/>
    <w:rsid w:val="47940BE6"/>
    <w:rsid w:val="4797E2CD"/>
    <w:rsid w:val="479EACB3"/>
    <w:rsid w:val="47A211CF"/>
    <w:rsid w:val="47A345B7"/>
    <w:rsid w:val="47A488B2"/>
    <w:rsid w:val="47A77906"/>
    <w:rsid w:val="47AA839B"/>
    <w:rsid w:val="47ACE9DF"/>
    <w:rsid w:val="47B0842B"/>
    <w:rsid w:val="47B35A66"/>
    <w:rsid w:val="47B4E535"/>
    <w:rsid w:val="47B6846C"/>
    <w:rsid w:val="47B79B46"/>
    <w:rsid w:val="47B9D813"/>
    <w:rsid w:val="47BF5F5A"/>
    <w:rsid w:val="47C0A075"/>
    <w:rsid w:val="47C2D84D"/>
    <w:rsid w:val="47C30ED3"/>
    <w:rsid w:val="47C5F798"/>
    <w:rsid w:val="47D235DD"/>
    <w:rsid w:val="47DF6B20"/>
    <w:rsid w:val="47E0F8D1"/>
    <w:rsid w:val="47E38442"/>
    <w:rsid w:val="47E801FA"/>
    <w:rsid w:val="47F379A0"/>
    <w:rsid w:val="47F668C2"/>
    <w:rsid w:val="47F87FDA"/>
    <w:rsid w:val="47F98D65"/>
    <w:rsid w:val="4807C7F1"/>
    <w:rsid w:val="4807ED85"/>
    <w:rsid w:val="480A8E52"/>
    <w:rsid w:val="480A9681"/>
    <w:rsid w:val="480AB2B0"/>
    <w:rsid w:val="480CB7A4"/>
    <w:rsid w:val="480DBBAD"/>
    <w:rsid w:val="480EF2BC"/>
    <w:rsid w:val="480FE3BA"/>
    <w:rsid w:val="48105B5A"/>
    <w:rsid w:val="4816C339"/>
    <w:rsid w:val="481A7A03"/>
    <w:rsid w:val="481CA1A5"/>
    <w:rsid w:val="482062E3"/>
    <w:rsid w:val="4821230C"/>
    <w:rsid w:val="4822A955"/>
    <w:rsid w:val="48258A37"/>
    <w:rsid w:val="48274ABE"/>
    <w:rsid w:val="48354862"/>
    <w:rsid w:val="483A7238"/>
    <w:rsid w:val="483BC123"/>
    <w:rsid w:val="483C246A"/>
    <w:rsid w:val="483CC0BD"/>
    <w:rsid w:val="483DAD5B"/>
    <w:rsid w:val="4842125D"/>
    <w:rsid w:val="4842F4BD"/>
    <w:rsid w:val="4848A52B"/>
    <w:rsid w:val="484E93E6"/>
    <w:rsid w:val="484EA8B1"/>
    <w:rsid w:val="484EE661"/>
    <w:rsid w:val="48529356"/>
    <w:rsid w:val="48557D2C"/>
    <w:rsid w:val="485B8EC3"/>
    <w:rsid w:val="485BACE0"/>
    <w:rsid w:val="485E1323"/>
    <w:rsid w:val="485F109F"/>
    <w:rsid w:val="485F534A"/>
    <w:rsid w:val="4864C1C4"/>
    <w:rsid w:val="4869E51C"/>
    <w:rsid w:val="486E692A"/>
    <w:rsid w:val="4873DF25"/>
    <w:rsid w:val="48747A76"/>
    <w:rsid w:val="4879ABF0"/>
    <w:rsid w:val="487FF627"/>
    <w:rsid w:val="48840EAC"/>
    <w:rsid w:val="48858D11"/>
    <w:rsid w:val="4887880F"/>
    <w:rsid w:val="488A08AA"/>
    <w:rsid w:val="488C0A6C"/>
    <w:rsid w:val="4898EB45"/>
    <w:rsid w:val="489D5DE0"/>
    <w:rsid w:val="489F4251"/>
    <w:rsid w:val="489FC0FD"/>
    <w:rsid w:val="48A2C526"/>
    <w:rsid w:val="48A429D5"/>
    <w:rsid w:val="48ABAC0B"/>
    <w:rsid w:val="48ACB06E"/>
    <w:rsid w:val="48AFABB0"/>
    <w:rsid w:val="48B7F221"/>
    <w:rsid w:val="48BC1A2A"/>
    <w:rsid w:val="48BCB298"/>
    <w:rsid w:val="48BFA3FE"/>
    <w:rsid w:val="48C18887"/>
    <w:rsid w:val="48C7E34D"/>
    <w:rsid w:val="48C7F7BC"/>
    <w:rsid w:val="48C9E9AC"/>
    <w:rsid w:val="48D50907"/>
    <w:rsid w:val="48D720F6"/>
    <w:rsid w:val="48DB74AA"/>
    <w:rsid w:val="48DB8F90"/>
    <w:rsid w:val="48E36DD0"/>
    <w:rsid w:val="48E98A1F"/>
    <w:rsid w:val="48EC2A69"/>
    <w:rsid w:val="48F0D1F3"/>
    <w:rsid w:val="48F2557F"/>
    <w:rsid w:val="48F2A2EF"/>
    <w:rsid w:val="48F7263A"/>
    <w:rsid w:val="4901CE43"/>
    <w:rsid w:val="4902FACF"/>
    <w:rsid w:val="49080C4A"/>
    <w:rsid w:val="49159576"/>
    <w:rsid w:val="491FB653"/>
    <w:rsid w:val="49261706"/>
    <w:rsid w:val="49264BB1"/>
    <w:rsid w:val="4929ABCA"/>
    <w:rsid w:val="492D2040"/>
    <w:rsid w:val="492D8F10"/>
    <w:rsid w:val="492EC194"/>
    <w:rsid w:val="4939E59C"/>
    <w:rsid w:val="493B3579"/>
    <w:rsid w:val="493C599F"/>
    <w:rsid w:val="493CB21C"/>
    <w:rsid w:val="493EF2FA"/>
    <w:rsid w:val="494225C5"/>
    <w:rsid w:val="494232B4"/>
    <w:rsid w:val="49427652"/>
    <w:rsid w:val="4946EA87"/>
    <w:rsid w:val="49493402"/>
    <w:rsid w:val="495278A5"/>
    <w:rsid w:val="4955EEBC"/>
    <w:rsid w:val="4957C91E"/>
    <w:rsid w:val="49589CE4"/>
    <w:rsid w:val="495B809B"/>
    <w:rsid w:val="495BDFEA"/>
    <w:rsid w:val="495CF89A"/>
    <w:rsid w:val="496183EB"/>
    <w:rsid w:val="49639671"/>
    <w:rsid w:val="49647EDF"/>
    <w:rsid w:val="496884DB"/>
    <w:rsid w:val="4969C618"/>
    <w:rsid w:val="496A0670"/>
    <w:rsid w:val="496EB9D7"/>
    <w:rsid w:val="4970C729"/>
    <w:rsid w:val="4975459F"/>
    <w:rsid w:val="4976F53B"/>
    <w:rsid w:val="497B3CF1"/>
    <w:rsid w:val="497BF131"/>
    <w:rsid w:val="497C4387"/>
    <w:rsid w:val="497D6B76"/>
    <w:rsid w:val="497E4045"/>
    <w:rsid w:val="498685B9"/>
    <w:rsid w:val="49879D79"/>
    <w:rsid w:val="498A1392"/>
    <w:rsid w:val="498AD06F"/>
    <w:rsid w:val="49907AFA"/>
    <w:rsid w:val="49973775"/>
    <w:rsid w:val="499D8499"/>
    <w:rsid w:val="49A45E8E"/>
    <w:rsid w:val="49A8B6F7"/>
    <w:rsid w:val="49AD1DEA"/>
    <w:rsid w:val="49AFFC2F"/>
    <w:rsid w:val="49B43426"/>
    <w:rsid w:val="49BB221F"/>
    <w:rsid w:val="49BBB411"/>
    <w:rsid w:val="49BDAC9F"/>
    <w:rsid w:val="49BF1EA7"/>
    <w:rsid w:val="49C0D0E9"/>
    <w:rsid w:val="49C722D9"/>
    <w:rsid w:val="49C7893C"/>
    <w:rsid w:val="49C9AD02"/>
    <w:rsid w:val="49CEFA70"/>
    <w:rsid w:val="49CF87D1"/>
    <w:rsid w:val="49E323B9"/>
    <w:rsid w:val="49E33945"/>
    <w:rsid w:val="49E9028D"/>
    <w:rsid w:val="49ED11C8"/>
    <w:rsid w:val="49F24DE7"/>
    <w:rsid w:val="49F28161"/>
    <w:rsid w:val="49F2A449"/>
    <w:rsid w:val="49F2FB32"/>
    <w:rsid w:val="49F55BCC"/>
    <w:rsid w:val="49F855B6"/>
    <w:rsid w:val="49FB754A"/>
    <w:rsid w:val="4A02ADF6"/>
    <w:rsid w:val="4A03E039"/>
    <w:rsid w:val="4A05F9B5"/>
    <w:rsid w:val="4A11ED52"/>
    <w:rsid w:val="4A11F429"/>
    <w:rsid w:val="4A14368A"/>
    <w:rsid w:val="4A1577AF"/>
    <w:rsid w:val="4A15B007"/>
    <w:rsid w:val="4A15BA07"/>
    <w:rsid w:val="4A17D65E"/>
    <w:rsid w:val="4A190CCC"/>
    <w:rsid w:val="4A19AC0F"/>
    <w:rsid w:val="4A264C51"/>
    <w:rsid w:val="4A28DB1D"/>
    <w:rsid w:val="4A2E026C"/>
    <w:rsid w:val="4A35BE17"/>
    <w:rsid w:val="4A3FAB62"/>
    <w:rsid w:val="4A408221"/>
    <w:rsid w:val="4A426098"/>
    <w:rsid w:val="4A42A39A"/>
    <w:rsid w:val="4A441290"/>
    <w:rsid w:val="4A496CF3"/>
    <w:rsid w:val="4A5015EA"/>
    <w:rsid w:val="4A523359"/>
    <w:rsid w:val="4A534F05"/>
    <w:rsid w:val="4A5385F8"/>
    <w:rsid w:val="4A57205D"/>
    <w:rsid w:val="4A57EA8B"/>
    <w:rsid w:val="4A59384D"/>
    <w:rsid w:val="4A5B93FC"/>
    <w:rsid w:val="4A5DAEAD"/>
    <w:rsid w:val="4A5E9E84"/>
    <w:rsid w:val="4A61358D"/>
    <w:rsid w:val="4A62FC70"/>
    <w:rsid w:val="4A651B44"/>
    <w:rsid w:val="4A679304"/>
    <w:rsid w:val="4A70845C"/>
    <w:rsid w:val="4A726870"/>
    <w:rsid w:val="4A77A3E0"/>
    <w:rsid w:val="4A77D943"/>
    <w:rsid w:val="4A787F05"/>
    <w:rsid w:val="4A808F8C"/>
    <w:rsid w:val="4A81A60C"/>
    <w:rsid w:val="4A8BCAC2"/>
    <w:rsid w:val="4A8F07A8"/>
    <w:rsid w:val="4A8F1A62"/>
    <w:rsid w:val="4A91E7A2"/>
    <w:rsid w:val="4A92AF1C"/>
    <w:rsid w:val="4A946AC8"/>
    <w:rsid w:val="4A9CB934"/>
    <w:rsid w:val="4AA0C112"/>
    <w:rsid w:val="4AA510F3"/>
    <w:rsid w:val="4AA52FBF"/>
    <w:rsid w:val="4AA65D5B"/>
    <w:rsid w:val="4AAC7BB9"/>
    <w:rsid w:val="4AACA656"/>
    <w:rsid w:val="4AAD2203"/>
    <w:rsid w:val="4AB09383"/>
    <w:rsid w:val="4AB0F8C4"/>
    <w:rsid w:val="4AB29269"/>
    <w:rsid w:val="4AB5B830"/>
    <w:rsid w:val="4ABB9667"/>
    <w:rsid w:val="4ABD99C0"/>
    <w:rsid w:val="4AC52EA5"/>
    <w:rsid w:val="4AC7B99F"/>
    <w:rsid w:val="4AD16A62"/>
    <w:rsid w:val="4AD7679D"/>
    <w:rsid w:val="4ADBCCCC"/>
    <w:rsid w:val="4ADDB443"/>
    <w:rsid w:val="4ADE7C57"/>
    <w:rsid w:val="4AE620CF"/>
    <w:rsid w:val="4AEB9989"/>
    <w:rsid w:val="4AEC41C0"/>
    <w:rsid w:val="4AEDB762"/>
    <w:rsid w:val="4AEF3053"/>
    <w:rsid w:val="4AEFFD3C"/>
    <w:rsid w:val="4AF017A9"/>
    <w:rsid w:val="4AF05922"/>
    <w:rsid w:val="4AF1E1B5"/>
    <w:rsid w:val="4AF8A59B"/>
    <w:rsid w:val="4AFB5507"/>
    <w:rsid w:val="4AFD8C07"/>
    <w:rsid w:val="4B004EE1"/>
    <w:rsid w:val="4B0184B0"/>
    <w:rsid w:val="4B02B6DB"/>
    <w:rsid w:val="4B0C732C"/>
    <w:rsid w:val="4B10B11A"/>
    <w:rsid w:val="4B1A1277"/>
    <w:rsid w:val="4B1CF0E4"/>
    <w:rsid w:val="4B1F0A78"/>
    <w:rsid w:val="4B1F9729"/>
    <w:rsid w:val="4B1FB01E"/>
    <w:rsid w:val="4B2064DA"/>
    <w:rsid w:val="4B212C29"/>
    <w:rsid w:val="4B24BE1B"/>
    <w:rsid w:val="4B26D091"/>
    <w:rsid w:val="4B2A55CA"/>
    <w:rsid w:val="4B2B1076"/>
    <w:rsid w:val="4B2D5200"/>
    <w:rsid w:val="4B304970"/>
    <w:rsid w:val="4B31CFAB"/>
    <w:rsid w:val="4B342EA3"/>
    <w:rsid w:val="4B349429"/>
    <w:rsid w:val="4B34F269"/>
    <w:rsid w:val="4B3556B8"/>
    <w:rsid w:val="4B36243D"/>
    <w:rsid w:val="4B3A2B60"/>
    <w:rsid w:val="4B3C332E"/>
    <w:rsid w:val="4B49E482"/>
    <w:rsid w:val="4B4F28ED"/>
    <w:rsid w:val="4B4F56EF"/>
    <w:rsid w:val="4B507E60"/>
    <w:rsid w:val="4B5104D9"/>
    <w:rsid w:val="4B516AC3"/>
    <w:rsid w:val="4B5380FA"/>
    <w:rsid w:val="4B55276A"/>
    <w:rsid w:val="4B57E539"/>
    <w:rsid w:val="4B59A268"/>
    <w:rsid w:val="4B5B23E8"/>
    <w:rsid w:val="4B5B821F"/>
    <w:rsid w:val="4B5FC05C"/>
    <w:rsid w:val="4B607563"/>
    <w:rsid w:val="4B64881D"/>
    <w:rsid w:val="4B6B9CFC"/>
    <w:rsid w:val="4B6E3EB8"/>
    <w:rsid w:val="4B734C46"/>
    <w:rsid w:val="4B74D7E8"/>
    <w:rsid w:val="4B75444E"/>
    <w:rsid w:val="4B7613D4"/>
    <w:rsid w:val="4B7934C9"/>
    <w:rsid w:val="4B7EF70E"/>
    <w:rsid w:val="4B80BB56"/>
    <w:rsid w:val="4B8247A7"/>
    <w:rsid w:val="4B850B18"/>
    <w:rsid w:val="4B8894BF"/>
    <w:rsid w:val="4B8CA4F3"/>
    <w:rsid w:val="4B919B34"/>
    <w:rsid w:val="4B91E2A0"/>
    <w:rsid w:val="4B924438"/>
    <w:rsid w:val="4B945184"/>
    <w:rsid w:val="4B95EF38"/>
    <w:rsid w:val="4B980134"/>
    <w:rsid w:val="4B985B00"/>
    <w:rsid w:val="4B986C20"/>
    <w:rsid w:val="4B9D84B5"/>
    <w:rsid w:val="4B9E73C2"/>
    <w:rsid w:val="4BA07E9F"/>
    <w:rsid w:val="4BA28CCA"/>
    <w:rsid w:val="4BA3276B"/>
    <w:rsid w:val="4BA364FB"/>
    <w:rsid w:val="4BA75621"/>
    <w:rsid w:val="4BAA3B7E"/>
    <w:rsid w:val="4BAAD207"/>
    <w:rsid w:val="4BADBDB3"/>
    <w:rsid w:val="4BB4CE28"/>
    <w:rsid w:val="4BBA07A3"/>
    <w:rsid w:val="4BBA2BBE"/>
    <w:rsid w:val="4BBACAB9"/>
    <w:rsid w:val="4BC5E5FE"/>
    <w:rsid w:val="4BC7808F"/>
    <w:rsid w:val="4BCAE954"/>
    <w:rsid w:val="4BCB07C8"/>
    <w:rsid w:val="4BCB10F6"/>
    <w:rsid w:val="4BD0015C"/>
    <w:rsid w:val="4BD22F81"/>
    <w:rsid w:val="4BD66CB9"/>
    <w:rsid w:val="4BD9B24C"/>
    <w:rsid w:val="4BD9F2FC"/>
    <w:rsid w:val="4BDC6EDF"/>
    <w:rsid w:val="4BDCFEFA"/>
    <w:rsid w:val="4BDDAFC3"/>
    <w:rsid w:val="4BDDD786"/>
    <w:rsid w:val="4BDE0676"/>
    <w:rsid w:val="4BE03262"/>
    <w:rsid w:val="4BE5C615"/>
    <w:rsid w:val="4BE8E709"/>
    <w:rsid w:val="4BEB90B0"/>
    <w:rsid w:val="4BEB9FFB"/>
    <w:rsid w:val="4BED6331"/>
    <w:rsid w:val="4BF2B48A"/>
    <w:rsid w:val="4BF43B14"/>
    <w:rsid w:val="4BFCE032"/>
    <w:rsid w:val="4BFF4EE3"/>
    <w:rsid w:val="4C07E3DB"/>
    <w:rsid w:val="4C0821D8"/>
    <w:rsid w:val="4C0A2944"/>
    <w:rsid w:val="4C0F9C75"/>
    <w:rsid w:val="4C10FB8F"/>
    <w:rsid w:val="4C1D4680"/>
    <w:rsid w:val="4C1DA132"/>
    <w:rsid w:val="4C20A6E0"/>
    <w:rsid w:val="4C213BBA"/>
    <w:rsid w:val="4C247FAA"/>
    <w:rsid w:val="4C29EB54"/>
    <w:rsid w:val="4C2BBBEF"/>
    <w:rsid w:val="4C2C0F71"/>
    <w:rsid w:val="4C317E23"/>
    <w:rsid w:val="4C34B597"/>
    <w:rsid w:val="4C37FCF4"/>
    <w:rsid w:val="4C381A96"/>
    <w:rsid w:val="4C3ECAC8"/>
    <w:rsid w:val="4C42994F"/>
    <w:rsid w:val="4C43685B"/>
    <w:rsid w:val="4C4655E9"/>
    <w:rsid w:val="4C49F448"/>
    <w:rsid w:val="4C4F03EB"/>
    <w:rsid w:val="4C52137C"/>
    <w:rsid w:val="4C5681DE"/>
    <w:rsid w:val="4C56C412"/>
    <w:rsid w:val="4C57DC71"/>
    <w:rsid w:val="4C5B62F0"/>
    <w:rsid w:val="4C5CAAEA"/>
    <w:rsid w:val="4C5EDA2C"/>
    <w:rsid w:val="4C62539F"/>
    <w:rsid w:val="4C62F678"/>
    <w:rsid w:val="4C639BFC"/>
    <w:rsid w:val="4C64417F"/>
    <w:rsid w:val="4C64EE38"/>
    <w:rsid w:val="4C66CAD4"/>
    <w:rsid w:val="4C691372"/>
    <w:rsid w:val="4C6CBD77"/>
    <w:rsid w:val="4C737C5F"/>
    <w:rsid w:val="4C78DFA2"/>
    <w:rsid w:val="4C7A0E24"/>
    <w:rsid w:val="4C7C78B5"/>
    <w:rsid w:val="4C7E2C5C"/>
    <w:rsid w:val="4C8058FD"/>
    <w:rsid w:val="4C81393E"/>
    <w:rsid w:val="4C824C4F"/>
    <w:rsid w:val="4C824D2C"/>
    <w:rsid w:val="4C839534"/>
    <w:rsid w:val="4C8C3904"/>
    <w:rsid w:val="4C924729"/>
    <w:rsid w:val="4C93B210"/>
    <w:rsid w:val="4C941198"/>
    <w:rsid w:val="4C950868"/>
    <w:rsid w:val="4C96B679"/>
    <w:rsid w:val="4C970E39"/>
    <w:rsid w:val="4C99D266"/>
    <w:rsid w:val="4C9B1DDE"/>
    <w:rsid w:val="4C9BA4BD"/>
    <w:rsid w:val="4CA4E40C"/>
    <w:rsid w:val="4CACBA0B"/>
    <w:rsid w:val="4CAE0DA0"/>
    <w:rsid w:val="4CAF0784"/>
    <w:rsid w:val="4CB43B74"/>
    <w:rsid w:val="4CC07040"/>
    <w:rsid w:val="4CC07AA7"/>
    <w:rsid w:val="4CC5CE71"/>
    <w:rsid w:val="4CC777B7"/>
    <w:rsid w:val="4CCAD161"/>
    <w:rsid w:val="4CCC14E7"/>
    <w:rsid w:val="4CCDA4C0"/>
    <w:rsid w:val="4CCDCD34"/>
    <w:rsid w:val="4CCDDAAB"/>
    <w:rsid w:val="4CCE6EAB"/>
    <w:rsid w:val="4CCF2521"/>
    <w:rsid w:val="4CD38054"/>
    <w:rsid w:val="4CD81700"/>
    <w:rsid w:val="4CDD38D1"/>
    <w:rsid w:val="4CE00486"/>
    <w:rsid w:val="4CE1418C"/>
    <w:rsid w:val="4CE373F9"/>
    <w:rsid w:val="4CE4B406"/>
    <w:rsid w:val="4CE4F5C5"/>
    <w:rsid w:val="4CE92960"/>
    <w:rsid w:val="4CE9424D"/>
    <w:rsid w:val="4CEC015A"/>
    <w:rsid w:val="4CF4A47A"/>
    <w:rsid w:val="4CFB4609"/>
    <w:rsid w:val="4D0337B1"/>
    <w:rsid w:val="4D09E880"/>
    <w:rsid w:val="4D0A9293"/>
    <w:rsid w:val="4D0ABECC"/>
    <w:rsid w:val="4D0D9F9B"/>
    <w:rsid w:val="4D10BCCD"/>
    <w:rsid w:val="4D12D334"/>
    <w:rsid w:val="4D13D5CE"/>
    <w:rsid w:val="4D14C6A3"/>
    <w:rsid w:val="4D1B50FF"/>
    <w:rsid w:val="4D1D188E"/>
    <w:rsid w:val="4D23FF95"/>
    <w:rsid w:val="4D260680"/>
    <w:rsid w:val="4D2B1B8E"/>
    <w:rsid w:val="4D322D2A"/>
    <w:rsid w:val="4D327279"/>
    <w:rsid w:val="4D3615FC"/>
    <w:rsid w:val="4D375F82"/>
    <w:rsid w:val="4D383922"/>
    <w:rsid w:val="4D38DD90"/>
    <w:rsid w:val="4D40F3C4"/>
    <w:rsid w:val="4D44DDF2"/>
    <w:rsid w:val="4D454491"/>
    <w:rsid w:val="4D462DF6"/>
    <w:rsid w:val="4D4776B5"/>
    <w:rsid w:val="4D4A6D10"/>
    <w:rsid w:val="4D4C6B63"/>
    <w:rsid w:val="4D503F05"/>
    <w:rsid w:val="4D532EDA"/>
    <w:rsid w:val="4D539BC1"/>
    <w:rsid w:val="4D5720DD"/>
    <w:rsid w:val="4D57A4B7"/>
    <w:rsid w:val="4D5A2654"/>
    <w:rsid w:val="4D5CD5ED"/>
    <w:rsid w:val="4D5F04EE"/>
    <w:rsid w:val="4D6194A4"/>
    <w:rsid w:val="4D62D2DD"/>
    <w:rsid w:val="4D632D45"/>
    <w:rsid w:val="4D63B6D3"/>
    <w:rsid w:val="4D63B85D"/>
    <w:rsid w:val="4D69B876"/>
    <w:rsid w:val="4D6E7C57"/>
    <w:rsid w:val="4D6F4625"/>
    <w:rsid w:val="4D72B374"/>
    <w:rsid w:val="4D73256D"/>
    <w:rsid w:val="4D76D52C"/>
    <w:rsid w:val="4D776716"/>
    <w:rsid w:val="4D79F350"/>
    <w:rsid w:val="4D7BC004"/>
    <w:rsid w:val="4D8485B1"/>
    <w:rsid w:val="4D8623F2"/>
    <w:rsid w:val="4D867528"/>
    <w:rsid w:val="4D89ABD4"/>
    <w:rsid w:val="4D8BAFA0"/>
    <w:rsid w:val="4D8C491D"/>
    <w:rsid w:val="4D8FD3FF"/>
    <w:rsid w:val="4D9122D9"/>
    <w:rsid w:val="4D921965"/>
    <w:rsid w:val="4D92D731"/>
    <w:rsid w:val="4D9381ED"/>
    <w:rsid w:val="4D96816B"/>
    <w:rsid w:val="4D96E4AF"/>
    <w:rsid w:val="4D99C0C6"/>
    <w:rsid w:val="4D9A01C2"/>
    <w:rsid w:val="4DA123CA"/>
    <w:rsid w:val="4DA165A7"/>
    <w:rsid w:val="4DA191A6"/>
    <w:rsid w:val="4DA29BD0"/>
    <w:rsid w:val="4DA2C8D0"/>
    <w:rsid w:val="4DA390C8"/>
    <w:rsid w:val="4DA51082"/>
    <w:rsid w:val="4DA56FF5"/>
    <w:rsid w:val="4DB06A81"/>
    <w:rsid w:val="4DB5FE00"/>
    <w:rsid w:val="4DBDFF0D"/>
    <w:rsid w:val="4DC1FA2A"/>
    <w:rsid w:val="4DCBEFC2"/>
    <w:rsid w:val="4DCE85F3"/>
    <w:rsid w:val="4DCF2045"/>
    <w:rsid w:val="4DCF6F40"/>
    <w:rsid w:val="4DD37C7B"/>
    <w:rsid w:val="4DD873FF"/>
    <w:rsid w:val="4DE4CCF4"/>
    <w:rsid w:val="4DE82F69"/>
    <w:rsid w:val="4DE9B5FB"/>
    <w:rsid w:val="4DED5514"/>
    <w:rsid w:val="4DEE5903"/>
    <w:rsid w:val="4DF55231"/>
    <w:rsid w:val="4DF8468E"/>
    <w:rsid w:val="4DF9A9F8"/>
    <w:rsid w:val="4E059C34"/>
    <w:rsid w:val="4E0CB156"/>
    <w:rsid w:val="4E172D08"/>
    <w:rsid w:val="4E1893D1"/>
    <w:rsid w:val="4E203B3F"/>
    <w:rsid w:val="4E2261AB"/>
    <w:rsid w:val="4E375AD9"/>
    <w:rsid w:val="4E384A2B"/>
    <w:rsid w:val="4E38CD30"/>
    <w:rsid w:val="4E3B6D8B"/>
    <w:rsid w:val="4E3B716F"/>
    <w:rsid w:val="4E3C446F"/>
    <w:rsid w:val="4E3CCE46"/>
    <w:rsid w:val="4E3E4EE0"/>
    <w:rsid w:val="4E3E75AE"/>
    <w:rsid w:val="4E4205BB"/>
    <w:rsid w:val="4E42ABBE"/>
    <w:rsid w:val="4E4B2D23"/>
    <w:rsid w:val="4E4BA60C"/>
    <w:rsid w:val="4E4F9771"/>
    <w:rsid w:val="4E5305D0"/>
    <w:rsid w:val="4E57358D"/>
    <w:rsid w:val="4E57E82C"/>
    <w:rsid w:val="4E5891FF"/>
    <w:rsid w:val="4E5C4D40"/>
    <w:rsid w:val="4E6621A1"/>
    <w:rsid w:val="4E668568"/>
    <w:rsid w:val="4E73D0C8"/>
    <w:rsid w:val="4E74997D"/>
    <w:rsid w:val="4E75CB48"/>
    <w:rsid w:val="4E763F43"/>
    <w:rsid w:val="4E7686D7"/>
    <w:rsid w:val="4E7A0CEA"/>
    <w:rsid w:val="4E7CE6E5"/>
    <w:rsid w:val="4E7F9F9E"/>
    <w:rsid w:val="4E801D70"/>
    <w:rsid w:val="4E827DA2"/>
    <w:rsid w:val="4E883C2A"/>
    <w:rsid w:val="4E8B21BC"/>
    <w:rsid w:val="4E8DF38F"/>
    <w:rsid w:val="4E8F887D"/>
    <w:rsid w:val="4E94AD01"/>
    <w:rsid w:val="4E98EEBE"/>
    <w:rsid w:val="4E9DB102"/>
    <w:rsid w:val="4EA0102A"/>
    <w:rsid w:val="4EA0F8DE"/>
    <w:rsid w:val="4EA2EF53"/>
    <w:rsid w:val="4EA5A688"/>
    <w:rsid w:val="4EA5DE53"/>
    <w:rsid w:val="4EA7515B"/>
    <w:rsid w:val="4EA75295"/>
    <w:rsid w:val="4EB20FE2"/>
    <w:rsid w:val="4EB6F31E"/>
    <w:rsid w:val="4EBB8A20"/>
    <w:rsid w:val="4EBF4D7C"/>
    <w:rsid w:val="4EC61723"/>
    <w:rsid w:val="4ED357EA"/>
    <w:rsid w:val="4ED422D7"/>
    <w:rsid w:val="4ED50ECA"/>
    <w:rsid w:val="4ED53ACE"/>
    <w:rsid w:val="4ED90D44"/>
    <w:rsid w:val="4EDA93BA"/>
    <w:rsid w:val="4EDE84C1"/>
    <w:rsid w:val="4EDFC1AA"/>
    <w:rsid w:val="4EE5BE6A"/>
    <w:rsid w:val="4EE6F295"/>
    <w:rsid w:val="4EEB2738"/>
    <w:rsid w:val="4EEDBBAA"/>
    <w:rsid w:val="4EF422EF"/>
    <w:rsid w:val="4EF48128"/>
    <w:rsid w:val="4EF7B338"/>
    <w:rsid w:val="4EFAD57F"/>
    <w:rsid w:val="4EFE6124"/>
    <w:rsid w:val="4F01DAFB"/>
    <w:rsid w:val="4F0865D4"/>
    <w:rsid w:val="4F0F3F72"/>
    <w:rsid w:val="4F0F4F21"/>
    <w:rsid w:val="4F1436CA"/>
    <w:rsid w:val="4F14CB70"/>
    <w:rsid w:val="4F1696DF"/>
    <w:rsid w:val="4F1B081F"/>
    <w:rsid w:val="4F1B6B48"/>
    <w:rsid w:val="4F1EC5AC"/>
    <w:rsid w:val="4F24248F"/>
    <w:rsid w:val="4F29AD06"/>
    <w:rsid w:val="4F2A8E61"/>
    <w:rsid w:val="4F2D6A5E"/>
    <w:rsid w:val="4F2EAFD5"/>
    <w:rsid w:val="4F37926B"/>
    <w:rsid w:val="4F398FAD"/>
    <w:rsid w:val="4F3BD403"/>
    <w:rsid w:val="4F3D9046"/>
    <w:rsid w:val="4F3DAC83"/>
    <w:rsid w:val="4F411EFE"/>
    <w:rsid w:val="4F47D687"/>
    <w:rsid w:val="4F4AD5BF"/>
    <w:rsid w:val="4F5083AD"/>
    <w:rsid w:val="4F533498"/>
    <w:rsid w:val="4F5681F2"/>
    <w:rsid w:val="4F57DB2D"/>
    <w:rsid w:val="4F58AAB9"/>
    <w:rsid w:val="4F59AB05"/>
    <w:rsid w:val="4F5B981F"/>
    <w:rsid w:val="4F5C405A"/>
    <w:rsid w:val="4F635CDC"/>
    <w:rsid w:val="4F65D9D0"/>
    <w:rsid w:val="4F660845"/>
    <w:rsid w:val="4F671C54"/>
    <w:rsid w:val="4F701CE7"/>
    <w:rsid w:val="4F7066AD"/>
    <w:rsid w:val="4F73E530"/>
    <w:rsid w:val="4F759981"/>
    <w:rsid w:val="4F7F653C"/>
    <w:rsid w:val="4F86B331"/>
    <w:rsid w:val="4F897FB1"/>
    <w:rsid w:val="4F8B35B9"/>
    <w:rsid w:val="4F8B851B"/>
    <w:rsid w:val="4F8ED657"/>
    <w:rsid w:val="4F9238F2"/>
    <w:rsid w:val="4F967AEE"/>
    <w:rsid w:val="4F972857"/>
    <w:rsid w:val="4F973592"/>
    <w:rsid w:val="4F97FBDF"/>
    <w:rsid w:val="4F992AFA"/>
    <w:rsid w:val="4F9B3814"/>
    <w:rsid w:val="4F9C4CFC"/>
    <w:rsid w:val="4F9DE258"/>
    <w:rsid w:val="4F9E8B7F"/>
    <w:rsid w:val="4FA443DA"/>
    <w:rsid w:val="4FA57071"/>
    <w:rsid w:val="4FABD5A1"/>
    <w:rsid w:val="4FB09800"/>
    <w:rsid w:val="4FB09E43"/>
    <w:rsid w:val="4FB208B4"/>
    <w:rsid w:val="4FB3B90A"/>
    <w:rsid w:val="4FB7FBC4"/>
    <w:rsid w:val="4FB83A39"/>
    <w:rsid w:val="4FBA0A03"/>
    <w:rsid w:val="4FBBB5AD"/>
    <w:rsid w:val="4FBC20A6"/>
    <w:rsid w:val="4FC1CC96"/>
    <w:rsid w:val="4FC3D649"/>
    <w:rsid w:val="4FCBB99E"/>
    <w:rsid w:val="4FD02D76"/>
    <w:rsid w:val="4FD91E6D"/>
    <w:rsid w:val="4FDC55B9"/>
    <w:rsid w:val="4FDC8D46"/>
    <w:rsid w:val="4FDF1E2F"/>
    <w:rsid w:val="4FE10006"/>
    <w:rsid w:val="4FE4993F"/>
    <w:rsid w:val="4FEA4417"/>
    <w:rsid w:val="4FEAAB54"/>
    <w:rsid w:val="4FECDE86"/>
    <w:rsid w:val="4FF69ACC"/>
    <w:rsid w:val="4FF7D15A"/>
    <w:rsid w:val="4FF81E49"/>
    <w:rsid w:val="4FFAA5E7"/>
    <w:rsid w:val="4FFCA110"/>
    <w:rsid w:val="50007529"/>
    <w:rsid w:val="500229DF"/>
    <w:rsid w:val="50024C4A"/>
    <w:rsid w:val="50041DE0"/>
    <w:rsid w:val="50056DF6"/>
    <w:rsid w:val="500816E5"/>
    <w:rsid w:val="500A60D7"/>
    <w:rsid w:val="500C3646"/>
    <w:rsid w:val="500EC8E2"/>
    <w:rsid w:val="501301A5"/>
    <w:rsid w:val="50168DE6"/>
    <w:rsid w:val="501CAC14"/>
    <w:rsid w:val="5022C812"/>
    <w:rsid w:val="5022DDB4"/>
    <w:rsid w:val="5023388F"/>
    <w:rsid w:val="502372CE"/>
    <w:rsid w:val="50237C72"/>
    <w:rsid w:val="502510A5"/>
    <w:rsid w:val="5026E9D8"/>
    <w:rsid w:val="502C4983"/>
    <w:rsid w:val="5033AC23"/>
    <w:rsid w:val="5033DF32"/>
    <w:rsid w:val="503C5771"/>
    <w:rsid w:val="503C76C4"/>
    <w:rsid w:val="503CE8A3"/>
    <w:rsid w:val="504480F4"/>
    <w:rsid w:val="504D63DA"/>
    <w:rsid w:val="504DDEDB"/>
    <w:rsid w:val="504EF82E"/>
    <w:rsid w:val="504F0D59"/>
    <w:rsid w:val="504F7568"/>
    <w:rsid w:val="5055819C"/>
    <w:rsid w:val="505CB8D9"/>
    <w:rsid w:val="505DB7AE"/>
    <w:rsid w:val="505F50A0"/>
    <w:rsid w:val="5065667C"/>
    <w:rsid w:val="5066C930"/>
    <w:rsid w:val="5067784F"/>
    <w:rsid w:val="5068118F"/>
    <w:rsid w:val="5068921C"/>
    <w:rsid w:val="506ACFBF"/>
    <w:rsid w:val="506D1CDD"/>
    <w:rsid w:val="5071EBEA"/>
    <w:rsid w:val="507CB29F"/>
    <w:rsid w:val="507FCC48"/>
    <w:rsid w:val="50825DD5"/>
    <w:rsid w:val="508C24C6"/>
    <w:rsid w:val="508C6B1F"/>
    <w:rsid w:val="508F0D05"/>
    <w:rsid w:val="5093C0C2"/>
    <w:rsid w:val="509DFB1F"/>
    <w:rsid w:val="50A01FF6"/>
    <w:rsid w:val="50A2D14C"/>
    <w:rsid w:val="50A452F2"/>
    <w:rsid w:val="50A944B7"/>
    <w:rsid w:val="50AB7DBB"/>
    <w:rsid w:val="50ABEE48"/>
    <w:rsid w:val="50ADE3CA"/>
    <w:rsid w:val="50B05CAC"/>
    <w:rsid w:val="50B6FE55"/>
    <w:rsid w:val="50B8D0C2"/>
    <w:rsid w:val="50BCE87D"/>
    <w:rsid w:val="50BF6273"/>
    <w:rsid w:val="50BFF204"/>
    <w:rsid w:val="50C1BA29"/>
    <w:rsid w:val="50C45FF1"/>
    <w:rsid w:val="50D03EA5"/>
    <w:rsid w:val="50D44F2A"/>
    <w:rsid w:val="50D97D07"/>
    <w:rsid w:val="50DB2231"/>
    <w:rsid w:val="50DEF118"/>
    <w:rsid w:val="50DF680D"/>
    <w:rsid w:val="50E6F0D1"/>
    <w:rsid w:val="50EFBF7C"/>
    <w:rsid w:val="50F14C1E"/>
    <w:rsid w:val="50F1E4BE"/>
    <w:rsid w:val="50F59A5D"/>
    <w:rsid w:val="5104DC9D"/>
    <w:rsid w:val="51069BD3"/>
    <w:rsid w:val="5106BE7A"/>
    <w:rsid w:val="5109555E"/>
    <w:rsid w:val="510C24D6"/>
    <w:rsid w:val="510F8264"/>
    <w:rsid w:val="5111F497"/>
    <w:rsid w:val="51127F6A"/>
    <w:rsid w:val="5116F4D5"/>
    <w:rsid w:val="511CA18F"/>
    <w:rsid w:val="511D5AAE"/>
    <w:rsid w:val="511EC2B8"/>
    <w:rsid w:val="5129EF3D"/>
    <w:rsid w:val="512A2C4F"/>
    <w:rsid w:val="512C7633"/>
    <w:rsid w:val="512C93F6"/>
    <w:rsid w:val="512CDE41"/>
    <w:rsid w:val="512CE912"/>
    <w:rsid w:val="5134F6D7"/>
    <w:rsid w:val="513AC9FF"/>
    <w:rsid w:val="513CC617"/>
    <w:rsid w:val="514A8C4F"/>
    <w:rsid w:val="514DF607"/>
    <w:rsid w:val="514DF613"/>
    <w:rsid w:val="51510EDE"/>
    <w:rsid w:val="5151B2CB"/>
    <w:rsid w:val="51528363"/>
    <w:rsid w:val="51550339"/>
    <w:rsid w:val="5155F368"/>
    <w:rsid w:val="515FAFD9"/>
    <w:rsid w:val="51708D96"/>
    <w:rsid w:val="51767EA7"/>
    <w:rsid w:val="517A5DBF"/>
    <w:rsid w:val="518372C2"/>
    <w:rsid w:val="51842958"/>
    <w:rsid w:val="51851422"/>
    <w:rsid w:val="518BA23C"/>
    <w:rsid w:val="518BC8F3"/>
    <w:rsid w:val="5196A4A4"/>
    <w:rsid w:val="519BCF04"/>
    <w:rsid w:val="519CACA5"/>
    <w:rsid w:val="519E27F9"/>
    <w:rsid w:val="51ACD05B"/>
    <w:rsid w:val="51AE09E1"/>
    <w:rsid w:val="51AEED40"/>
    <w:rsid w:val="51AF2404"/>
    <w:rsid w:val="51AF9569"/>
    <w:rsid w:val="51B10912"/>
    <w:rsid w:val="51B1AA8F"/>
    <w:rsid w:val="51B21ABF"/>
    <w:rsid w:val="51BDAFE8"/>
    <w:rsid w:val="51BE8534"/>
    <w:rsid w:val="51C17883"/>
    <w:rsid w:val="51C1A5B0"/>
    <w:rsid w:val="51C353D6"/>
    <w:rsid w:val="51C7293F"/>
    <w:rsid w:val="51CAF853"/>
    <w:rsid w:val="51CFDB77"/>
    <w:rsid w:val="51D23494"/>
    <w:rsid w:val="51D3F9C5"/>
    <w:rsid w:val="51DAF931"/>
    <w:rsid w:val="51DE8351"/>
    <w:rsid w:val="51DE9698"/>
    <w:rsid w:val="51E5C631"/>
    <w:rsid w:val="51EA6854"/>
    <w:rsid w:val="51EAD3EB"/>
    <w:rsid w:val="51EDC94A"/>
    <w:rsid w:val="51EFE5FB"/>
    <w:rsid w:val="51F0ACE8"/>
    <w:rsid w:val="51F0C9A8"/>
    <w:rsid w:val="51F22396"/>
    <w:rsid w:val="51FB838A"/>
    <w:rsid w:val="51FC06C7"/>
    <w:rsid w:val="51FE0F95"/>
    <w:rsid w:val="5200B141"/>
    <w:rsid w:val="52013AF7"/>
    <w:rsid w:val="5201A989"/>
    <w:rsid w:val="52056F03"/>
    <w:rsid w:val="520B65F1"/>
    <w:rsid w:val="520B85D0"/>
    <w:rsid w:val="52150D05"/>
    <w:rsid w:val="52197444"/>
    <w:rsid w:val="521B6248"/>
    <w:rsid w:val="5225FD9F"/>
    <w:rsid w:val="5226DC03"/>
    <w:rsid w:val="52285DA4"/>
    <w:rsid w:val="522A790D"/>
    <w:rsid w:val="52330929"/>
    <w:rsid w:val="523E367F"/>
    <w:rsid w:val="5241579F"/>
    <w:rsid w:val="52427D0E"/>
    <w:rsid w:val="5242EC9B"/>
    <w:rsid w:val="5242FD91"/>
    <w:rsid w:val="524C0A59"/>
    <w:rsid w:val="524C407E"/>
    <w:rsid w:val="524CAF8B"/>
    <w:rsid w:val="524EDABC"/>
    <w:rsid w:val="5253CEDD"/>
    <w:rsid w:val="5258D5EF"/>
    <w:rsid w:val="525AB36A"/>
    <w:rsid w:val="525CE1C2"/>
    <w:rsid w:val="526CD6FC"/>
    <w:rsid w:val="526F28AB"/>
    <w:rsid w:val="5272DE1C"/>
    <w:rsid w:val="5277F58E"/>
    <w:rsid w:val="527B8242"/>
    <w:rsid w:val="527DB081"/>
    <w:rsid w:val="527DCB8D"/>
    <w:rsid w:val="5282F635"/>
    <w:rsid w:val="5284B405"/>
    <w:rsid w:val="528B95E8"/>
    <w:rsid w:val="528CD483"/>
    <w:rsid w:val="528CE7CA"/>
    <w:rsid w:val="528CF3C2"/>
    <w:rsid w:val="5290C226"/>
    <w:rsid w:val="529C52C5"/>
    <w:rsid w:val="529F4103"/>
    <w:rsid w:val="52A0928D"/>
    <w:rsid w:val="52A75CDD"/>
    <w:rsid w:val="52A84368"/>
    <w:rsid w:val="52AD0F52"/>
    <w:rsid w:val="52B4D90E"/>
    <w:rsid w:val="52B574FC"/>
    <w:rsid w:val="52BA0EDD"/>
    <w:rsid w:val="52BAABDE"/>
    <w:rsid w:val="52BD0286"/>
    <w:rsid w:val="52BE935A"/>
    <w:rsid w:val="52C0785C"/>
    <w:rsid w:val="52C8E7FE"/>
    <w:rsid w:val="52CA3F67"/>
    <w:rsid w:val="52CC1730"/>
    <w:rsid w:val="52CD9B1E"/>
    <w:rsid w:val="52CE651C"/>
    <w:rsid w:val="52D337B2"/>
    <w:rsid w:val="52D38BE6"/>
    <w:rsid w:val="52D6863D"/>
    <w:rsid w:val="52D82895"/>
    <w:rsid w:val="52DD1C3D"/>
    <w:rsid w:val="52DF544B"/>
    <w:rsid w:val="52E07A5C"/>
    <w:rsid w:val="52E20E1D"/>
    <w:rsid w:val="52E6A862"/>
    <w:rsid w:val="52EA29C9"/>
    <w:rsid w:val="52EF2BC1"/>
    <w:rsid w:val="52F3E4D3"/>
    <w:rsid w:val="52F4BAD2"/>
    <w:rsid w:val="52F83955"/>
    <w:rsid w:val="52F98729"/>
    <w:rsid w:val="52FB800C"/>
    <w:rsid w:val="52FBAEEE"/>
    <w:rsid w:val="53029049"/>
    <w:rsid w:val="53043CD8"/>
    <w:rsid w:val="530B5A4B"/>
    <w:rsid w:val="530BE2F4"/>
    <w:rsid w:val="530E998D"/>
    <w:rsid w:val="5314034A"/>
    <w:rsid w:val="5315A51B"/>
    <w:rsid w:val="5316A7A0"/>
    <w:rsid w:val="5318BA19"/>
    <w:rsid w:val="531CADE1"/>
    <w:rsid w:val="531F5914"/>
    <w:rsid w:val="531FB961"/>
    <w:rsid w:val="532B5F76"/>
    <w:rsid w:val="532CD778"/>
    <w:rsid w:val="53305DF8"/>
    <w:rsid w:val="53328B01"/>
    <w:rsid w:val="5334FCAE"/>
    <w:rsid w:val="53389120"/>
    <w:rsid w:val="5338CA65"/>
    <w:rsid w:val="5339F85A"/>
    <w:rsid w:val="5340943C"/>
    <w:rsid w:val="5342CC9D"/>
    <w:rsid w:val="53438ECE"/>
    <w:rsid w:val="53445692"/>
    <w:rsid w:val="534549CA"/>
    <w:rsid w:val="534681E4"/>
    <w:rsid w:val="53468352"/>
    <w:rsid w:val="534698D4"/>
    <w:rsid w:val="53472E80"/>
    <w:rsid w:val="534AF9B9"/>
    <w:rsid w:val="534C2E30"/>
    <w:rsid w:val="534CAF24"/>
    <w:rsid w:val="534D2DD2"/>
    <w:rsid w:val="535F3A07"/>
    <w:rsid w:val="53622F02"/>
    <w:rsid w:val="53651219"/>
    <w:rsid w:val="5365EFAB"/>
    <w:rsid w:val="53680F40"/>
    <w:rsid w:val="5369FEE8"/>
    <w:rsid w:val="536A89F0"/>
    <w:rsid w:val="53709106"/>
    <w:rsid w:val="53739AD5"/>
    <w:rsid w:val="5377CB44"/>
    <w:rsid w:val="537B8EA2"/>
    <w:rsid w:val="537C438C"/>
    <w:rsid w:val="537E37F7"/>
    <w:rsid w:val="537EBD69"/>
    <w:rsid w:val="53810434"/>
    <w:rsid w:val="5385B4C6"/>
    <w:rsid w:val="538B8947"/>
    <w:rsid w:val="5396A33D"/>
    <w:rsid w:val="5397013B"/>
    <w:rsid w:val="539BD5EF"/>
    <w:rsid w:val="53A08EDA"/>
    <w:rsid w:val="53A14B16"/>
    <w:rsid w:val="53A52859"/>
    <w:rsid w:val="53A7C505"/>
    <w:rsid w:val="53A94ED2"/>
    <w:rsid w:val="53ADD2AB"/>
    <w:rsid w:val="53B18487"/>
    <w:rsid w:val="53B3B274"/>
    <w:rsid w:val="53B4DE04"/>
    <w:rsid w:val="53B94B3E"/>
    <w:rsid w:val="53BC6298"/>
    <w:rsid w:val="53BF3F5C"/>
    <w:rsid w:val="53C0E393"/>
    <w:rsid w:val="53C43C97"/>
    <w:rsid w:val="53C5B6AF"/>
    <w:rsid w:val="53CC30C2"/>
    <w:rsid w:val="53CC8EC4"/>
    <w:rsid w:val="53CDE38A"/>
    <w:rsid w:val="53D2E185"/>
    <w:rsid w:val="53D4DAB3"/>
    <w:rsid w:val="53DECC19"/>
    <w:rsid w:val="53E00FBB"/>
    <w:rsid w:val="53EB5228"/>
    <w:rsid w:val="53F86B9B"/>
    <w:rsid w:val="53F88629"/>
    <w:rsid w:val="53F92934"/>
    <w:rsid w:val="53FD5D51"/>
    <w:rsid w:val="53FE2419"/>
    <w:rsid w:val="53FF3BD3"/>
    <w:rsid w:val="54000AB5"/>
    <w:rsid w:val="540458D0"/>
    <w:rsid w:val="5405AF90"/>
    <w:rsid w:val="5407A233"/>
    <w:rsid w:val="5409C043"/>
    <w:rsid w:val="540B2CE9"/>
    <w:rsid w:val="540B4094"/>
    <w:rsid w:val="540C0F0D"/>
    <w:rsid w:val="54104D63"/>
    <w:rsid w:val="54157E9B"/>
    <w:rsid w:val="5417F59B"/>
    <w:rsid w:val="541CBA4E"/>
    <w:rsid w:val="541F3C63"/>
    <w:rsid w:val="5423F603"/>
    <w:rsid w:val="542B6B5B"/>
    <w:rsid w:val="542E864B"/>
    <w:rsid w:val="542E87C0"/>
    <w:rsid w:val="5430792E"/>
    <w:rsid w:val="5439386B"/>
    <w:rsid w:val="543F5493"/>
    <w:rsid w:val="54414CDB"/>
    <w:rsid w:val="5441CF00"/>
    <w:rsid w:val="5445E9D0"/>
    <w:rsid w:val="5449321C"/>
    <w:rsid w:val="54498703"/>
    <w:rsid w:val="544AE834"/>
    <w:rsid w:val="544BBE33"/>
    <w:rsid w:val="544E2F9B"/>
    <w:rsid w:val="5450D406"/>
    <w:rsid w:val="5457A5EF"/>
    <w:rsid w:val="545E877F"/>
    <w:rsid w:val="54616D0D"/>
    <w:rsid w:val="54635016"/>
    <w:rsid w:val="5468D1D9"/>
    <w:rsid w:val="5468DD08"/>
    <w:rsid w:val="54725D04"/>
    <w:rsid w:val="5475273B"/>
    <w:rsid w:val="547CA4B0"/>
    <w:rsid w:val="54813B33"/>
    <w:rsid w:val="54837C3F"/>
    <w:rsid w:val="548F2401"/>
    <w:rsid w:val="54915206"/>
    <w:rsid w:val="5492B47E"/>
    <w:rsid w:val="54936A2E"/>
    <w:rsid w:val="54A10CBE"/>
    <w:rsid w:val="54A8E66E"/>
    <w:rsid w:val="54A8EBC1"/>
    <w:rsid w:val="54AA9284"/>
    <w:rsid w:val="54B31577"/>
    <w:rsid w:val="54B5A64D"/>
    <w:rsid w:val="54BA6D49"/>
    <w:rsid w:val="54BA8430"/>
    <w:rsid w:val="54BD37A9"/>
    <w:rsid w:val="54C1C323"/>
    <w:rsid w:val="54C3F6AF"/>
    <w:rsid w:val="54C5CE42"/>
    <w:rsid w:val="54C5DC02"/>
    <w:rsid w:val="54C7790A"/>
    <w:rsid w:val="54CBAF1C"/>
    <w:rsid w:val="54D42738"/>
    <w:rsid w:val="54D5F257"/>
    <w:rsid w:val="54D88E0D"/>
    <w:rsid w:val="54D8D343"/>
    <w:rsid w:val="54DC649D"/>
    <w:rsid w:val="54DD54D1"/>
    <w:rsid w:val="54DD5674"/>
    <w:rsid w:val="54DF8D5D"/>
    <w:rsid w:val="54DFF956"/>
    <w:rsid w:val="54E6D3BE"/>
    <w:rsid w:val="54F5910F"/>
    <w:rsid w:val="54F6EF55"/>
    <w:rsid w:val="54FCA8D5"/>
    <w:rsid w:val="54FE5E18"/>
    <w:rsid w:val="5500D0B3"/>
    <w:rsid w:val="5502CACC"/>
    <w:rsid w:val="5504BCBC"/>
    <w:rsid w:val="550DA17E"/>
    <w:rsid w:val="550E2029"/>
    <w:rsid w:val="550E6478"/>
    <w:rsid w:val="5510267C"/>
    <w:rsid w:val="551DB36A"/>
    <w:rsid w:val="552434EE"/>
    <w:rsid w:val="55268312"/>
    <w:rsid w:val="552E8A23"/>
    <w:rsid w:val="552EA062"/>
    <w:rsid w:val="55334C16"/>
    <w:rsid w:val="553414FE"/>
    <w:rsid w:val="5534D2A5"/>
    <w:rsid w:val="5536E2EC"/>
    <w:rsid w:val="5537201D"/>
    <w:rsid w:val="55399758"/>
    <w:rsid w:val="553C0862"/>
    <w:rsid w:val="553FD85F"/>
    <w:rsid w:val="5540B222"/>
    <w:rsid w:val="5544631E"/>
    <w:rsid w:val="5545B987"/>
    <w:rsid w:val="5549C814"/>
    <w:rsid w:val="554E0371"/>
    <w:rsid w:val="5555A196"/>
    <w:rsid w:val="555A3B34"/>
    <w:rsid w:val="555A5A50"/>
    <w:rsid w:val="555B7F7F"/>
    <w:rsid w:val="55616F10"/>
    <w:rsid w:val="5567B38D"/>
    <w:rsid w:val="556ADDF9"/>
    <w:rsid w:val="556B1149"/>
    <w:rsid w:val="556D02C4"/>
    <w:rsid w:val="556D96B9"/>
    <w:rsid w:val="557B12B0"/>
    <w:rsid w:val="557DBEDE"/>
    <w:rsid w:val="558BC504"/>
    <w:rsid w:val="559286C5"/>
    <w:rsid w:val="5597660B"/>
    <w:rsid w:val="5598743C"/>
    <w:rsid w:val="559AEEB6"/>
    <w:rsid w:val="559B3F56"/>
    <w:rsid w:val="55A01B02"/>
    <w:rsid w:val="55A44D6B"/>
    <w:rsid w:val="55A81437"/>
    <w:rsid w:val="55B05440"/>
    <w:rsid w:val="55B0EC9E"/>
    <w:rsid w:val="55B13A63"/>
    <w:rsid w:val="55B1B992"/>
    <w:rsid w:val="55B6A781"/>
    <w:rsid w:val="55B82ECF"/>
    <w:rsid w:val="55BA5386"/>
    <w:rsid w:val="55BF25B8"/>
    <w:rsid w:val="55C29D5B"/>
    <w:rsid w:val="55C36A7B"/>
    <w:rsid w:val="55C9464E"/>
    <w:rsid w:val="55C9BE89"/>
    <w:rsid w:val="55CB089B"/>
    <w:rsid w:val="55D02261"/>
    <w:rsid w:val="55D9BDB3"/>
    <w:rsid w:val="55DAF31E"/>
    <w:rsid w:val="55DFF51F"/>
    <w:rsid w:val="55E4831F"/>
    <w:rsid w:val="55EA480E"/>
    <w:rsid w:val="55EDF9C9"/>
    <w:rsid w:val="55EFD407"/>
    <w:rsid w:val="55F2DE9F"/>
    <w:rsid w:val="55F53AAB"/>
    <w:rsid w:val="55F63807"/>
    <w:rsid w:val="55FBD2AE"/>
    <w:rsid w:val="56060582"/>
    <w:rsid w:val="56074DA0"/>
    <w:rsid w:val="5607B34E"/>
    <w:rsid w:val="5609D905"/>
    <w:rsid w:val="560A338D"/>
    <w:rsid w:val="560E239B"/>
    <w:rsid w:val="56163B2D"/>
    <w:rsid w:val="5619943B"/>
    <w:rsid w:val="561A1F99"/>
    <w:rsid w:val="561CA906"/>
    <w:rsid w:val="561F65C3"/>
    <w:rsid w:val="56206CC7"/>
    <w:rsid w:val="56230886"/>
    <w:rsid w:val="56238694"/>
    <w:rsid w:val="5627F559"/>
    <w:rsid w:val="562B9B58"/>
    <w:rsid w:val="562E3246"/>
    <w:rsid w:val="562EF6F2"/>
    <w:rsid w:val="56341773"/>
    <w:rsid w:val="56358C06"/>
    <w:rsid w:val="56429EF9"/>
    <w:rsid w:val="5642E84D"/>
    <w:rsid w:val="56461882"/>
    <w:rsid w:val="56497ED5"/>
    <w:rsid w:val="564DF382"/>
    <w:rsid w:val="5654A61E"/>
    <w:rsid w:val="56592F61"/>
    <w:rsid w:val="565A94B9"/>
    <w:rsid w:val="566027D7"/>
    <w:rsid w:val="56604167"/>
    <w:rsid w:val="56620F08"/>
    <w:rsid w:val="56626137"/>
    <w:rsid w:val="566DA987"/>
    <w:rsid w:val="566EEA82"/>
    <w:rsid w:val="56721070"/>
    <w:rsid w:val="567620FC"/>
    <w:rsid w:val="5678DDC9"/>
    <w:rsid w:val="5679BAA7"/>
    <w:rsid w:val="5679D5BD"/>
    <w:rsid w:val="567ABF02"/>
    <w:rsid w:val="567EEECF"/>
    <w:rsid w:val="5683F213"/>
    <w:rsid w:val="568471A5"/>
    <w:rsid w:val="56879918"/>
    <w:rsid w:val="568CC1E7"/>
    <w:rsid w:val="568FB9E4"/>
    <w:rsid w:val="56922932"/>
    <w:rsid w:val="56A08F65"/>
    <w:rsid w:val="56A84434"/>
    <w:rsid w:val="56A97DEE"/>
    <w:rsid w:val="56AC6611"/>
    <w:rsid w:val="56ADAD8A"/>
    <w:rsid w:val="56AE52C3"/>
    <w:rsid w:val="56B186CF"/>
    <w:rsid w:val="56B2AF4C"/>
    <w:rsid w:val="56B90ED8"/>
    <w:rsid w:val="56B98800"/>
    <w:rsid w:val="56BA308F"/>
    <w:rsid w:val="56BB048D"/>
    <w:rsid w:val="56BB7734"/>
    <w:rsid w:val="56BC90F7"/>
    <w:rsid w:val="56BFEBAA"/>
    <w:rsid w:val="56C209D3"/>
    <w:rsid w:val="56C54448"/>
    <w:rsid w:val="56C72C13"/>
    <w:rsid w:val="56CE3683"/>
    <w:rsid w:val="56D40FE9"/>
    <w:rsid w:val="56D4D5B9"/>
    <w:rsid w:val="56DB081C"/>
    <w:rsid w:val="56E7E057"/>
    <w:rsid w:val="56E80D8A"/>
    <w:rsid w:val="56ECF406"/>
    <w:rsid w:val="56EDD9EA"/>
    <w:rsid w:val="56EF5DF9"/>
    <w:rsid w:val="56F0669F"/>
    <w:rsid w:val="56F44A3B"/>
    <w:rsid w:val="56F55DF0"/>
    <w:rsid w:val="56F61DD5"/>
    <w:rsid w:val="56F69C61"/>
    <w:rsid w:val="56F6E195"/>
    <w:rsid w:val="56F85569"/>
    <w:rsid w:val="56F9A055"/>
    <w:rsid w:val="56FED2B5"/>
    <w:rsid w:val="57093180"/>
    <w:rsid w:val="570B2AEC"/>
    <w:rsid w:val="570DC4C7"/>
    <w:rsid w:val="57159D60"/>
    <w:rsid w:val="5717FAF1"/>
    <w:rsid w:val="57193B95"/>
    <w:rsid w:val="571B4D92"/>
    <w:rsid w:val="5725757B"/>
    <w:rsid w:val="572A447B"/>
    <w:rsid w:val="572EB6D1"/>
    <w:rsid w:val="572F40B4"/>
    <w:rsid w:val="5733B6EC"/>
    <w:rsid w:val="57340DF4"/>
    <w:rsid w:val="5736B909"/>
    <w:rsid w:val="573B856C"/>
    <w:rsid w:val="573FA3B3"/>
    <w:rsid w:val="5740F240"/>
    <w:rsid w:val="5741EDDD"/>
    <w:rsid w:val="574756D0"/>
    <w:rsid w:val="574A7647"/>
    <w:rsid w:val="574F0F6F"/>
    <w:rsid w:val="57526327"/>
    <w:rsid w:val="575462BE"/>
    <w:rsid w:val="57554237"/>
    <w:rsid w:val="575A1BB5"/>
    <w:rsid w:val="575C59D2"/>
    <w:rsid w:val="5762BD48"/>
    <w:rsid w:val="5762CE19"/>
    <w:rsid w:val="57632A58"/>
    <w:rsid w:val="57673D6D"/>
    <w:rsid w:val="5767BBF1"/>
    <w:rsid w:val="576D5B2E"/>
    <w:rsid w:val="5772C5FC"/>
    <w:rsid w:val="5773334E"/>
    <w:rsid w:val="5774893B"/>
    <w:rsid w:val="57787C5D"/>
    <w:rsid w:val="577E205B"/>
    <w:rsid w:val="577FCE2F"/>
    <w:rsid w:val="57864FEE"/>
    <w:rsid w:val="578B1E7A"/>
    <w:rsid w:val="578D7647"/>
    <w:rsid w:val="5792A153"/>
    <w:rsid w:val="5793ADA4"/>
    <w:rsid w:val="5793E80D"/>
    <w:rsid w:val="57957064"/>
    <w:rsid w:val="5795D323"/>
    <w:rsid w:val="57964014"/>
    <w:rsid w:val="579A279D"/>
    <w:rsid w:val="579AB382"/>
    <w:rsid w:val="579D3208"/>
    <w:rsid w:val="579DC00C"/>
    <w:rsid w:val="57A494B8"/>
    <w:rsid w:val="57A604BC"/>
    <w:rsid w:val="57A63A6B"/>
    <w:rsid w:val="57AD3F05"/>
    <w:rsid w:val="57AFE089"/>
    <w:rsid w:val="57B567C0"/>
    <w:rsid w:val="57B68833"/>
    <w:rsid w:val="57B9C4B8"/>
    <w:rsid w:val="57BA9C2F"/>
    <w:rsid w:val="57CE9ED5"/>
    <w:rsid w:val="57D35F6E"/>
    <w:rsid w:val="57D71E8F"/>
    <w:rsid w:val="57E3606B"/>
    <w:rsid w:val="57E4851C"/>
    <w:rsid w:val="57E68AA9"/>
    <w:rsid w:val="57E78F66"/>
    <w:rsid w:val="57E8DBA5"/>
    <w:rsid w:val="57EAD8F0"/>
    <w:rsid w:val="57ED3721"/>
    <w:rsid w:val="57EFD4C3"/>
    <w:rsid w:val="57F07303"/>
    <w:rsid w:val="57F22F36"/>
    <w:rsid w:val="57FC620C"/>
    <w:rsid w:val="57FDB308"/>
    <w:rsid w:val="580156A6"/>
    <w:rsid w:val="580378C0"/>
    <w:rsid w:val="580547AA"/>
    <w:rsid w:val="5805548C"/>
    <w:rsid w:val="580E396D"/>
    <w:rsid w:val="581238F1"/>
    <w:rsid w:val="581356F2"/>
    <w:rsid w:val="581453C4"/>
    <w:rsid w:val="5814F6E6"/>
    <w:rsid w:val="581B9D41"/>
    <w:rsid w:val="581C8B44"/>
    <w:rsid w:val="581D7461"/>
    <w:rsid w:val="5820499D"/>
    <w:rsid w:val="582094D4"/>
    <w:rsid w:val="582106D3"/>
    <w:rsid w:val="5821FBF5"/>
    <w:rsid w:val="5822D9EF"/>
    <w:rsid w:val="582A132A"/>
    <w:rsid w:val="582B4256"/>
    <w:rsid w:val="582D9D62"/>
    <w:rsid w:val="582DE0E3"/>
    <w:rsid w:val="5832982B"/>
    <w:rsid w:val="58336054"/>
    <w:rsid w:val="583A3055"/>
    <w:rsid w:val="58420BF9"/>
    <w:rsid w:val="58447EA8"/>
    <w:rsid w:val="584647AD"/>
    <w:rsid w:val="585796A2"/>
    <w:rsid w:val="5865AE0D"/>
    <w:rsid w:val="58662E1A"/>
    <w:rsid w:val="5868A295"/>
    <w:rsid w:val="586B2F39"/>
    <w:rsid w:val="586EA503"/>
    <w:rsid w:val="586FF2C5"/>
    <w:rsid w:val="5870A61A"/>
    <w:rsid w:val="58730F5B"/>
    <w:rsid w:val="58734712"/>
    <w:rsid w:val="58776C5E"/>
    <w:rsid w:val="587B6C54"/>
    <w:rsid w:val="587C84D6"/>
    <w:rsid w:val="5880BD58"/>
    <w:rsid w:val="5888E45E"/>
    <w:rsid w:val="588FEAE0"/>
    <w:rsid w:val="58917B3C"/>
    <w:rsid w:val="5893DDC5"/>
    <w:rsid w:val="5893F94F"/>
    <w:rsid w:val="5894A8E5"/>
    <w:rsid w:val="58954FC6"/>
    <w:rsid w:val="5896512A"/>
    <w:rsid w:val="589A477E"/>
    <w:rsid w:val="58A3257E"/>
    <w:rsid w:val="58AB9265"/>
    <w:rsid w:val="58AC611E"/>
    <w:rsid w:val="58ADC6E9"/>
    <w:rsid w:val="58AFAB5D"/>
    <w:rsid w:val="58B0C298"/>
    <w:rsid w:val="58B42EF7"/>
    <w:rsid w:val="58B44EC2"/>
    <w:rsid w:val="58B5D814"/>
    <w:rsid w:val="58B60238"/>
    <w:rsid w:val="58B7002D"/>
    <w:rsid w:val="58B84C14"/>
    <w:rsid w:val="58BD36B8"/>
    <w:rsid w:val="58BFA34D"/>
    <w:rsid w:val="58C31E5B"/>
    <w:rsid w:val="58C7848F"/>
    <w:rsid w:val="58C7C2A9"/>
    <w:rsid w:val="58CAAE0D"/>
    <w:rsid w:val="58CBD248"/>
    <w:rsid w:val="58CC9A57"/>
    <w:rsid w:val="58D008BA"/>
    <w:rsid w:val="58D21BDD"/>
    <w:rsid w:val="58D226BF"/>
    <w:rsid w:val="58D40564"/>
    <w:rsid w:val="58D726CC"/>
    <w:rsid w:val="58DD4843"/>
    <w:rsid w:val="58E62FBF"/>
    <w:rsid w:val="58E7709E"/>
    <w:rsid w:val="58ECE9AE"/>
    <w:rsid w:val="58F89CC6"/>
    <w:rsid w:val="58FA7BE7"/>
    <w:rsid w:val="58FB93F9"/>
    <w:rsid w:val="58FD347E"/>
    <w:rsid w:val="590478C1"/>
    <w:rsid w:val="5914F5EE"/>
    <w:rsid w:val="5915C01F"/>
    <w:rsid w:val="5917BA4D"/>
    <w:rsid w:val="591A7C4C"/>
    <w:rsid w:val="591C91C0"/>
    <w:rsid w:val="591CFC11"/>
    <w:rsid w:val="591DE261"/>
    <w:rsid w:val="5924222F"/>
    <w:rsid w:val="592DE29D"/>
    <w:rsid w:val="592F1B60"/>
    <w:rsid w:val="5938FC8E"/>
    <w:rsid w:val="593D2CC4"/>
    <w:rsid w:val="593E5FF6"/>
    <w:rsid w:val="593F7053"/>
    <w:rsid w:val="59433DB7"/>
    <w:rsid w:val="5944E097"/>
    <w:rsid w:val="59475E9E"/>
    <w:rsid w:val="59490F66"/>
    <w:rsid w:val="594F0842"/>
    <w:rsid w:val="595148D9"/>
    <w:rsid w:val="595516E8"/>
    <w:rsid w:val="59551E2E"/>
    <w:rsid w:val="59553410"/>
    <w:rsid w:val="5955A5BF"/>
    <w:rsid w:val="5956AF73"/>
    <w:rsid w:val="595CC82B"/>
    <w:rsid w:val="5965E0CF"/>
    <w:rsid w:val="5966F67B"/>
    <w:rsid w:val="596A4704"/>
    <w:rsid w:val="596B8EEB"/>
    <w:rsid w:val="5971B6E0"/>
    <w:rsid w:val="597629ED"/>
    <w:rsid w:val="5979DED8"/>
    <w:rsid w:val="5981602B"/>
    <w:rsid w:val="5986D715"/>
    <w:rsid w:val="5986E79E"/>
    <w:rsid w:val="59880B06"/>
    <w:rsid w:val="598CCD64"/>
    <w:rsid w:val="598D6801"/>
    <w:rsid w:val="598E235A"/>
    <w:rsid w:val="59908419"/>
    <w:rsid w:val="5994A5A7"/>
    <w:rsid w:val="599A389E"/>
    <w:rsid w:val="599BFD41"/>
    <w:rsid w:val="599EB8EE"/>
    <w:rsid w:val="59A2619F"/>
    <w:rsid w:val="59A33BC2"/>
    <w:rsid w:val="59A7F3AD"/>
    <w:rsid w:val="59ADC1BE"/>
    <w:rsid w:val="59B0B21A"/>
    <w:rsid w:val="59B5B491"/>
    <w:rsid w:val="59B60AD2"/>
    <w:rsid w:val="59B7A985"/>
    <w:rsid w:val="59BA4EF6"/>
    <w:rsid w:val="59BBD1D4"/>
    <w:rsid w:val="59BCB02A"/>
    <w:rsid w:val="59BDCC56"/>
    <w:rsid w:val="59BE0A02"/>
    <w:rsid w:val="59C0CF78"/>
    <w:rsid w:val="59C2574A"/>
    <w:rsid w:val="59C4A420"/>
    <w:rsid w:val="59C9D193"/>
    <w:rsid w:val="59CA20AE"/>
    <w:rsid w:val="59CC018F"/>
    <w:rsid w:val="59D0160F"/>
    <w:rsid w:val="59D271E8"/>
    <w:rsid w:val="59D2D34F"/>
    <w:rsid w:val="59D57567"/>
    <w:rsid w:val="59D954BF"/>
    <w:rsid w:val="59D99E55"/>
    <w:rsid w:val="59DA8277"/>
    <w:rsid w:val="59DB861C"/>
    <w:rsid w:val="59E39E74"/>
    <w:rsid w:val="59E52904"/>
    <w:rsid w:val="59E65853"/>
    <w:rsid w:val="59EE0B21"/>
    <w:rsid w:val="59F05ACE"/>
    <w:rsid w:val="59F13271"/>
    <w:rsid w:val="59F4C665"/>
    <w:rsid w:val="59F8CC09"/>
    <w:rsid w:val="59F96791"/>
    <w:rsid w:val="5A045127"/>
    <w:rsid w:val="5A0D9EBA"/>
    <w:rsid w:val="5A0E0AAE"/>
    <w:rsid w:val="5A11D5B0"/>
    <w:rsid w:val="5A142368"/>
    <w:rsid w:val="5A15DBBB"/>
    <w:rsid w:val="5A161F2B"/>
    <w:rsid w:val="5A1C607A"/>
    <w:rsid w:val="5A23FFFB"/>
    <w:rsid w:val="5A26722F"/>
    <w:rsid w:val="5A26A1C7"/>
    <w:rsid w:val="5A2AD615"/>
    <w:rsid w:val="5A2B9418"/>
    <w:rsid w:val="5A2D26BC"/>
    <w:rsid w:val="5A310CA0"/>
    <w:rsid w:val="5A32C180"/>
    <w:rsid w:val="5A3A0A31"/>
    <w:rsid w:val="5A3ABD9E"/>
    <w:rsid w:val="5A3C4331"/>
    <w:rsid w:val="5A3CE312"/>
    <w:rsid w:val="5A3D250E"/>
    <w:rsid w:val="5A45636E"/>
    <w:rsid w:val="5A4596BF"/>
    <w:rsid w:val="5A48E83C"/>
    <w:rsid w:val="5A496385"/>
    <w:rsid w:val="5A501B9C"/>
    <w:rsid w:val="5A56A70B"/>
    <w:rsid w:val="5A57A2B9"/>
    <w:rsid w:val="5A5B7045"/>
    <w:rsid w:val="5A5D293E"/>
    <w:rsid w:val="5A5E2140"/>
    <w:rsid w:val="5A6369E6"/>
    <w:rsid w:val="5A653ED4"/>
    <w:rsid w:val="5A664BAB"/>
    <w:rsid w:val="5A6AF223"/>
    <w:rsid w:val="5A6E235B"/>
    <w:rsid w:val="5A6F70A1"/>
    <w:rsid w:val="5A747B19"/>
    <w:rsid w:val="5A79D70A"/>
    <w:rsid w:val="5A7A8062"/>
    <w:rsid w:val="5A7C6BE7"/>
    <w:rsid w:val="5A826E81"/>
    <w:rsid w:val="5A83DFAB"/>
    <w:rsid w:val="5A8B7DE6"/>
    <w:rsid w:val="5A8B9CBE"/>
    <w:rsid w:val="5A8DB04D"/>
    <w:rsid w:val="5A93BF21"/>
    <w:rsid w:val="5A948D2C"/>
    <w:rsid w:val="5A95C9F4"/>
    <w:rsid w:val="5A9CFD2D"/>
    <w:rsid w:val="5A9EA0D6"/>
    <w:rsid w:val="5A9EFC3F"/>
    <w:rsid w:val="5A9F0D98"/>
    <w:rsid w:val="5AA47493"/>
    <w:rsid w:val="5AA5F2DD"/>
    <w:rsid w:val="5AA62675"/>
    <w:rsid w:val="5AB1331F"/>
    <w:rsid w:val="5AB2C3F3"/>
    <w:rsid w:val="5AB74072"/>
    <w:rsid w:val="5AB86BFB"/>
    <w:rsid w:val="5ABCFB4C"/>
    <w:rsid w:val="5ABDD6D8"/>
    <w:rsid w:val="5ABE99B2"/>
    <w:rsid w:val="5AC316DD"/>
    <w:rsid w:val="5AC4172C"/>
    <w:rsid w:val="5AC46A73"/>
    <w:rsid w:val="5AC7CCE6"/>
    <w:rsid w:val="5AC8764C"/>
    <w:rsid w:val="5AD36BBD"/>
    <w:rsid w:val="5AD385AC"/>
    <w:rsid w:val="5AD40436"/>
    <w:rsid w:val="5AD8B54E"/>
    <w:rsid w:val="5AD8E9D7"/>
    <w:rsid w:val="5ADAD109"/>
    <w:rsid w:val="5ADEA5E6"/>
    <w:rsid w:val="5ADF2225"/>
    <w:rsid w:val="5AE0D007"/>
    <w:rsid w:val="5AE21BC7"/>
    <w:rsid w:val="5AE23E1F"/>
    <w:rsid w:val="5AE3D2FF"/>
    <w:rsid w:val="5AE44FC3"/>
    <w:rsid w:val="5AE9D89C"/>
    <w:rsid w:val="5AEEF3F2"/>
    <w:rsid w:val="5AF45C61"/>
    <w:rsid w:val="5AF96340"/>
    <w:rsid w:val="5AFAAA72"/>
    <w:rsid w:val="5AFD83E7"/>
    <w:rsid w:val="5B020A2B"/>
    <w:rsid w:val="5B02DA66"/>
    <w:rsid w:val="5B03A89D"/>
    <w:rsid w:val="5B05C6CA"/>
    <w:rsid w:val="5B062EC7"/>
    <w:rsid w:val="5B074ABE"/>
    <w:rsid w:val="5B0D7C2B"/>
    <w:rsid w:val="5B105208"/>
    <w:rsid w:val="5B10BEAE"/>
    <w:rsid w:val="5B12EB36"/>
    <w:rsid w:val="5B12EF69"/>
    <w:rsid w:val="5B154AD5"/>
    <w:rsid w:val="5B161F9F"/>
    <w:rsid w:val="5B167381"/>
    <w:rsid w:val="5B183481"/>
    <w:rsid w:val="5B18DB65"/>
    <w:rsid w:val="5B1B67CB"/>
    <w:rsid w:val="5B1EA212"/>
    <w:rsid w:val="5B1FC4B2"/>
    <w:rsid w:val="5B2614D8"/>
    <w:rsid w:val="5B26B45A"/>
    <w:rsid w:val="5B276898"/>
    <w:rsid w:val="5B29B02B"/>
    <w:rsid w:val="5B29E119"/>
    <w:rsid w:val="5B2A1F7B"/>
    <w:rsid w:val="5B35DFC5"/>
    <w:rsid w:val="5B368E42"/>
    <w:rsid w:val="5B3885B4"/>
    <w:rsid w:val="5B3A05E3"/>
    <w:rsid w:val="5B3BBBC6"/>
    <w:rsid w:val="5B3D822E"/>
    <w:rsid w:val="5B3D8BD3"/>
    <w:rsid w:val="5B3DAE81"/>
    <w:rsid w:val="5B4A88D2"/>
    <w:rsid w:val="5B4B952C"/>
    <w:rsid w:val="5B4F5F15"/>
    <w:rsid w:val="5B51E33F"/>
    <w:rsid w:val="5B5470D4"/>
    <w:rsid w:val="5B56064A"/>
    <w:rsid w:val="5B56D63C"/>
    <w:rsid w:val="5B5914D6"/>
    <w:rsid w:val="5B5C8BC9"/>
    <w:rsid w:val="5B603BC8"/>
    <w:rsid w:val="5B64B717"/>
    <w:rsid w:val="5B66ADA2"/>
    <w:rsid w:val="5B689FE2"/>
    <w:rsid w:val="5B693B61"/>
    <w:rsid w:val="5B69659D"/>
    <w:rsid w:val="5B6B47C3"/>
    <w:rsid w:val="5B6DA780"/>
    <w:rsid w:val="5B7081D5"/>
    <w:rsid w:val="5B731173"/>
    <w:rsid w:val="5B73332F"/>
    <w:rsid w:val="5B76A7C3"/>
    <w:rsid w:val="5B79CEE5"/>
    <w:rsid w:val="5B7BAF0A"/>
    <w:rsid w:val="5B7CE9B2"/>
    <w:rsid w:val="5B859416"/>
    <w:rsid w:val="5B85C59B"/>
    <w:rsid w:val="5B86ABBE"/>
    <w:rsid w:val="5B87F018"/>
    <w:rsid w:val="5B88C32D"/>
    <w:rsid w:val="5B8CB898"/>
    <w:rsid w:val="5B943330"/>
    <w:rsid w:val="5B988713"/>
    <w:rsid w:val="5BA2FAE0"/>
    <w:rsid w:val="5BA5D6C1"/>
    <w:rsid w:val="5BAA4203"/>
    <w:rsid w:val="5BAF6021"/>
    <w:rsid w:val="5BB03F9F"/>
    <w:rsid w:val="5BB10DA3"/>
    <w:rsid w:val="5BB1B97C"/>
    <w:rsid w:val="5BB20998"/>
    <w:rsid w:val="5BC140C5"/>
    <w:rsid w:val="5BC58A55"/>
    <w:rsid w:val="5BC635C1"/>
    <w:rsid w:val="5BC8147A"/>
    <w:rsid w:val="5BD5B1A4"/>
    <w:rsid w:val="5BD77AE5"/>
    <w:rsid w:val="5BDC23AC"/>
    <w:rsid w:val="5BDDB95A"/>
    <w:rsid w:val="5BDE1EBA"/>
    <w:rsid w:val="5BDF9B4B"/>
    <w:rsid w:val="5BE5B3FF"/>
    <w:rsid w:val="5BEC0602"/>
    <w:rsid w:val="5BEC5838"/>
    <w:rsid w:val="5BED45DB"/>
    <w:rsid w:val="5BEF6203"/>
    <w:rsid w:val="5BEF94D4"/>
    <w:rsid w:val="5BEFE40E"/>
    <w:rsid w:val="5BF212AD"/>
    <w:rsid w:val="5BF55465"/>
    <w:rsid w:val="5BF89F6F"/>
    <w:rsid w:val="5BFF1126"/>
    <w:rsid w:val="5BFFF765"/>
    <w:rsid w:val="5C05ADD1"/>
    <w:rsid w:val="5C0A841D"/>
    <w:rsid w:val="5C0D774F"/>
    <w:rsid w:val="5C11F877"/>
    <w:rsid w:val="5C13E712"/>
    <w:rsid w:val="5C16C86E"/>
    <w:rsid w:val="5C16EDD4"/>
    <w:rsid w:val="5C1CACF2"/>
    <w:rsid w:val="5C27B3BD"/>
    <w:rsid w:val="5C2B904C"/>
    <w:rsid w:val="5C33350D"/>
    <w:rsid w:val="5C36730F"/>
    <w:rsid w:val="5C36E1BD"/>
    <w:rsid w:val="5C3709AF"/>
    <w:rsid w:val="5C37D358"/>
    <w:rsid w:val="5C3BC4EF"/>
    <w:rsid w:val="5C3D8AA2"/>
    <w:rsid w:val="5C442559"/>
    <w:rsid w:val="5C4535B6"/>
    <w:rsid w:val="5C464E5A"/>
    <w:rsid w:val="5C46D8B1"/>
    <w:rsid w:val="5C4C1711"/>
    <w:rsid w:val="5C541D8D"/>
    <w:rsid w:val="5C56DE03"/>
    <w:rsid w:val="5C5841D0"/>
    <w:rsid w:val="5C5941C6"/>
    <w:rsid w:val="5C6080FB"/>
    <w:rsid w:val="5C63898D"/>
    <w:rsid w:val="5C676565"/>
    <w:rsid w:val="5C693EF6"/>
    <w:rsid w:val="5C7005F9"/>
    <w:rsid w:val="5C75B015"/>
    <w:rsid w:val="5C8271FD"/>
    <w:rsid w:val="5C841765"/>
    <w:rsid w:val="5C8430A7"/>
    <w:rsid w:val="5C858EEE"/>
    <w:rsid w:val="5C8753F3"/>
    <w:rsid w:val="5C883F9A"/>
    <w:rsid w:val="5C89534B"/>
    <w:rsid w:val="5C8A4A84"/>
    <w:rsid w:val="5C8EB929"/>
    <w:rsid w:val="5C91B240"/>
    <w:rsid w:val="5C9236B4"/>
    <w:rsid w:val="5C931FE7"/>
    <w:rsid w:val="5C968ACC"/>
    <w:rsid w:val="5C993FB2"/>
    <w:rsid w:val="5C9B0EBC"/>
    <w:rsid w:val="5C9BAE66"/>
    <w:rsid w:val="5CA0902E"/>
    <w:rsid w:val="5CA33C60"/>
    <w:rsid w:val="5CAA44CA"/>
    <w:rsid w:val="5CAF5273"/>
    <w:rsid w:val="5CAF9D25"/>
    <w:rsid w:val="5CB6BD81"/>
    <w:rsid w:val="5CC4CFBB"/>
    <w:rsid w:val="5CC7AC39"/>
    <w:rsid w:val="5CC84B00"/>
    <w:rsid w:val="5CCB7E94"/>
    <w:rsid w:val="5CD402D0"/>
    <w:rsid w:val="5CD4860F"/>
    <w:rsid w:val="5CDD2C9F"/>
    <w:rsid w:val="5CE1AEDF"/>
    <w:rsid w:val="5CE6262E"/>
    <w:rsid w:val="5CE72EFE"/>
    <w:rsid w:val="5CEC7792"/>
    <w:rsid w:val="5CF63CEA"/>
    <w:rsid w:val="5CFA3688"/>
    <w:rsid w:val="5CFD9E82"/>
    <w:rsid w:val="5D0178FA"/>
    <w:rsid w:val="5D09D8F1"/>
    <w:rsid w:val="5D0A12AA"/>
    <w:rsid w:val="5D0F83D9"/>
    <w:rsid w:val="5D133692"/>
    <w:rsid w:val="5D14D0F6"/>
    <w:rsid w:val="5D1AB42F"/>
    <w:rsid w:val="5D1E1EC2"/>
    <w:rsid w:val="5D24983A"/>
    <w:rsid w:val="5D25BF78"/>
    <w:rsid w:val="5D359EAA"/>
    <w:rsid w:val="5D3D03B0"/>
    <w:rsid w:val="5D40AB35"/>
    <w:rsid w:val="5D420314"/>
    <w:rsid w:val="5D4387EE"/>
    <w:rsid w:val="5D4B6D3C"/>
    <w:rsid w:val="5D4D346D"/>
    <w:rsid w:val="5D512416"/>
    <w:rsid w:val="5D54B32B"/>
    <w:rsid w:val="5D5A5440"/>
    <w:rsid w:val="5D66AB2E"/>
    <w:rsid w:val="5D66DFC1"/>
    <w:rsid w:val="5D6B242B"/>
    <w:rsid w:val="5D6D9ADF"/>
    <w:rsid w:val="5D6EEE73"/>
    <w:rsid w:val="5D73B290"/>
    <w:rsid w:val="5D75209F"/>
    <w:rsid w:val="5D759D6B"/>
    <w:rsid w:val="5D767673"/>
    <w:rsid w:val="5D793686"/>
    <w:rsid w:val="5D858D6D"/>
    <w:rsid w:val="5D85BF7D"/>
    <w:rsid w:val="5D85DCEC"/>
    <w:rsid w:val="5D86BAC5"/>
    <w:rsid w:val="5D89D29A"/>
    <w:rsid w:val="5D911FAD"/>
    <w:rsid w:val="5D91F326"/>
    <w:rsid w:val="5D93E436"/>
    <w:rsid w:val="5D96F41C"/>
    <w:rsid w:val="5D992FBA"/>
    <w:rsid w:val="5D9B09A4"/>
    <w:rsid w:val="5DA2F890"/>
    <w:rsid w:val="5DA65660"/>
    <w:rsid w:val="5DAB5575"/>
    <w:rsid w:val="5DB54465"/>
    <w:rsid w:val="5DBAD6BE"/>
    <w:rsid w:val="5DBB0DFA"/>
    <w:rsid w:val="5DBB46F4"/>
    <w:rsid w:val="5DBB6F5A"/>
    <w:rsid w:val="5DBD142E"/>
    <w:rsid w:val="5DC14E53"/>
    <w:rsid w:val="5DC37EB3"/>
    <w:rsid w:val="5DCAF835"/>
    <w:rsid w:val="5DCDF268"/>
    <w:rsid w:val="5DD45833"/>
    <w:rsid w:val="5DD4B042"/>
    <w:rsid w:val="5DD9E7C0"/>
    <w:rsid w:val="5DDA1BE4"/>
    <w:rsid w:val="5DDBD32F"/>
    <w:rsid w:val="5DE480EA"/>
    <w:rsid w:val="5DE699A0"/>
    <w:rsid w:val="5DEDE4C2"/>
    <w:rsid w:val="5DEFB239"/>
    <w:rsid w:val="5DF17AB3"/>
    <w:rsid w:val="5DF24240"/>
    <w:rsid w:val="5DF785D9"/>
    <w:rsid w:val="5DF8CA7F"/>
    <w:rsid w:val="5DFBB9E2"/>
    <w:rsid w:val="5DFBD81E"/>
    <w:rsid w:val="5E0214A1"/>
    <w:rsid w:val="5E07AAF5"/>
    <w:rsid w:val="5E07B17C"/>
    <w:rsid w:val="5E0E58EF"/>
    <w:rsid w:val="5E105382"/>
    <w:rsid w:val="5E105610"/>
    <w:rsid w:val="5E1959CC"/>
    <w:rsid w:val="5E1A0A9D"/>
    <w:rsid w:val="5E1AE512"/>
    <w:rsid w:val="5E22D103"/>
    <w:rsid w:val="5E2A13DC"/>
    <w:rsid w:val="5E2EEDC8"/>
    <w:rsid w:val="5E3FC6FC"/>
    <w:rsid w:val="5E42C44A"/>
    <w:rsid w:val="5E430D16"/>
    <w:rsid w:val="5E438795"/>
    <w:rsid w:val="5E439105"/>
    <w:rsid w:val="5E47787E"/>
    <w:rsid w:val="5E5592BB"/>
    <w:rsid w:val="5E579689"/>
    <w:rsid w:val="5E59E71A"/>
    <w:rsid w:val="5E5B7603"/>
    <w:rsid w:val="5E62E2F3"/>
    <w:rsid w:val="5E68C58F"/>
    <w:rsid w:val="5E698DBB"/>
    <w:rsid w:val="5E705B31"/>
    <w:rsid w:val="5E7385B7"/>
    <w:rsid w:val="5E76A22A"/>
    <w:rsid w:val="5E7A8B63"/>
    <w:rsid w:val="5E842162"/>
    <w:rsid w:val="5E85172C"/>
    <w:rsid w:val="5E8D2B05"/>
    <w:rsid w:val="5E8EADD5"/>
    <w:rsid w:val="5E8FCDA2"/>
    <w:rsid w:val="5E9284D7"/>
    <w:rsid w:val="5E99D42D"/>
    <w:rsid w:val="5EA02D8A"/>
    <w:rsid w:val="5EA06828"/>
    <w:rsid w:val="5EA2AB45"/>
    <w:rsid w:val="5EAC1319"/>
    <w:rsid w:val="5EB03AE6"/>
    <w:rsid w:val="5EB23A4A"/>
    <w:rsid w:val="5EB481E2"/>
    <w:rsid w:val="5EB8F460"/>
    <w:rsid w:val="5EB9EEE2"/>
    <w:rsid w:val="5EBB48A1"/>
    <w:rsid w:val="5EBCD088"/>
    <w:rsid w:val="5EC339A4"/>
    <w:rsid w:val="5EC7F43C"/>
    <w:rsid w:val="5EC9438A"/>
    <w:rsid w:val="5ECAED50"/>
    <w:rsid w:val="5ECBF057"/>
    <w:rsid w:val="5ED03A0F"/>
    <w:rsid w:val="5EDFA281"/>
    <w:rsid w:val="5EDFD4D7"/>
    <w:rsid w:val="5EE23112"/>
    <w:rsid w:val="5EE2FD30"/>
    <w:rsid w:val="5EE79DCA"/>
    <w:rsid w:val="5EE94727"/>
    <w:rsid w:val="5EEB6B76"/>
    <w:rsid w:val="5EECFB0B"/>
    <w:rsid w:val="5EED5D94"/>
    <w:rsid w:val="5EEE2F6E"/>
    <w:rsid w:val="5EF24036"/>
    <w:rsid w:val="5EFB8767"/>
    <w:rsid w:val="5EFD15D6"/>
    <w:rsid w:val="5F02BE32"/>
    <w:rsid w:val="5F039165"/>
    <w:rsid w:val="5F03D2DA"/>
    <w:rsid w:val="5F0544B3"/>
    <w:rsid w:val="5F0BEA0D"/>
    <w:rsid w:val="5F0F1134"/>
    <w:rsid w:val="5F109631"/>
    <w:rsid w:val="5F1138F6"/>
    <w:rsid w:val="5F13FECE"/>
    <w:rsid w:val="5F185F00"/>
    <w:rsid w:val="5F18E091"/>
    <w:rsid w:val="5F1C128D"/>
    <w:rsid w:val="5F1C68FE"/>
    <w:rsid w:val="5F1C752F"/>
    <w:rsid w:val="5F1D23EB"/>
    <w:rsid w:val="5F1E8190"/>
    <w:rsid w:val="5F230289"/>
    <w:rsid w:val="5F23577C"/>
    <w:rsid w:val="5F248928"/>
    <w:rsid w:val="5F2A9571"/>
    <w:rsid w:val="5F2A9760"/>
    <w:rsid w:val="5F3182F9"/>
    <w:rsid w:val="5F343FD7"/>
    <w:rsid w:val="5F349994"/>
    <w:rsid w:val="5F3B83B9"/>
    <w:rsid w:val="5F3D46F6"/>
    <w:rsid w:val="5F3F215B"/>
    <w:rsid w:val="5F41947E"/>
    <w:rsid w:val="5F422EDD"/>
    <w:rsid w:val="5F491D64"/>
    <w:rsid w:val="5F4AB110"/>
    <w:rsid w:val="5F4D59B0"/>
    <w:rsid w:val="5F5E3D1D"/>
    <w:rsid w:val="5F5EFDEE"/>
    <w:rsid w:val="5F69A2AB"/>
    <w:rsid w:val="5F6B0BC3"/>
    <w:rsid w:val="5F6D965A"/>
    <w:rsid w:val="5F6DE5C0"/>
    <w:rsid w:val="5F6E4717"/>
    <w:rsid w:val="5F6F2776"/>
    <w:rsid w:val="5F716987"/>
    <w:rsid w:val="5F717D18"/>
    <w:rsid w:val="5F7226DD"/>
    <w:rsid w:val="5F7DCCAF"/>
    <w:rsid w:val="5F82CDF8"/>
    <w:rsid w:val="5F84B138"/>
    <w:rsid w:val="5F85A6DC"/>
    <w:rsid w:val="5F874E40"/>
    <w:rsid w:val="5F883BA3"/>
    <w:rsid w:val="5F89F1C3"/>
    <w:rsid w:val="5F90DE6E"/>
    <w:rsid w:val="5F93FA6E"/>
    <w:rsid w:val="5F9D1FCE"/>
    <w:rsid w:val="5F9EA878"/>
    <w:rsid w:val="5F9FEB94"/>
    <w:rsid w:val="5FA09D92"/>
    <w:rsid w:val="5FA727E1"/>
    <w:rsid w:val="5FAF1A77"/>
    <w:rsid w:val="5FB13E10"/>
    <w:rsid w:val="5FB36879"/>
    <w:rsid w:val="5FB3BCD4"/>
    <w:rsid w:val="5FB721ED"/>
    <w:rsid w:val="5FC20E5E"/>
    <w:rsid w:val="5FC77970"/>
    <w:rsid w:val="5FCB7BE1"/>
    <w:rsid w:val="5FD9D3D8"/>
    <w:rsid w:val="5FDE9EAC"/>
    <w:rsid w:val="5FED41EA"/>
    <w:rsid w:val="5FED7B8A"/>
    <w:rsid w:val="5FEE92AB"/>
    <w:rsid w:val="5FF5B233"/>
    <w:rsid w:val="6004DE3E"/>
    <w:rsid w:val="6006C32E"/>
    <w:rsid w:val="60074BC2"/>
    <w:rsid w:val="600885CB"/>
    <w:rsid w:val="60089E9C"/>
    <w:rsid w:val="600CFC93"/>
    <w:rsid w:val="601480B5"/>
    <w:rsid w:val="6015CC16"/>
    <w:rsid w:val="6019ADEC"/>
    <w:rsid w:val="601D93E0"/>
    <w:rsid w:val="60239BAC"/>
    <w:rsid w:val="6023FA6D"/>
    <w:rsid w:val="602AAA1E"/>
    <w:rsid w:val="602B554A"/>
    <w:rsid w:val="602C03D5"/>
    <w:rsid w:val="602D22DA"/>
    <w:rsid w:val="603045C4"/>
    <w:rsid w:val="60314BB2"/>
    <w:rsid w:val="60334A19"/>
    <w:rsid w:val="603BFDEB"/>
    <w:rsid w:val="603F1623"/>
    <w:rsid w:val="60419E37"/>
    <w:rsid w:val="60427005"/>
    <w:rsid w:val="6042FCFB"/>
    <w:rsid w:val="6043F2F8"/>
    <w:rsid w:val="6044F317"/>
    <w:rsid w:val="604604A5"/>
    <w:rsid w:val="60470EF1"/>
    <w:rsid w:val="604AE065"/>
    <w:rsid w:val="604C8205"/>
    <w:rsid w:val="604C8A0E"/>
    <w:rsid w:val="604CBA47"/>
    <w:rsid w:val="6050B9C3"/>
    <w:rsid w:val="60522580"/>
    <w:rsid w:val="60548AE3"/>
    <w:rsid w:val="605FA273"/>
    <w:rsid w:val="6062AA00"/>
    <w:rsid w:val="606F136D"/>
    <w:rsid w:val="60719E40"/>
    <w:rsid w:val="607285D5"/>
    <w:rsid w:val="60771331"/>
    <w:rsid w:val="607DD434"/>
    <w:rsid w:val="608441A0"/>
    <w:rsid w:val="608954AC"/>
    <w:rsid w:val="60895E28"/>
    <w:rsid w:val="608D449E"/>
    <w:rsid w:val="608D64C3"/>
    <w:rsid w:val="6093F556"/>
    <w:rsid w:val="6094037B"/>
    <w:rsid w:val="609679CF"/>
    <w:rsid w:val="60987638"/>
    <w:rsid w:val="609B0400"/>
    <w:rsid w:val="609B9DD6"/>
    <w:rsid w:val="609C37DB"/>
    <w:rsid w:val="609D54AF"/>
    <w:rsid w:val="60A51ED1"/>
    <w:rsid w:val="60A5A8B1"/>
    <w:rsid w:val="60A69813"/>
    <w:rsid w:val="60A78C9C"/>
    <w:rsid w:val="60A81B33"/>
    <w:rsid w:val="60AA783D"/>
    <w:rsid w:val="60AC009E"/>
    <w:rsid w:val="60AC17EE"/>
    <w:rsid w:val="60B04572"/>
    <w:rsid w:val="60B49E1B"/>
    <w:rsid w:val="60B7973D"/>
    <w:rsid w:val="60BD722C"/>
    <w:rsid w:val="60BF6A3E"/>
    <w:rsid w:val="60C0D862"/>
    <w:rsid w:val="60C3D06B"/>
    <w:rsid w:val="60C8517A"/>
    <w:rsid w:val="60C902AA"/>
    <w:rsid w:val="60CA230A"/>
    <w:rsid w:val="60CE3589"/>
    <w:rsid w:val="60CFDD10"/>
    <w:rsid w:val="60D25B7B"/>
    <w:rsid w:val="60D4C262"/>
    <w:rsid w:val="60D5035E"/>
    <w:rsid w:val="60DC1A96"/>
    <w:rsid w:val="60E2421B"/>
    <w:rsid w:val="60F3D956"/>
    <w:rsid w:val="60F46924"/>
    <w:rsid w:val="60F545BC"/>
    <w:rsid w:val="60F8FDC5"/>
    <w:rsid w:val="60FAF46D"/>
    <w:rsid w:val="60FAF554"/>
    <w:rsid w:val="60FD22CD"/>
    <w:rsid w:val="60FE4594"/>
    <w:rsid w:val="60FFDC1F"/>
    <w:rsid w:val="60FFF31B"/>
    <w:rsid w:val="6100C8EA"/>
    <w:rsid w:val="6102B434"/>
    <w:rsid w:val="61053FBF"/>
    <w:rsid w:val="6105A248"/>
    <w:rsid w:val="61093ACB"/>
    <w:rsid w:val="610F59EF"/>
    <w:rsid w:val="61166975"/>
    <w:rsid w:val="61178D28"/>
    <w:rsid w:val="611C55F0"/>
    <w:rsid w:val="61276CFA"/>
    <w:rsid w:val="6127AC24"/>
    <w:rsid w:val="6127D549"/>
    <w:rsid w:val="612CF9CA"/>
    <w:rsid w:val="612D5DB6"/>
    <w:rsid w:val="61395020"/>
    <w:rsid w:val="613DBBDB"/>
    <w:rsid w:val="61409ABA"/>
    <w:rsid w:val="61439C11"/>
    <w:rsid w:val="614764F8"/>
    <w:rsid w:val="61491E89"/>
    <w:rsid w:val="614B7CDE"/>
    <w:rsid w:val="614EBEDB"/>
    <w:rsid w:val="614EBFD6"/>
    <w:rsid w:val="6150227C"/>
    <w:rsid w:val="615057C7"/>
    <w:rsid w:val="615175EF"/>
    <w:rsid w:val="61539DB8"/>
    <w:rsid w:val="61574A97"/>
    <w:rsid w:val="615C1FA5"/>
    <w:rsid w:val="61615B70"/>
    <w:rsid w:val="6169AE0D"/>
    <w:rsid w:val="6169FBEF"/>
    <w:rsid w:val="616F37D4"/>
    <w:rsid w:val="61714790"/>
    <w:rsid w:val="6171F3B1"/>
    <w:rsid w:val="6173405F"/>
    <w:rsid w:val="6174F490"/>
    <w:rsid w:val="61754F8E"/>
    <w:rsid w:val="6178116D"/>
    <w:rsid w:val="6178A254"/>
    <w:rsid w:val="617AA309"/>
    <w:rsid w:val="617F938C"/>
    <w:rsid w:val="6181D58F"/>
    <w:rsid w:val="618922D0"/>
    <w:rsid w:val="618D96FD"/>
    <w:rsid w:val="618E5FA9"/>
    <w:rsid w:val="6190492C"/>
    <w:rsid w:val="6191828B"/>
    <w:rsid w:val="6191E0AD"/>
    <w:rsid w:val="61927D3A"/>
    <w:rsid w:val="6193CDAD"/>
    <w:rsid w:val="6196EE3B"/>
    <w:rsid w:val="6199D96A"/>
    <w:rsid w:val="619B67A1"/>
    <w:rsid w:val="61A23D94"/>
    <w:rsid w:val="61A253DB"/>
    <w:rsid w:val="61A4385B"/>
    <w:rsid w:val="61A98778"/>
    <w:rsid w:val="61B28E07"/>
    <w:rsid w:val="61B8A045"/>
    <w:rsid w:val="61B991B9"/>
    <w:rsid w:val="61BAD512"/>
    <w:rsid w:val="61BFF875"/>
    <w:rsid w:val="61C02913"/>
    <w:rsid w:val="61C3F269"/>
    <w:rsid w:val="61C6C64E"/>
    <w:rsid w:val="61C93232"/>
    <w:rsid w:val="61CA5A03"/>
    <w:rsid w:val="61CE3FCC"/>
    <w:rsid w:val="61CF619C"/>
    <w:rsid w:val="61D335F5"/>
    <w:rsid w:val="61D6DA77"/>
    <w:rsid w:val="61DB3895"/>
    <w:rsid w:val="61DD32C1"/>
    <w:rsid w:val="61DF29DC"/>
    <w:rsid w:val="61DFE443"/>
    <w:rsid w:val="61E05E75"/>
    <w:rsid w:val="61E1BB49"/>
    <w:rsid w:val="61E1D05A"/>
    <w:rsid w:val="61E80D0E"/>
    <w:rsid w:val="61E9CABD"/>
    <w:rsid w:val="61E9EB75"/>
    <w:rsid w:val="61EDE6BD"/>
    <w:rsid w:val="61F2615B"/>
    <w:rsid w:val="61FB2A20"/>
    <w:rsid w:val="61FC1353"/>
    <w:rsid w:val="61FF54EC"/>
    <w:rsid w:val="62070C2B"/>
    <w:rsid w:val="620DCA71"/>
    <w:rsid w:val="6212483A"/>
    <w:rsid w:val="62138F0A"/>
    <w:rsid w:val="62175AEF"/>
    <w:rsid w:val="621EB268"/>
    <w:rsid w:val="6221B060"/>
    <w:rsid w:val="6224F989"/>
    <w:rsid w:val="6226ED7B"/>
    <w:rsid w:val="622910CD"/>
    <w:rsid w:val="622D4B93"/>
    <w:rsid w:val="622D9810"/>
    <w:rsid w:val="623416B3"/>
    <w:rsid w:val="6237D8FE"/>
    <w:rsid w:val="6237FC23"/>
    <w:rsid w:val="623CC710"/>
    <w:rsid w:val="623D90AB"/>
    <w:rsid w:val="624186D0"/>
    <w:rsid w:val="6241FD03"/>
    <w:rsid w:val="6249D851"/>
    <w:rsid w:val="624A3AFB"/>
    <w:rsid w:val="624AACE7"/>
    <w:rsid w:val="624B6D75"/>
    <w:rsid w:val="624BCE15"/>
    <w:rsid w:val="624C9764"/>
    <w:rsid w:val="624FDEBC"/>
    <w:rsid w:val="62507F2F"/>
    <w:rsid w:val="62546FAD"/>
    <w:rsid w:val="6255523F"/>
    <w:rsid w:val="625F0EC2"/>
    <w:rsid w:val="625FE757"/>
    <w:rsid w:val="6260924B"/>
    <w:rsid w:val="62623928"/>
    <w:rsid w:val="62664EEE"/>
    <w:rsid w:val="626862A4"/>
    <w:rsid w:val="626C98F4"/>
    <w:rsid w:val="626D1EBB"/>
    <w:rsid w:val="6275B4E5"/>
    <w:rsid w:val="627ABFE9"/>
    <w:rsid w:val="6280BA5F"/>
    <w:rsid w:val="6289E46A"/>
    <w:rsid w:val="628A274A"/>
    <w:rsid w:val="629190C6"/>
    <w:rsid w:val="62919FBE"/>
    <w:rsid w:val="62935583"/>
    <w:rsid w:val="629CC49F"/>
    <w:rsid w:val="629DD85B"/>
    <w:rsid w:val="629DFC5E"/>
    <w:rsid w:val="62A57272"/>
    <w:rsid w:val="62A59675"/>
    <w:rsid w:val="62AB7646"/>
    <w:rsid w:val="62AC62DA"/>
    <w:rsid w:val="62B12090"/>
    <w:rsid w:val="62B8A698"/>
    <w:rsid w:val="62BA1C30"/>
    <w:rsid w:val="62BEA1F4"/>
    <w:rsid w:val="62C6720E"/>
    <w:rsid w:val="62C841C8"/>
    <w:rsid w:val="62CDE3B9"/>
    <w:rsid w:val="62CE8349"/>
    <w:rsid w:val="62CF2D65"/>
    <w:rsid w:val="62D20F45"/>
    <w:rsid w:val="62D55FF6"/>
    <w:rsid w:val="62D85D29"/>
    <w:rsid w:val="62DF7570"/>
    <w:rsid w:val="62DFDB44"/>
    <w:rsid w:val="62E3867C"/>
    <w:rsid w:val="62E4888A"/>
    <w:rsid w:val="62E82617"/>
    <w:rsid w:val="62E86662"/>
    <w:rsid w:val="62EC08E7"/>
    <w:rsid w:val="62F010CC"/>
    <w:rsid w:val="62F11FCC"/>
    <w:rsid w:val="62F60351"/>
    <w:rsid w:val="62F85C09"/>
    <w:rsid w:val="62FAAB9D"/>
    <w:rsid w:val="62FFAE12"/>
    <w:rsid w:val="6305AFAA"/>
    <w:rsid w:val="630A254E"/>
    <w:rsid w:val="63132C97"/>
    <w:rsid w:val="63142B38"/>
    <w:rsid w:val="631475A6"/>
    <w:rsid w:val="63183617"/>
    <w:rsid w:val="631C5BF3"/>
    <w:rsid w:val="63258E16"/>
    <w:rsid w:val="632695CA"/>
    <w:rsid w:val="632870B2"/>
    <w:rsid w:val="6329AAED"/>
    <w:rsid w:val="632AF39C"/>
    <w:rsid w:val="632AF3F3"/>
    <w:rsid w:val="632BB977"/>
    <w:rsid w:val="632CF51F"/>
    <w:rsid w:val="6332D13E"/>
    <w:rsid w:val="63341C66"/>
    <w:rsid w:val="6336D7DA"/>
    <w:rsid w:val="6337CBBB"/>
    <w:rsid w:val="633AC48E"/>
    <w:rsid w:val="633AE012"/>
    <w:rsid w:val="63464345"/>
    <w:rsid w:val="634836A3"/>
    <w:rsid w:val="634D4356"/>
    <w:rsid w:val="634E8443"/>
    <w:rsid w:val="634F92C7"/>
    <w:rsid w:val="634F9F62"/>
    <w:rsid w:val="6355956E"/>
    <w:rsid w:val="63599E5B"/>
    <w:rsid w:val="635BD187"/>
    <w:rsid w:val="635EA0A6"/>
    <w:rsid w:val="63623648"/>
    <w:rsid w:val="6362DB18"/>
    <w:rsid w:val="6365E30E"/>
    <w:rsid w:val="636A8C7A"/>
    <w:rsid w:val="636B682E"/>
    <w:rsid w:val="636B6958"/>
    <w:rsid w:val="6374D3B3"/>
    <w:rsid w:val="63772E50"/>
    <w:rsid w:val="637AFF69"/>
    <w:rsid w:val="637C6627"/>
    <w:rsid w:val="637EA687"/>
    <w:rsid w:val="638064AA"/>
    <w:rsid w:val="63877707"/>
    <w:rsid w:val="63879AFF"/>
    <w:rsid w:val="6390FA31"/>
    <w:rsid w:val="6393B190"/>
    <w:rsid w:val="639409FE"/>
    <w:rsid w:val="6396DBA3"/>
    <w:rsid w:val="63985D5A"/>
    <w:rsid w:val="639CD731"/>
    <w:rsid w:val="639EBC93"/>
    <w:rsid w:val="639FCD5C"/>
    <w:rsid w:val="63A5F28B"/>
    <w:rsid w:val="63AAD509"/>
    <w:rsid w:val="63ABECCA"/>
    <w:rsid w:val="63AFE55C"/>
    <w:rsid w:val="63B203EF"/>
    <w:rsid w:val="63B206DA"/>
    <w:rsid w:val="63B35363"/>
    <w:rsid w:val="63B5FDD1"/>
    <w:rsid w:val="63B63489"/>
    <w:rsid w:val="63B67AF4"/>
    <w:rsid w:val="63B68126"/>
    <w:rsid w:val="63B70070"/>
    <w:rsid w:val="63BD0AB3"/>
    <w:rsid w:val="63BDD97B"/>
    <w:rsid w:val="63C06C2E"/>
    <w:rsid w:val="63C1731D"/>
    <w:rsid w:val="63C4CDD7"/>
    <w:rsid w:val="63C4D963"/>
    <w:rsid w:val="63C9C8BF"/>
    <w:rsid w:val="63CA027B"/>
    <w:rsid w:val="63CB5B2F"/>
    <w:rsid w:val="63CBF639"/>
    <w:rsid w:val="63CCCB2A"/>
    <w:rsid w:val="63D0BDD4"/>
    <w:rsid w:val="63D43667"/>
    <w:rsid w:val="63D64860"/>
    <w:rsid w:val="63DA8FD2"/>
    <w:rsid w:val="63DC4048"/>
    <w:rsid w:val="63DCAADE"/>
    <w:rsid w:val="63DF1CD0"/>
    <w:rsid w:val="63DFE7C2"/>
    <w:rsid w:val="63E07151"/>
    <w:rsid w:val="63E10F80"/>
    <w:rsid w:val="63E28D7B"/>
    <w:rsid w:val="63E4F8DB"/>
    <w:rsid w:val="63E767E3"/>
    <w:rsid w:val="63E81A87"/>
    <w:rsid w:val="63EDE32A"/>
    <w:rsid w:val="63EEDE86"/>
    <w:rsid w:val="63EF083B"/>
    <w:rsid w:val="63F07120"/>
    <w:rsid w:val="63F4117C"/>
    <w:rsid w:val="63F8866B"/>
    <w:rsid w:val="63F89E94"/>
    <w:rsid w:val="63FF3E60"/>
    <w:rsid w:val="64045B6B"/>
    <w:rsid w:val="64118546"/>
    <w:rsid w:val="6412F74E"/>
    <w:rsid w:val="641370EF"/>
    <w:rsid w:val="64161114"/>
    <w:rsid w:val="64199F17"/>
    <w:rsid w:val="641A7264"/>
    <w:rsid w:val="641CE119"/>
    <w:rsid w:val="641F099D"/>
    <w:rsid w:val="641F7600"/>
    <w:rsid w:val="642332C6"/>
    <w:rsid w:val="6426F057"/>
    <w:rsid w:val="6428A3D4"/>
    <w:rsid w:val="642E34D5"/>
    <w:rsid w:val="642F0BEA"/>
    <w:rsid w:val="642F1934"/>
    <w:rsid w:val="6431359C"/>
    <w:rsid w:val="64322D8B"/>
    <w:rsid w:val="643933D0"/>
    <w:rsid w:val="6439F377"/>
    <w:rsid w:val="643A9D14"/>
    <w:rsid w:val="643E0099"/>
    <w:rsid w:val="643F3B8E"/>
    <w:rsid w:val="644023EE"/>
    <w:rsid w:val="644ABF90"/>
    <w:rsid w:val="644F2386"/>
    <w:rsid w:val="64537E70"/>
    <w:rsid w:val="64580A3C"/>
    <w:rsid w:val="645907E9"/>
    <w:rsid w:val="645E5926"/>
    <w:rsid w:val="646A038E"/>
    <w:rsid w:val="646F1BA7"/>
    <w:rsid w:val="6470E2A8"/>
    <w:rsid w:val="6474DEA8"/>
    <w:rsid w:val="6476C53F"/>
    <w:rsid w:val="6477515F"/>
    <w:rsid w:val="647B7C6E"/>
    <w:rsid w:val="6483580F"/>
    <w:rsid w:val="6485724F"/>
    <w:rsid w:val="648984E8"/>
    <w:rsid w:val="648AEF4A"/>
    <w:rsid w:val="648C6B53"/>
    <w:rsid w:val="648E1FD5"/>
    <w:rsid w:val="64901F72"/>
    <w:rsid w:val="6490944F"/>
    <w:rsid w:val="6491380D"/>
    <w:rsid w:val="6492054E"/>
    <w:rsid w:val="6492EFE5"/>
    <w:rsid w:val="64948ECC"/>
    <w:rsid w:val="6494B0E9"/>
    <w:rsid w:val="6494EAD8"/>
    <w:rsid w:val="6494F3CF"/>
    <w:rsid w:val="649B60EA"/>
    <w:rsid w:val="649F6C15"/>
    <w:rsid w:val="64A2B8C7"/>
    <w:rsid w:val="64A2CB92"/>
    <w:rsid w:val="64A557ED"/>
    <w:rsid w:val="64AE7C17"/>
    <w:rsid w:val="64AE91B9"/>
    <w:rsid w:val="64AF2BBC"/>
    <w:rsid w:val="64AF8529"/>
    <w:rsid w:val="64B1DE6D"/>
    <w:rsid w:val="64B2CFB1"/>
    <w:rsid w:val="64B6507D"/>
    <w:rsid w:val="64B69E4E"/>
    <w:rsid w:val="64BD8EAA"/>
    <w:rsid w:val="64BDBE43"/>
    <w:rsid w:val="64C1583A"/>
    <w:rsid w:val="64C17DB9"/>
    <w:rsid w:val="64C2059F"/>
    <w:rsid w:val="64CBB1D9"/>
    <w:rsid w:val="64CDC7AB"/>
    <w:rsid w:val="64D3CFCF"/>
    <w:rsid w:val="64D4CFA6"/>
    <w:rsid w:val="64D71564"/>
    <w:rsid w:val="64D85B95"/>
    <w:rsid w:val="64D8C25F"/>
    <w:rsid w:val="64DA9AA2"/>
    <w:rsid w:val="64DAC332"/>
    <w:rsid w:val="64DBAB7B"/>
    <w:rsid w:val="64DFFA2D"/>
    <w:rsid w:val="64E4DC6A"/>
    <w:rsid w:val="64E9CBE1"/>
    <w:rsid w:val="64F09DA8"/>
    <w:rsid w:val="64F71A59"/>
    <w:rsid w:val="64F7D559"/>
    <w:rsid w:val="64F8E5A7"/>
    <w:rsid w:val="64F950FB"/>
    <w:rsid w:val="64FA5618"/>
    <w:rsid w:val="64FD5A89"/>
    <w:rsid w:val="6504278E"/>
    <w:rsid w:val="650681BB"/>
    <w:rsid w:val="65095EA9"/>
    <w:rsid w:val="6509C4B3"/>
    <w:rsid w:val="650F5AB1"/>
    <w:rsid w:val="650FFCFA"/>
    <w:rsid w:val="6510F632"/>
    <w:rsid w:val="6519DA64"/>
    <w:rsid w:val="651CA9FA"/>
    <w:rsid w:val="651E7FF7"/>
    <w:rsid w:val="651EA5A7"/>
    <w:rsid w:val="6528A440"/>
    <w:rsid w:val="6528E51E"/>
    <w:rsid w:val="652AEBA1"/>
    <w:rsid w:val="652B9A4C"/>
    <w:rsid w:val="652E8F52"/>
    <w:rsid w:val="6530E347"/>
    <w:rsid w:val="653286FA"/>
    <w:rsid w:val="65348871"/>
    <w:rsid w:val="6534EF30"/>
    <w:rsid w:val="653719EA"/>
    <w:rsid w:val="653F0E30"/>
    <w:rsid w:val="65409FC7"/>
    <w:rsid w:val="654111FC"/>
    <w:rsid w:val="6549E039"/>
    <w:rsid w:val="654A046E"/>
    <w:rsid w:val="654B68FF"/>
    <w:rsid w:val="654BAA43"/>
    <w:rsid w:val="655197A5"/>
    <w:rsid w:val="6553088B"/>
    <w:rsid w:val="65546F5C"/>
    <w:rsid w:val="6558FF36"/>
    <w:rsid w:val="65599B03"/>
    <w:rsid w:val="655D49DA"/>
    <w:rsid w:val="655E8E3D"/>
    <w:rsid w:val="65646197"/>
    <w:rsid w:val="65646D5A"/>
    <w:rsid w:val="6564D795"/>
    <w:rsid w:val="6565154E"/>
    <w:rsid w:val="656990E3"/>
    <w:rsid w:val="656A4CED"/>
    <w:rsid w:val="656B69C6"/>
    <w:rsid w:val="656B733A"/>
    <w:rsid w:val="6570915C"/>
    <w:rsid w:val="6573298E"/>
    <w:rsid w:val="65741BDE"/>
    <w:rsid w:val="6582147F"/>
    <w:rsid w:val="6582A7D1"/>
    <w:rsid w:val="6583236C"/>
    <w:rsid w:val="65844F33"/>
    <w:rsid w:val="65875342"/>
    <w:rsid w:val="65884A3E"/>
    <w:rsid w:val="6589D75A"/>
    <w:rsid w:val="6590175A"/>
    <w:rsid w:val="6593F016"/>
    <w:rsid w:val="659BDAC6"/>
    <w:rsid w:val="65A48257"/>
    <w:rsid w:val="65A696B0"/>
    <w:rsid w:val="65AC6F60"/>
    <w:rsid w:val="65B1D08C"/>
    <w:rsid w:val="65B251C1"/>
    <w:rsid w:val="65BE3847"/>
    <w:rsid w:val="65C17151"/>
    <w:rsid w:val="65C1D66D"/>
    <w:rsid w:val="65C34D5E"/>
    <w:rsid w:val="65C5D858"/>
    <w:rsid w:val="65CB1772"/>
    <w:rsid w:val="65CCA4A9"/>
    <w:rsid w:val="65CE465F"/>
    <w:rsid w:val="65CE4DA6"/>
    <w:rsid w:val="65CFA593"/>
    <w:rsid w:val="65D676FB"/>
    <w:rsid w:val="65D6EB0C"/>
    <w:rsid w:val="65DBC7C9"/>
    <w:rsid w:val="65DFAF78"/>
    <w:rsid w:val="65E097F7"/>
    <w:rsid w:val="65E3A5BE"/>
    <w:rsid w:val="65E8D453"/>
    <w:rsid w:val="65E9DAA0"/>
    <w:rsid w:val="65EB7482"/>
    <w:rsid w:val="65EC3419"/>
    <w:rsid w:val="65EFCEE6"/>
    <w:rsid w:val="65F1CD07"/>
    <w:rsid w:val="65F35999"/>
    <w:rsid w:val="65F63A2E"/>
    <w:rsid w:val="65F8D7D5"/>
    <w:rsid w:val="65FAD676"/>
    <w:rsid w:val="65FD14A4"/>
    <w:rsid w:val="66000B26"/>
    <w:rsid w:val="6600EB25"/>
    <w:rsid w:val="6603D1B3"/>
    <w:rsid w:val="6607F5BD"/>
    <w:rsid w:val="660B339E"/>
    <w:rsid w:val="660C5448"/>
    <w:rsid w:val="660E9060"/>
    <w:rsid w:val="66158CC3"/>
    <w:rsid w:val="661E7FA5"/>
    <w:rsid w:val="661E9C75"/>
    <w:rsid w:val="661F12A3"/>
    <w:rsid w:val="66235F14"/>
    <w:rsid w:val="66254916"/>
    <w:rsid w:val="662E0EF8"/>
    <w:rsid w:val="66309374"/>
    <w:rsid w:val="66353AB2"/>
    <w:rsid w:val="663CFE43"/>
    <w:rsid w:val="663F0378"/>
    <w:rsid w:val="6642A059"/>
    <w:rsid w:val="6642C7FC"/>
    <w:rsid w:val="664E7418"/>
    <w:rsid w:val="66507E71"/>
    <w:rsid w:val="66537397"/>
    <w:rsid w:val="66595F0B"/>
    <w:rsid w:val="66663988"/>
    <w:rsid w:val="6666972A"/>
    <w:rsid w:val="666BB4E0"/>
    <w:rsid w:val="6673F388"/>
    <w:rsid w:val="66757109"/>
    <w:rsid w:val="667CDFD6"/>
    <w:rsid w:val="66834019"/>
    <w:rsid w:val="66855441"/>
    <w:rsid w:val="6685997C"/>
    <w:rsid w:val="6691D708"/>
    <w:rsid w:val="66953E40"/>
    <w:rsid w:val="669A43D0"/>
    <w:rsid w:val="669CED94"/>
    <w:rsid w:val="669D03E9"/>
    <w:rsid w:val="669D5710"/>
    <w:rsid w:val="66A1140E"/>
    <w:rsid w:val="66A80B75"/>
    <w:rsid w:val="66A877BF"/>
    <w:rsid w:val="66A9A0D6"/>
    <w:rsid w:val="66AC5A12"/>
    <w:rsid w:val="66B1F788"/>
    <w:rsid w:val="66B3441F"/>
    <w:rsid w:val="66B5144A"/>
    <w:rsid w:val="66BB0CF2"/>
    <w:rsid w:val="66BC86EE"/>
    <w:rsid w:val="66BE81B1"/>
    <w:rsid w:val="66BF97D2"/>
    <w:rsid w:val="66C2AE06"/>
    <w:rsid w:val="66C64F4E"/>
    <w:rsid w:val="66C986CB"/>
    <w:rsid w:val="66CCB91B"/>
    <w:rsid w:val="66CED658"/>
    <w:rsid w:val="66D41260"/>
    <w:rsid w:val="66D5B12E"/>
    <w:rsid w:val="66DDF68F"/>
    <w:rsid w:val="66DE312D"/>
    <w:rsid w:val="66DF46D5"/>
    <w:rsid w:val="66E01B23"/>
    <w:rsid w:val="66E8C299"/>
    <w:rsid w:val="66E950BA"/>
    <w:rsid w:val="66ED6238"/>
    <w:rsid w:val="66F2DF47"/>
    <w:rsid w:val="66F35A2F"/>
    <w:rsid w:val="66F44C72"/>
    <w:rsid w:val="66F845EB"/>
    <w:rsid w:val="66FB1132"/>
    <w:rsid w:val="67022D63"/>
    <w:rsid w:val="6703A56A"/>
    <w:rsid w:val="670EEF57"/>
    <w:rsid w:val="6710AA41"/>
    <w:rsid w:val="671AE8F7"/>
    <w:rsid w:val="671C4B9F"/>
    <w:rsid w:val="67208895"/>
    <w:rsid w:val="67242108"/>
    <w:rsid w:val="6725B359"/>
    <w:rsid w:val="672727AB"/>
    <w:rsid w:val="672856F2"/>
    <w:rsid w:val="67302C1A"/>
    <w:rsid w:val="6735B08B"/>
    <w:rsid w:val="6735D4C2"/>
    <w:rsid w:val="67365566"/>
    <w:rsid w:val="67374D97"/>
    <w:rsid w:val="6738A06F"/>
    <w:rsid w:val="673EB1BE"/>
    <w:rsid w:val="6745596C"/>
    <w:rsid w:val="674C34CD"/>
    <w:rsid w:val="674D2F4E"/>
    <w:rsid w:val="6754C1AD"/>
    <w:rsid w:val="675796E7"/>
    <w:rsid w:val="675E857D"/>
    <w:rsid w:val="675F0CC4"/>
    <w:rsid w:val="6760552B"/>
    <w:rsid w:val="6763E00E"/>
    <w:rsid w:val="6763F098"/>
    <w:rsid w:val="676BDFC4"/>
    <w:rsid w:val="676E494B"/>
    <w:rsid w:val="67722C5C"/>
    <w:rsid w:val="6778A4B9"/>
    <w:rsid w:val="677B7326"/>
    <w:rsid w:val="678351DD"/>
    <w:rsid w:val="678371C1"/>
    <w:rsid w:val="678878F7"/>
    <w:rsid w:val="678A0A71"/>
    <w:rsid w:val="678FE0CF"/>
    <w:rsid w:val="67944C01"/>
    <w:rsid w:val="6795C908"/>
    <w:rsid w:val="67978931"/>
    <w:rsid w:val="67991DD1"/>
    <w:rsid w:val="67998272"/>
    <w:rsid w:val="679AA4BD"/>
    <w:rsid w:val="679AD0CA"/>
    <w:rsid w:val="679BA9EF"/>
    <w:rsid w:val="679F6F94"/>
    <w:rsid w:val="67A35BA2"/>
    <w:rsid w:val="67A85586"/>
    <w:rsid w:val="67AD962C"/>
    <w:rsid w:val="67AE3D74"/>
    <w:rsid w:val="67B2819A"/>
    <w:rsid w:val="67B80E0A"/>
    <w:rsid w:val="67B9CCBD"/>
    <w:rsid w:val="67B9E99A"/>
    <w:rsid w:val="67BA6CD6"/>
    <w:rsid w:val="67BECD19"/>
    <w:rsid w:val="67BED771"/>
    <w:rsid w:val="67C56660"/>
    <w:rsid w:val="67CA7655"/>
    <w:rsid w:val="67CB99CB"/>
    <w:rsid w:val="67CC1B7E"/>
    <w:rsid w:val="67CC33AB"/>
    <w:rsid w:val="67D93D73"/>
    <w:rsid w:val="67DB2EB7"/>
    <w:rsid w:val="67DFBA80"/>
    <w:rsid w:val="67E15D6E"/>
    <w:rsid w:val="67E8A14A"/>
    <w:rsid w:val="67E9ECE8"/>
    <w:rsid w:val="67ED3955"/>
    <w:rsid w:val="67EF43F8"/>
    <w:rsid w:val="67F025C4"/>
    <w:rsid w:val="67F70C95"/>
    <w:rsid w:val="67F8D57D"/>
    <w:rsid w:val="67F90480"/>
    <w:rsid w:val="67FE0898"/>
    <w:rsid w:val="68038ABC"/>
    <w:rsid w:val="68045E01"/>
    <w:rsid w:val="6804702B"/>
    <w:rsid w:val="68050D4A"/>
    <w:rsid w:val="680BB742"/>
    <w:rsid w:val="680D5186"/>
    <w:rsid w:val="680DEA27"/>
    <w:rsid w:val="680E67A3"/>
    <w:rsid w:val="680F4D98"/>
    <w:rsid w:val="681010E3"/>
    <w:rsid w:val="6812108E"/>
    <w:rsid w:val="681466A2"/>
    <w:rsid w:val="6817EFE7"/>
    <w:rsid w:val="68180F61"/>
    <w:rsid w:val="681F8678"/>
    <w:rsid w:val="681FBFE1"/>
    <w:rsid w:val="68209A33"/>
    <w:rsid w:val="6821997A"/>
    <w:rsid w:val="6822E2FA"/>
    <w:rsid w:val="68291618"/>
    <w:rsid w:val="682986EF"/>
    <w:rsid w:val="68310FFF"/>
    <w:rsid w:val="683360FB"/>
    <w:rsid w:val="6836DD42"/>
    <w:rsid w:val="6840EA58"/>
    <w:rsid w:val="68410765"/>
    <w:rsid w:val="68465996"/>
    <w:rsid w:val="6847030D"/>
    <w:rsid w:val="68473138"/>
    <w:rsid w:val="6849A25E"/>
    <w:rsid w:val="684A788F"/>
    <w:rsid w:val="684BEE98"/>
    <w:rsid w:val="68518367"/>
    <w:rsid w:val="6854CF4E"/>
    <w:rsid w:val="68581AF2"/>
    <w:rsid w:val="6858E9EC"/>
    <w:rsid w:val="685AD1BF"/>
    <w:rsid w:val="685BA59C"/>
    <w:rsid w:val="685C19B0"/>
    <w:rsid w:val="68608C3A"/>
    <w:rsid w:val="686203A8"/>
    <w:rsid w:val="68676B84"/>
    <w:rsid w:val="686B60D8"/>
    <w:rsid w:val="686B8A1A"/>
    <w:rsid w:val="686F6F8B"/>
    <w:rsid w:val="687A11C4"/>
    <w:rsid w:val="687E55A9"/>
    <w:rsid w:val="68813F20"/>
    <w:rsid w:val="68842B06"/>
    <w:rsid w:val="68883FF1"/>
    <w:rsid w:val="688DDA88"/>
    <w:rsid w:val="688EDF8B"/>
    <w:rsid w:val="6893ED32"/>
    <w:rsid w:val="68945107"/>
    <w:rsid w:val="6897577A"/>
    <w:rsid w:val="689AAA9C"/>
    <w:rsid w:val="689AC9E3"/>
    <w:rsid w:val="689CD5AB"/>
    <w:rsid w:val="689FF727"/>
    <w:rsid w:val="68A0832A"/>
    <w:rsid w:val="68A24323"/>
    <w:rsid w:val="68A47751"/>
    <w:rsid w:val="68A4FC6C"/>
    <w:rsid w:val="68A72638"/>
    <w:rsid w:val="68AA2792"/>
    <w:rsid w:val="68B62546"/>
    <w:rsid w:val="68B723C3"/>
    <w:rsid w:val="68C17DF5"/>
    <w:rsid w:val="68C495F2"/>
    <w:rsid w:val="68C844DE"/>
    <w:rsid w:val="68CA1BFC"/>
    <w:rsid w:val="68D0241B"/>
    <w:rsid w:val="68D6862C"/>
    <w:rsid w:val="68D98687"/>
    <w:rsid w:val="68DE21EB"/>
    <w:rsid w:val="68E1C6A8"/>
    <w:rsid w:val="68E91011"/>
    <w:rsid w:val="68EC683B"/>
    <w:rsid w:val="68EF3868"/>
    <w:rsid w:val="68F3EFD7"/>
    <w:rsid w:val="68F46893"/>
    <w:rsid w:val="68F50254"/>
    <w:rsid w:val="68F5FD0D"/>
    <w:rsid w:val="68F70AC4"/>
    <w:rsid w:val="690038A4"/>
    <w:rsid w:val="690751DA"/>
    <w:rsid w:val="690BC94A"/>
    <w:rsid w:val="690D4F06"/>
    <w:rsid w:val="6910D425"/>
    <w:rsid w:val="6915BE91"/>
    <w:rsid w:val="6917E693"/>
    <w:rsid w:val="6919B01C"/>
    <w:rsid w:val="691A4A37"/>
    <w:rsid w:val="691CA019"/>
    <w:rsid w:val="691CA26F"/>
    <w:rsid w:val="69220D36"/>
    <w:rsid w:val="692295F8"/>
    <w:rsid w:val="6927F8C9"/>
    <w:rsid w:val="692980D8"/>
    <w:rsid w:val="6933D0A8"/>
    <w:rsid w:val="693551A8"/>
    <w:rsid w:val="693E8478"/>
    <w:rsid w:val="69466B69"/>
    <w:rsid w:val="694746D5"/>
    <w:rsid w:val="694EE229"/>
    <w:rsid w:val="6953EA37"/>
    <w:rsid w:val="69543215"/>
    <w:rsid w:val="69554A00"/>
    <w:rsid w:val="69556957"/>
    <w:rsid w:val="69567EAA"/>
    <w:rsid w:val="695AEA80"/>
    <w:rsid w:val="695E363A"/>
    <w:rsid w:val="69668962"/>
    <w:rsid w:val="69691A2B"/>
    <w:rsid w:val="696AE5E4"/>
    <w:rsid w:val="696B8E6C"/>
    <w:rsid w:val="696CDB74"/>
    <w:rsid w:val="6972A481"/>
    <w:rsid w:val="69732DF0"/>
    <w:rsid w:val="69746A32"/>
    <w:rsid w:val="6975ADB9"/>
    <w:rsid w:val="697DF18E"/>
    <w:rsid w:val="697EE81E"/>
    <w:rsid w:val="69854B2D"/>
    <w:rsid w:val="6985F820"/>
    <w:rsid w:val="69878F2B"/>
    <w:rsid w:val="6988DB0D"/>
    <w:rsid w:val="698C2890"/>
    <w:rsid w:val="6992BCBA"/>
    <w:rsid w:val="6992C56A"/>
    <w:rsid w:val="69934ED7"/>
    <w:rsid w:val="6995CC11"/>
    <w:rsid w:val="6997AA67"/>
    <w:rsid w:val="69982FE7"/>
    <w:rsid w:val="69A4CD06"/>
    <w:rsid w:val="69ACCF68"/>
    <w:rsid w:val="69ADC8C2"/>
    <w:rsid w:val="69AE2E08"/>
    <w:rsid w:val="69B7916E"/>
    <w:rsid w:val="69B7D0A6"/>
    <w:rsid w:val="69BF0236"/>
    <w:rsid w:val="69C34223"/>
    <w:rsid w:val="69C57FC1"/>
    <w:rsid w:val="69C63859"/>
    <w:rsid w:val="69CDABB1"/>
    <w:rsid w:val="69D11E94"/>
    <w:rsid w:val="69D305E9"/>
    <w:rsid w:val="69D3321F"/>
    <w:rsid w:val="69D56514"/>
    <w:rsid w:val="69D75E2F"/>
    <w:rsid w:val="69D79E04"/>
    <w:rsid w:val="69D97855"/>
    <w:rsid w:val="69DF1E4A"/>
    <w:rsid w:val="69E0A7B1"/>
    <w:rsid w:val="69E0EBC5"/>
    <w:rsid w:val="69E4CA00"/>
    <w:rsid w:val="69E82453"/>
    <w:rsid w:val="69ED08E6"/>
    <w:rsid w:val="69EE3170"/>
    <w:rsid w:val="69F1F607"/>
    <w:rsid w:val="69FB48CC"/>
    <w:rsid w:val="69FC6EF4"/>
    <w:rsid w:val="69FDB1C2"/>
    <w:rsid w:val="6A0209CA"/>
    <w:rsid w:val="6A0351D4"/>
    <w:rsid w:val="6A05C3F8"/>
    <w:rsid w:val="6A0E0FA8"/>
    <w:rsid w:val="6A0ECF43"/>
    <w:rsid w:val="6A12B0E0"/>
    <w:rsid w:val="6A12F90A"/>
    <w:rsid w:val="6A14A51D"/>
    <w:rsid w:val="6A1705C5"/>
    <w:rsid w:val="6A24CA86"/>
    <w:rsid w:val="6A25B75F"/>
    <w:rsid w:val="6A26BBC2"/>
    <w:rsid w:val="6A279DFF"/>
    <w:rsid w:val="6A282112"/>
    <w:rsid w:val="6A286AAF"/>
    <w:rsid w:val="6A2A4B38"/>
    <w:rsid w:val="6A2AB9A1"/>
    <w:rsid w:val="6A2BB22B"/>
    <w:rsid w:val="6A2F7625"/>
    <w:rsid w:val="6A35A135"/>
    <w:rsid w:val="6A382B3A"/>
    <w:rsid w:val="6A410205"/>
    <w:rsid w:val="6A45B860"/>
    <w:rsid w:val="6A45C214"/>
    <w:rsid w:val="6A478D01"/>
    <w:rsid w:val="6A4D3805"/>
    <w:rsid w:val="6A4D388D"/>
    <w:rsid w:val="6A500A5F"/>
    <w:rsid w:val="6A50A304"/>
    <w:rsid w:val="6A547215"/>
    <w:rsid w:val="6A549EC9"/>
    <w:rsid w:val="6A569E1B"/>
    <w:rsid w:val="6A59469D"/>
    <w:rsid w:val="6A5F7397"/>
    <w:rsid w:val="6A63E089"/>
    <w:rsid w:val="6A683CCF"/>
    <w:rsid w:val="6A6B9117"/>
    <w:rsid w:val="6A6DBC68"/>
    <w:rsid w:val="6A6FA13C"/>
    <w:rsid w:val="6A6FADB8"/>
    <w:rsid w:val="6A7063E8"/>
    <w:rsid w:val="6A7440B4"/>
    <w:rsid w:val="6A7912A9"/>
    <w:rsid w:val="6A7BD49F"/>
    <w:rsid w:val="6A7BDE25"/>
    <w:rsid w:val="6A7D2CC1"/>
    <w:rsid w:val="6A805398"/>
    <w:rsid w:val="6A82E2F1"/>
    <w:rsid w:val="6A852F4F"/>
    <w:rsid w:val="6A883AC5"/>
    <w:rsid w:val="6A8B6CF8"/>
    <w:rsid w:val="6A8CF361"/>
    <w:rsid w:val="6A8D9C3D"/>
    <w:rsid w:val="6A91E96B"/>
    <w:rsid w:val="6A97D08B"/>
    <w:rsid w:val="6A98B266"/>
    <w:rsid w:val="6A996211"/>
    <w:rsid w:val="6A9A18EA"/>
    <w:rsid w:val="6AA084B8"/>
    <w:rsid w:val="6AA2348B"/>
    <w:rsid w:val="6AA37FCA"/>
    <w:rsid w:val="6AA7B629"/>
    <w:rsid w:val="6AA974C2"/>
    <w:rsid w:val="6AA9DEAD"/>
    <w:rsid w:val="6AB0AC7C"/>
    <w:rsid w:val="6AB708BA"/>
    <w:rsid w:val="6AB76F45"/>
    <w:rsid w:val="6AB84FB7"/>
    <w:rsid w:val="6ABA8A5D"/>
    <w:rsid w:val="6ABAE067"/>
    <w:rsid w:val="6ABAEF88"/>
    <w:rsid w:val="6AC33C75"/>
    <w:rsid w:val="6AC99367"/>
    <w:rsid w:val="6AC9CE19"/>
    <w:rsid w:val="6ACB9B21"/>
    <w:rsid w:val="6ACBC272"/>
    <w:rsid w:val="6ACDF87D"/>
    <w:rsid w:val="6ACF8E77"/>
    <w:rsid w:val="6AD07D12"/>
    <w:rsid w:val="6AD15461"/>
    <w:rsid w:val="6AD5C2E2"/>
    <w:rsid w:val="6AE1B947"/>
    <w:rsid w:val="6AE5B4EA"/>
    <w:rsid w:val="6AEDFBC7"/>
    <w:rsid w:val="6AEFBFA1"/>
    <w:rsid w:val="6AF0000C"/>
    <w:rsid w:val="6AF5A21C"/>
    <w:rsid w:val="6AFBA440"/>
    <w:rsid w:val="6AFD15ED"/>
    <w:rsid w:val="6B031E20"/>
    <w:rsid w:val="6B03BC40"/>
    <w:rsid w:val="6B042CC1"/>
    <w:rsid w:val="6B0657CC"/>
    <w:rsid w:val="6B078944"/>
    <w:rsid w:val="6B09F48A"/>
    <w:rsid w:val="6B1058F8"/>
    <w:rsid w:val="6B110C60"/>
    <w:rsid w:val="6B1B54AC"/>
    <w:rsid w:val="6B1B6318"/>
    <w:rsid w:val="6B1D188B"/>
    <w:rsid w:val="6B29B832"/>
    <w:rsid w:val="6B2B55A6"/>
    <w:rsid w:val="6B2D67A9"/>
    <w:rsid w:val="6B32D4E5"/>
    <w:rsid w:val="6B347CC8"/>
    <w:rsid w:val="6B34B5F4"/>
    <w:rsid w:val="6B357E38"/>
    <w:rsid w:val="6B387B0E"/>
    <w:rsid w:val="6B3BE3C8"/>
    <w:rsid w:val="6B3CF1A0"/>
    <w:rsid w:val="6B3DCB2C"/>
    <w:rsid w:val="6B3F7E8A"/>
    <w:rsid w:val="6B3FC770"/>
    <w:rsid w:val="6B42F294"/>
    <w:rsid w:val="6B433676"/>
    <w:rsid w:val="6B43A575"/>
    <w:rsid w:val="6B4A65CA"/>
    <w:rsid w:val="6B4A86A4"/>
    <w:rsid w:val="6B4ADAEF"/>
    <w:rsid w:val="6B4D1845"/>
    <w:rsid w:val="6B556176"/>
    <w:rsid w:val="6B579955"/>
    <w:rsid w:val="6B57A371"/>
    <w:rsid w:val="6B5CCA26"/>
    <w:rsid w:val="6B603806"/>
    <w:rsid w:val="6B60A6B9"/>
    <w:rsid w:val="6B60E9F2"/>
    <w:rsid w:val="6B62A232"/>
    <w:rsid w:val="6B6A5957"/>
    <w:rsid w:val="6B6BC353"/>
    <w:rsid w:val="6B6D2782"/>
    <w:rsid w:val="6B6D58D2"/>
    <w:rsid w:val="6B6E7291"/>
    <w:rsid w:val="6B6EF066"/>
    <w:rsid w:val="6B7218F2"/>
    <w:rsid w:val="6B738CA3"/>
    <w:rsid w:val="6B7779D6"/>
    <w:rsid w:val="6B79C457"/>
    <w:rsid w:val="6B7B3F3B"/>
    <w:rsid w:val="6B7BB63D"/>
    <w:rsid w:val="6B844229"/>
    <w:rsid w:val="6B872631"/>
    <w:rsid w:val="6B8D641F"/>
    <w:rsid w:val="6B8FB240"/>
    <w:rsid w:val="6B91C277"/>
    <w:rsid w:val="6B91D429"/>
    <w:rsid w:val="6B932014"/>
    <w:rsid w:val="6B9449F3"/>
    <w:rsid w:val="6B9947B6"/>
    <w:rsid w:val="6B99CF27"/>
    <w:rsid w:val="6B9B1B5B"/>
    <w:rsid w:val="6B9BA7DF"/>
    <w:rsid w:val="6B9E6DE7"/>
    <w:rsid w:val="6BA1732F"/>
    <w:rsid w:val="6BA4EFB0"/>
    <w:rsid w:val="6BA62E74"/>
    <w:rsid w:val="6BAB5B79"/>
    <w:rsid w:val="6BAD03A8"/>
    <w:rsid w:val="6BAFD2FA"/>
    <w:rsid w:val="6BB78C60"/>
    <w:rsid w:val="6BB94248"/>
    <w:rsid w:val="6BC09BE2"/>
    <w:rsid w:val="6BC38D40"/>
    <w:rsid w:val="6BC706A7"/>
    <w:rsid w:val="6BC7A9C9"/>
    <w:rsid w:val="6BC9FFDB"/>
    <w:rsid w:val="6BCA1760"/>
    <w:rsid w:val="6BCD9530"/>
    <w:rsid w:val="6BCF3E8E"/>
    <w:rsid w:val="6BCFB526"/>
    <w:rsid w:val="6BD1CE44"/>
    <w:rsid w:val="6BD2323B"/>
    <w:rsid w:val="6BD2501A"/>
    <w:rsid w:val="6BDA1175"/>
    <w:rsid w:val="6BDA19C4"/>
    <w:rsid w:val="6BDCA01E"/>
    <w:rsid w:val="6BE19DED"/>
    <w:rsid w:val="6BE510CA"/>
    <w:rsid w:val="6BEF4ECE"/>
    <w:rsid w:val="6BF45790"/>
    <w:rsid w:val="6BF661AA"/>
    <w:rsid w:val="6BF6EF9E"/>
    <w:rsid w:val="6BFC7A62"/>
    <w:rsid w:val="6BFEBF59"/>
    <w:rsid w:val="6C0CB23F"/>
    <w:rsid w:val="6C0F3732"/>
    <w:rsid w:val="6C116B25"/>
    <w:rsid w:val="6C172799"/>
    <w:rsid w:val="6C1ADBAB"/>
    <w:rsid w:val="6C1CBFC1"/>
    <w:rsid w:val="6C1DC0D7"/>
    <w:rsid w:val="6C271E63"/>
    <w:rsid w:val="6C28056F"/>
    <w:rsid w:val="6C30AD87"/>
    <w:rsid w:val="6C384291"/>
    <w:rsid w:val="6C39CD9D"/>
    <w:rsid w:val="6C3A9813"/>
    <w:rsid w:val="6C3AF183"/>
    <w:rsid w:val="6C436651"/>
    <w:rsid w:val="6C44C6B2"/>
    <w:rsid w:val="6C4554C5"/>
    <w:rsid w:val="6C4927B3"/>
    <w:rsid w:val="6C49C8F7"/>
    <w:rsid w:val="6C4A2A51"/>
    <w:rsid w:val="6C51AD79"/>
    <w:rsid w:val="6C53354F"/>
    <w:rsid w:val="6C5400AA"/>
    <w:rsid w:val="6C595943"/>
    <w:rsid w:val="6C5D4423"/>
    <w:rsid w:val="6C5FCB5D"/>
    <w:rsid w:val="6C609339"/>
    <w:rsid w:val="6C6CD5AB"/>
    <w:rsid w:val="6C6CE7D2"/>
    <w:rsid w:val="6C6EE64F"/>
    <w:rsid w:val="6C6FFFD1"/>
    <w:rsid w:val="6C7EB363"/>
    <w:rsid w:val="6C8535A3"/>
    <w:rsid w:val="6C8554E6"/>
    <w:rsid w:val="6C8AD3B0"/>
    <w:rsid w:val="6C8C03DD"/>
    <w:rsid w:val="6C8C98F7"/>
    <w:rsid w:val="6C8E3BE2"/>
    <w:rsid w:val="6C9095EB"/>
    <w:rsid w:val="6C96FD4E"/>
    <w:rsid w:val="6C9DDFFB"/>
    <w:rsid w:val="6C9F3CA3"/>
    <w:rsid w:val="6CA081E2"/>
    <w:rsid w:val="6CA0A5C2"/>
    <w:rsid w:val="6CA8EAF7"/>
    <w:rsid w:val="6CACBA56"/>
    <w:rsid w:val="6CB1EDD2"/>
    <w:rsid w:val="6CB293FF"/>
    <w:rsid w:val="6CB79E3B"/>
    <w:rsid w:val="6CBE0755"/>
    <w:rsid w:val="6CBE4012"/>
    <w:rsid w:val="6CBF87F4"/>
    <w:rsid w:val="6CC3283A"/>
    <w:rsid w:val="6CCF59AB"/>
    <w:rsid w:val="6CD76C49"/>
    <w:rsid w:val="6CD84AD3"/>
    <w:rsid w:val="6CD86EBA"/>
    <w:rsid w:val="6CDFF657"/>
    <w:rsid w:val="6CEB894A"/>
    <w:rsid w:val="6CEE12EA"/>
    <w:rsid w:val="6CEF56D9"/>
    <w:rsid w:val="6CF24F3D"/>
    <w:rsid w:val="6CF5DC19"/>
    <w:rsid w:val="6CF76A2B"/>
    <w:rsid w:val="6CFA9D82"/>
    <w:rsid w:val="6CFDAB05"/>
    <w:rsid w:val="6CFEEE35"/>
    <w:rsid w:val="6D0221E9"/>
    <w:rsid w:val="6D0629B8"/>
    <w:rsid w:val="6D0E700C"/>
    <w:rsid w:val="6D0EE115"/>
    <w:rsid w:val="6D0FDF01"/>
    <w:rsid w:val="6D104663"/>
    <w:rsid w:val="6D1119B5"/>
    <w:rsid w:val="6D225F58"/>
    <w:rsid w:val="6D227805"/>
    <w:rsid w:val="6D2565E7"/>
    <w:rsid w:val="6D261D7C"/>
    <w:rsid w:val="6D277EAD"/>
    <w:rsid w:val="6D2A700B"/>
    <w:rsid w:val="6D3203EE"/>
    <w:rsid w:val="6D32410F"/>
    <w:rsid w:val="6D34ACF6"/>
    <w:rsid w:val="6D354646"/>
    <w:rsid w:val="6D35B1B4"/>
    <w:rsid w:val="6D374C46"/>
    <w:rsid w:val="6D382704"/>
    <w:rsid w:val="6D3B076D"/>
    <w:rsid w:val="6D40A143"/>
    <w:rsid w:val="6D513567"/>
    <w:rsid w:val="6D5245A3"/>
    <w:rsid w:val="6D542AB8"/>
    <w:rsid w:val="6D55D4F6"/>
    <w:rsid w:val="6D56BAF2"/>
    <w:rsid w:val="6D59C643"/>
    <w:rsid w:val="6D5DF89E"/>
    <w:rsid w:val="6D5F1949"/>
    <w:rsid w:val="6D62D94D"/>
    <w:rsid w:val="6D663DFF"/>
    <w:rsid w:val="6D66EA4A"/>
    <w:rsid w:val="6D67B8CC"/>
    <w:rsid w:val="6D689BBA"/>
    <w:rsid w:val="6D6C692E"/>
    <w:rsid w:val="6D6F65E4"/>
    <w:rsid w:val="6D737CC7"/>
    <w:rsid w:val="6D764818"/>
    <w:rsid w:val="6D7F65A7"/>
    <w:rsid w:val="6D81320C"/>
    <w:rsid w:val="6D83A558"/>
    <w:rsid w:val="6D859D47"/>
    <w:rsid w:val="6D87646B"/>
    <w:rsid w:val="6D8CBF56"/>
    <w:rsid w:val="6D8D314F"/>
    <w:rsid w:val="6D91B62F"/>
    <w:rsid w:val="6D934093"/>
    <w:rsid w:val="6D93F316"/>
    <w:rsid w:val="6D9B61DB"/>
    <w:rsid w:val="6DA004A3"/>
    <w:rsid w:val="6DA074D1"/>
    <w:rsid w:val="6DA1C301"/>
    <w:rsid w:val="6DA30FC0"/>
    <w:rsid w:val="6DA36C66"/>
    <w:rsid w:val="6DA55AF4"/>
    <w:rsid w:val="6DABCA91"/>
    <w:rsid w:val="6DAC1FE8"/>
    <w:rsid w:val="6DAD1D60"/>
    <w:rsid w:val="6DAE417B"/>
    <w:rsid w:val="6DAF87A2"/>
    <w:rsid w:val="6DB0B8BF"/>
    <w:rsid w:val="6DB20DE0"/>
    <w:rsid w:val="6DB23268"/>
    <w:rsid w:val="6DB3C10E"/>
    <w:rsid w:val="6DB40ECD"/>
    <w:rsid w:val="6DB6A7B8"/>
    <w:rsid w:val="6DB7BB6E"/>
    <w:rsid w:val="6DBBAB20"/>
    <w:rsid w:val="6DBBD458"/>
    <w:rsid w:val="6DBEA139"/>
    <w:rsid w:val="6DC0DEF4"/>
    <w:rsid w:val="6DC1CEE2"/>
    <w:rsid w:val="6DC2346B"/>
    <w:rsid w:val="6DC62311"/>
    <w:rsid w:val="6DC7C382"/>
    <w:rsid w:val="6DCB84BF"/>
    <w:rsid w:val="6DCEA288"/>
    <w:rsid w:val="6DCF5FDB"/>
    <w:rsid w:val="6DD4A087"/>
    <w:rsid w:val="6DD76663"/>
    <w:rsid w:val="6DE0203F"/>
    <w:rsid w:val="6DE476E5"/>
    <w:rsid w:val="6DEA95BC"/>
    <w:rsid w:val="6DEC130F"/>
    <w:rsid w:val="6DECDB57"/>
    <w:rsid w:val="6DEEF877"/>
    <w:rsid w:val="6DF2097A"/>
    <w:rsid w:val="6DF7A843"/>
    <w:rsid w:val="6DFA8E90"/>
    <w:rsid w:val="6DFC8A5A"/>
    <w:rsid w:val="6DFF13C5"/>
    <w:rsid w:val="6DFF53D5"/>
    <w:rsid w:val="6E0618E6"/>
    <w:rsid w:val="6E061B19"/>
    <w:rsid w:val="6E0E57DA"/>
    <w:rsid w:val="6E0F7DE0"/>
    <w:rsid w:val="6E134698"/>
    <w:rsid w:val="6E1E7F77"/>
    <w:rsid w:val="6E2143C5"/>
    <w:rsid w:val="6E22E64A"/>
    <w:rsid w:val="6E24ACF4"/>
    <w:rsid w:val="6E27A7A8"/>
    <w:rsid w:val="6E29E197"/>
    <w:rsid w:val="6E29F6FA"/>
    <w:rsid w:val="6E2E43E3"/>
    <w:rsid w:val="6E2FD739"/>
    <w:rsid w:val="6E318C00"/>
    <w:rsid w:val="6E39FFFD"/>
    <w:rsid w:val="6E3C8577"/>
    <w:rsid w:val="6E3E588D"/>
    <w:rsid w:val="6E445BE9"/>
    <w:rsid w:val="6E4EB7F4"/>
    <w:rsid w:val="6E500870"/>
    <w:rsid w:val="6E505A35"/>
    <w:rsid w:val="6E50A346"/>
    <w:rsid w:val="6E536782"/>
    <w:rsid w:val="6E56CE31"/>
    <w:rsid w:val="6E5CA71F"/>
    <w:rsid w:val="6E618552"/>
    <w:rsid w:val="6E623F26"/>
    <w:rsid w:val="6E64B5ED"/>
    <w:rsid w:val="6E66041A"/>
    <w:rsid w:val="6E670E25"/>
    <w:rsid w:val="6E6851AE"/>
    <w:rsid w:val="6E719D41"/>
    <w:rsid w:val="6E74C127"/>
    <w:rsid w:val="6E76B549"/>
    <w:rsid w:val="6E78A0B2"/>
    <w:rsid w:val="6E7A34E1"/>
    <w:rsid w:val="6E7A8DD4"/>
    <w:rsid w:val="6E7B9206"/>
    <w:rsid w:val="6E7C2DA6"/>
    <w:rsid w:val="6E7DA5DB"/>
    <w:rsid w:val="6E82CC28"/>
    <w:rsid w:val="6E8573FC"/>
    <w:rsid w:val="6E85BE5B"/>
    <w:rsid w:val="6E8D9522"/>
    <w:rsid w:val="6E92CA73"/>
    <w:rsid w:val="6E94B75E"/>
    <w:rsid w:val="6E9687F2"/>
    <w:rsid w:val="6E98ACC0"/>
    <w:rsid w:val="6E9A88B7"/>
    <w:rsid w:val="6E9FFA6D"/>
    <w:rsid w:val="6EA1FDAA"/>
    <w:rsid w:val="6EA36B15"/>
    <w:rsid w:val="6EA86545"/>
    <w:rsid w:val="6EA8EC44"/>
    <w:rsid w:val="6EACE2A1"/>
    <w:rsid w:val="6EADE052"/>
    <w:rsid w:val="6EB1E6FC"/>
    <w:rsid w:val="6EB406DF"/>
    <w:rsid w:val="6EB881AC"/>
    <w:rsid w:val="6EB8FE8A"/>
    <w:rsid w:val="6EBB53CF"/>
    <w:rsid w:val="6EBB9C4D"/>
    <w:rsid w:val="6EBDE297"/>
    <w:rsid w:val="6EBF8E6F"/>
    <w:rsid w:val="6EBFAD4B"/>
    <w:rsid w:val="6EC02C81"/>
    <w:rsid w:val="6ECAB65E"/>
    <w:rsid w:val="6ED3243F"/>
    <w:rsid w:val="6ED33C63"/>
    <w:rsid w:val="6ED45B59"/>
    <w:rsid w:val="6ED56459"/>
    <w:rsid w:val="6ED757DE"/>
    <w:rsid w:val="6ED7DCBC"/>
    <w:rsid w:val="6ED81C2E"/>
    <w:rsid w:val="6ED911D6"/>
    <w:rsid w:val="6EE10E9E"/>
    <w:rsid w:val="6EE29A73"/>
    <w:rsid w:val="6EEB2942"/>
    <w:rsid w:val="6EECD347"/>
    <w:rsid w:val="6EEEC5CB"/>
    <w:rsid w:val="6EEFE3E9"/>
    <w:rsid w:val="6EF497E7"/>
    <w:rsid w:val="6EF51758"/>
    <w:rsid w:val="6EF5C109"/>
    <w:rsid w:val="6EF65B59"/>
    <w:rsid w:val="6EF6B2E1"/>
    <w:rsid w:val="6EFD6A8A"/>
    <w:rsid w:val="6EFFDDAE"/>
    <w:rsid w:val="6F017CBA"/>
    <w:rsid w:val="6F078CA8"/>
    <w:rsid w:val="6F07E9FF"/>
    <w:rsid w:val="6F0875CB"/>
    <w:rsid w:val="6F096458"/>
    <w:rsid w:val="6F0FC74A"/>
    <w:rsid w:val="6F101FC4"/>
    <w:rsid w:val="6F101FC5"/>
    <w:rsid w:val="6F125492"/>
    <w:rsid w:val="6F13AF07"/>
    <w:rsid w:val="6F1FBFF2"/>
    <w:rsid w:val="6F28B49B"/>
    <w:rsid w:val="6F2AE895"/>
    <w:rsid w:val="6F2EFDDF"/>
    <w:rsid w:val="6F3E3B07"/>
    <w:rsid w:val="6F416BEE"/>
    <w:rsid w:val="6F428C08"/>
    <w:rsid w:val="6F45551B"/>
    <w:rsid w:val="6F45EC67"/>
    <w:rsid w:val="6F477990"/>
    <w:rsid w:val="6F4B6391"/>
    <w:rsid w:val="6F4C7426"/>
    <w:rsid w:val="6F4E0F3A"/>
    <w:rsid w:val="6F50969A"/>
    <w:rsid w:val="6F5DE168"/>
    <w:rsid w:val="6F635F5C"/>
    <w:rsid w:val="6F64EACE"/>
    <w:rsid w:val="6F6676DA"/>
    <w:rsid w:val="6F6710F7"/>
    <w:rsid w:val="6F68F39B"/>
    <w:rsid w:val="6F6A1001"/>
    <w:rsid w:val="6F7109FE"/>
    <w:rsid w:val="6F741FBD"/>
    <w:rsid w:val="6F74F6CA"/>
    <w:rsid w:val="6F75D03D"/>
    <w:rsid w:val="6F792EAD"/>
    <w:rsid w:val="6F79D596"/>
    <w:rsid w:val="6F7AB418"/>
    <w:rsid w:val="6F81DEAD"/>
    <w:rsid w:val="6F8335C7"/>
    <w:rsid w:val="6F8C93C7"/>
    <w:rsid w:val="6F93F3A7"/>
    <w:rsid w:val="6F94B9E5"/>
    <w:rsid w:val="6F94FAD6"/>
    <w:rsid w:val="6F98C81C"/>
    <w:rsid w:val="6F9A9C71"/>
    <w:rsid w:val="6F9F39E1"/>
    <w:rsid w:val="6FA02080"/>
    <w:rsid w:val="6FA0A2B0"/>
    <w:rsid w:val="6FA2695B"/>
    <w:rsid w:val="6FA8CC6D"/>
    <w:rsid w:val="6FAAD47F"/>
    <w:rsid w:val="6FAC4553"/>
    <w:rsid w:val="6FAF8F27"/>
    <w:rsid w:val="6FB278EF"/>
    <w:rsid w:val="6FB4207E"/>
    <w:rsid w:val="6FB44BDB"/>
    <w:rsid w:val="6FB6C86B"/>
    <w:rsid w:val="6FB883C2"/>
    <w:rsid w:val="6FB94AE0"/>
    <w:rsid w:val="6FB9E0FA"/>
    <w:rsid w:val="6FBD150E"/>
    <w:rsid w:val="6FBE5084"/>
    <w:rsid w:val="6FBE8A82"/>
    <w:rsid w:val="6FBE8EF0"/>
    <w:rsid w:val="6FC2FD14"/>
    <w:rsid w:val="6FC33019"/>
    <w:rsid w:val="6FC44B5D"/>
    <w:rsid w:val="6FC76FCB"/>
    <w:rsid w:val="6FC9ECEB"/>
    <w:rsid w:val="6FCA1444"/>
    <w:rsid w:val="6FCAABF9"/>
    <w:rsid w:val="6FCC01DF"/>
    <w:rsid w:val="6FD4E76F"/>
    <w:rsid w:val="6FD538C9"/>
    <w:rsid w:val="6FD53BFD"/>
    <w:rsid w:val="6FD82102"/>
    <w:rsid w:val="6FDBA550"/>
    <w:rsid w:val="6FDC1356"/>
    <w:rsid w:val="6FDD09B0"/>
    <w:rsid w:val="6FE002DF"/>
    <w:rsid w:val="6FE3EF95"/>
    <w:rsid w:val="6FE579A5"/>
    <w:rsid w:val="6FE81E1E"/>
    <w:rsid w:val="6FE8342B"/>
    <w:rsid w:val="6FE9419D"/>
    <w:rsid w:val="6FED45A1"/>
    <w:rsid w:val="6FF630FB"/>
    <w:rsid w:val="700360B9"/>
    <w:rsid w:val="70069A2E"/>
    <w:rsid w:val="700749D9"/>
    <w:rsid w:val="700758A8"/>
    <w:rsid w:val="7009E2EE"/>
    <w:rsid w:val="700EC117"/>
    <w:rsid w:val="700F2967"/>
    <w:rsid w:val="700F5DA2"/>
    <w:rsid w:val="700FBAAE"/>
    <w:rsid w:val="70103AA4"/>
    <w:rsid w:val="701150CD"/>
    <w:rsid w:val="701371DE"/>
    <w:rsid w:val="70141421"/>
    <w:rsid w:val="701C1B16"/>
    <w:rsid w:val="701E49E2"/>
    <w:rsid w:val="701ECDC7"/>
    <w:rsid w:val="7020D198"/>
    <w:rsid w:val="70239807"/>
    <w:rsid w:val="7024A21D"/>
    <w:rsid w:val="702C9A3B"/>
    <w:rsid w:val="702DD160"/>
    <w:rsid w:val="702DDDDA"/>
    <w:rsid w:val="703499C7"/>
    <w:rsid w:val="70385EB6"/>
    <w:rsid w:val="7039973A"/>
    <w:rsid w:val="703BC5B4"/>
    <w:rsid w:val="703C6F7F"/>
    <w:rsid w:val="704098A5"/>
    <w:rsid w:val="7046EC3D"/>
    <w:rsid w:val="704A61E7"/>
    <w:rsid w:val="704B8A1F"/>
    <w:rsid w:val="704D1FE5"/>
    <w:rsid w:val="704DC410"/>
    <w:rsid w:val="705554E0"/>
    <w:rsid w:val="705726E5"/>
    <w:rsid w:val="705B1BA3"/>
    <w:rsid w:val="705F535D"/>
    <w:rsid w:val="70663D50"/>
    <w:rsid w:val="7067C3EF"/>
    <w:rsid w:val="70686A1C"/>
    <w:rsid w:val="706FFDB6"/>
    <w:rsid w:val="70759177"/>
    <w:rsid w:val="7076E6FF"/>
    <w:rsid w:val="7077BA31"/>
    <w:rsid w:val="707861DD"/>
    <w:rsid w:val="707B8895"/>
    <w:rsid w:val="707C3439"/>
    <w:rsid w:val="70830C60"/>
    <w:rsid w:val="70840C36"/>
    <w:rsid w:val="70872857"/>
    <w:rsid w:val="7087C43B"/>
    <w:rsid w:val="708B5785"/>
    <w:rsid w:val="70971B19"/>
    <w:rsid w:val="709911AC"/>
    <w:rsid w:val="709D2CA8"/>
    <w:rsid w:val="709F91AB"/>
    <w:rsid w:val="70A06EBD"/>
    <w:rsid w:val="70A94EA5"/>
    <w:rsid w:val="70AB9F18"/>
    <w:rsid w:val="70AF640B"/>
    <w:rsid w:val="70AFC108"/>
    <w:rsid w:val="70B24417"/>
    <w:rsid w:val="70B935A8"/>
    <w:rsid w:val="70BE0C34"/>
    <w:rsid w:val="70BE373B"/>
    <w:rsid w:val="70C37BE3"/>
    <w:rsid w:val="70C464F2"/>
    <w:rsid w:val="70C54622"/>
    <w:rsid w:val="70C6282B"/>
    <w:rsid w:val="70C709E9"/>
    <w:rsid w:val="70CC3594"/>
    <w:rsid w:val="70CF530B"/>
    <w:rsid w:val="70D11774"/>
    <w:rsid w:val="70D42ED7"/>
    <w:rsid w:val="70D49AB3"/>
    <w:rsid w:val="70D7825F"/>
    <w:rsid w:val="70D838F8"/>
    <w:rsid w:val="70DF0972"/>
    <w:rsid w:val="70E0BEF7"/>
    <w:rsid w:val="70E3C126"/>
    <w:rsid w:val="70E63617"/>
    <w:rsid w:val="70E75559"/>
    <w:rsid w:val="70EAAAEF"/>
    <w:rsid w:val="70ED692D"/>
    <w:rsid w:val="70ED875A"/>
    <w:rsid w:val="70EE0199"/>
    <w:rsid w:val="70F653F2"/>
    <w:rsid w:val="70F665FC"/>
    <w:rsid w:val="70F728A7"/>
    <w:rsid w:val="70FA11DD"/>
    <w:rsid w:val="70FA5080"/>
    <w:rsid w:val="70FAD0A5"/>
    <w:rsid w:val="70FB955F"/>
    <w:rsid w:val="7100ED1C"/>
    <w:rsid w:val="7102473B"/>
    <w:rsid w:val="7102EC61"/>
    <w:rsid w:val="710366B8"/>
    <w:rsid w:val="7108EE9A"/>
    <w:rsid w:val="710BC254"/>
    <w:rsid w:val="710F3EB7"/>
    <w:rsid w:val="7113F6C5"/>
    <w:rsid w:val="711EE7FC"/>
    <w:rsid w:val="7121BC63"/>
    <w:rsid w:val="712601B7"/>
    <w:rsid w:val="71266F43"/>
    <w:rsid w:val="712C36BB"/>
    <w:rsid w:val="712E6143"/>
    <w:rsid w:val="713271CC"/>
    <w:rsid w:val="713517A4"/>
    <w:rsid w:val="71356673"/>
    <w:rsid w:val="7138E1E9"/>
    <w:rsid w:val="713B45B1"/>
    <w:rsid w:val="713E2051"/>
    <w:rsid w:val="7141745C"/>
    <w:rsid w:val="71491220"/>
    <w:rsid w:val="71496783"/>
    <w:rsid w:val="714B3E56"/>
    <w:rsid w:val="7157B086"/>
    <w:rsid w:val="715D9EA7"/>
    <w:rsid w:val="7162BADC"/>
    <w:rsid w:val="716413BE"/>
    <w:rsid w:val="71662A1E"/>
    <w:rsid w:val="7168ACDE"/>
    <w:rsid w:val="716A2A47"/>
    <w:rsid w:val="716AF992"/>
    <w:rsid w:val="716BCCDB"/>
    <w:rsid w:val="716F8E39"/>
    <w:rsid w:val="716F90F3"/>
    <w:rsid w:val="71734C13"/>
    <w:rsid w:val="71738A48"/>
    <w:rsid w:val="7174CF10"/>
    <w:rsid w:val="717777FC"/>
    <w:rsid w:val="71796123"/>
    <w:rsid w:val="717CE922"/>
    <w:rsid w:val="717D22E6"/>
    <w:rsid w:val="717DE0E0"/>
    <w:rsid w:val="7180E932"/>
    <w:rsid w:val="718543EA"/>
    <w:rsid w:val="71891504"/>
    <w:rsid w:val="718A9326"/>
    <w:rsid w:val="718B6166"/>
    <w:rsid w:val="718E129B"/>
    <w:rsid w:val="719203E7"/>
    <w:rsid w:val="7199333D"/>
    <w:rsid w:val="71993F09"/>
    <w:rsid w:val="719968DC"/>
    <w:rsid w:val="719D99CF"/>
    <w:rsid w:val="71A1D4AE"/>
    <w:rsid w:val="71A3DD80"/>
    <w:rsid w:val="71A4529C"/>
    <w:rsid w:val="71A492D1"/>
    <w:rsid w:val="71A68A1D"/>
    <w:rsid w:val="71A76F89"/>
    <w:rsid w:val="71A8C3CA"/>
    <w:rsid w:val="71AB730C"/>
    <w:rsid w:val="71B1C75D"/>
    <w:rsid w:val="71B5F78C"/>
    <w:rsid w:val="71B82BC8"/>
    <w:rsid w:val="71C28382"/>
    <w:rsid w:val="71C451E7"/>
    <w:rsid w:val="71CD168B"/>
    <w:rsid w:val="71CDF0DD"/>
    <w:rsid w:val="71D2157D"/>
    <w:rsid w:val="71D5F520"/>
    <w:rsid w:val="71D64580"/>
    <w:rsid w:val="71D99640"/>
    <w:rsid w:val="71D9B235"/>
    <w:rsid w:val="71D9D33F"/>
    <w:rsid w:val="71DD96AD"/>
    <w:rsid w:val="71E17D7B"/>
    <w:rsid w:val="71E2BDDE"/>
    <w:rsid w:val="71E416A7"/>
    <w:rsid w:val="71E44DA9"/>
    <w:rsid w:val="71E51F66"/>
    <w:rsid w:val="71E565B7"/>
    <w:rsid w:val="71EC7F86"/>
    <w:rsid w:val="71EEC1A1"/>
    <w:rsid w:val="71EF26CB"/>
    <w:rsid w:val="71F7E7E1"/>
    <w:rsid w:val="71F9A3B1"/>
    <w:rsid w:val="71F9C9E1"/>
    <w:rsid w:val="71FAF30B"/>
    <w:rsid w:val="71FC7F58"/>
    <w:rsid w:val="72032089"/>
    <w:rsid w:val="7204BEA6"/>
    <w:rsid w:val="72074F23"/>
    <w:rsid w:val="72121C9A"/>
    <w:rsid w:val="72157626"/>
    <w:rsid w:val="721A3309"/>
    <w:rsid w:val="721EE50F"/>
    <w:rsid w:val="721F124B"/>
    <w:rsid w:val="72200A37"/>
    <w:rsid w:val="72236B40"/>
    <w:rsid w:val="72273C9B"/>
    <w:rsid w:val="722A65F8"/>
    <w:rsid w:val="722D3A43"/>
    <w:rsid w:val="722DECE4"/>
    <w:rsid w:val="722E0C54"/>
    <w:rsid w:val="7231FF45"/>
    <w:rsid w:val="723418A4"/>
    <w:rsid w:val="7239324E"/>
    <w:rsid w:val="72393F72"/>
    <w:rsid w:val="723E8012"/>
    <w:rsid w:val="723FADEB"/>
    <w:rsid w:val="72463AAE"/>
    <w:rsid w:val="724661EF"/>
    <w:rsid w:val="72466BFA"/>
    <w:rsid w:val="72493D10"/>
    <w:rsid w:val="7249D339"/>
    <w:rsid w:val="724ACEB1"/>
    <w:rsid w:val="724D4D72"/>
    <w:rsid w:val="7254824B"/>
    <w:rsid w:val="7259E079"/>
    <w:rsid w:val="72620A0F"/>
    <w:rsid w:val="72668A22"/>
    <w:rsid w:val="7268C4DB"/>
    <w:rsid w:val="7269DA11"/>
    <w:rsid w:val="727092C0"/>
    <w:rsid w:val="72760CFD"/>
    <w:rsid w:val="7276AA07"/>
    <w:rsid w:val="7276F4FC"/>
    <w:rsid w:val="7278DD42"/>
    <w:rsid w:val="72793810"/>
    <w:rsid w:val="72862C2C"/>
    <w:rsid w:val="72866009"/>
    <w:rsid w:val="7286E1B7"/>
    <w:rsid w:val="72884D8A"/>
    <w:rsid w:val="7289130F"/>
    <w:rsid w:val="7291C6C7"/>
    <w:rsid w:val="72938B5A"/>
    <w:rsid w:val="729E9BA3"/>
    <w:rsid w:val="72A14FA1"/>
    <w:rsid w:val="72A1A97C"/>
    <w:rsid w:val="72A5C38B"/>
    <w:rsid w:val="72A63640"/>
    <w:rsid w:val="72AFB52F"/>
    <w:rsid w:val="72B16297"/>
    <w:rsid w:val="72B3079D"/>
    <w:rsid w:val="72B5DFFC"/>
    <w:rsid w:val="72C406A9"/>
    <w:rsid w:val="72C69CEA"/>
    <w:rsid w:val="72C7DF09"/>
    <w:rsid w:val="72CC92AB"/>
    <w:rsid w:val="72D23E17"/>
    <w:rsid w:val="72D5EC69"/>
    <w:rsid w:val="72DC1AF3"/>
    <w:rsid w:val="72E66ACE"/>
    <w:rsid w:val="72EDB6D8"/>
    <w:rsid w:val="72EFA954"/>
    <w:rsid w:val="72F1F68D"/>
    <w:rsid w:val="72F57275"/>
    <w:rsid w:val="72F89D91"/>
    <w:rsid w:val="72FB39DF"/>
    <w:rsid w:val="72FC1B18"/>
    <w:rsid w:val="7300F7E5"/>
    <w:rsid w:val="73017122"/>
    <w:rsid w:val="7308AB54"/>
    <w:rsid w:val="730B6154"/>
    <w:rsid w:val="730F7332"/>
    <w:rsid w:val="73136F41"/>
    <w:rsid w:val="73189B92"/>
    <w:rsid w:val="731C9901"/>
    <w:rsid w:val="731CFD68"/>
    <w:rsid w:val="731D9967"/>
    <w:rsid w:val="731E20DF"/>
    <w:rsid w:val="73224C14"/>
    <w:rsid w:val="732723B9"/>
    <w:rsid w:val="732809F3"/>
    <w:rsid w:val="7328A67D"/>
    <w:rsid w:val="732A2026"/>
    <w:rsid w:val="732B874B"/>
    <w:rsid w:val="732E37CF"/>
    <w:rsid w:val="732E873A"/>
    <w:rsid w:val="732EB9E1"/>
    <w:rsid w:val="7333332B"/>
    <w:rsid w:val="7334FBD1"/>
    <w:rsid w:val="73389A5D"/>
    <w:rsid w:val="7339753D"/>
    <w:rsid w:val="73401B36"/>
    <w:rsid w:val="7340EC27"/>
    <w:rsid w:val="73423171"/>
    <w:rsid w:val="73457151"/>
    <w:rsid w:val="734B217A"/>
    <w:rsid w:val="734F5035"/>
    <w:rsid w:val="734FD52A"/>
    <w:rsid w:val="7354775B"/>
    <w:rsid w:val="735572F3"/>
    <w:rsid w:val="7358AFA8"/>
    <w:rsid w:val="73590DD9"/>
    <w:rsid w:val="735AC3C4"/>
    <w:rsid w:val="735C7D2B"/>
    <w:rsid w:val="735F0451"/>
    <w:rsid w:val="736760D1"/>
    <w:rsid w:val="73756AD3"/>
    <w:rsid w:val="73757591"/>
    <w:rsid w:val="737950DD"/>
    <w:rsid w:val="737A6EF5"/>
    <w:rsid w:val="737B59A5"/>
    <w:rsid w:val="737D0608"/>
    <w:rsid w:val="737F2B0E"/>
    <w:rsid w:val="73832ED9"/>
    <w:rsid w:val="7388F975"/>
    <w:rsid w:val="738AD050"/>
    <w:rsid w:val="738B3360"/>
    <w:rsid w:val="738E6D5E"/>
    <w:rsid w:val="738F9450"/>
    <w:rsid w:val="73900610"/>
    <w:rsid w:val="7398F2A6"/>
    <w:rsid w:val="73998DC9"/>
    <w:rsid w:val="739B41DF"/>
    <w:rsid w:val="739C36C5"/>
    <w:rsid w:val="739C9B36"/>
    <w:rsid w:val="739F38B7"/>
    <w:rsid w:val="73A0D8B8"/>
    <w:rsid w:val="73A142E3"/>
    <w:rsid w:val="73A575CE"/>
    <w:rsid w:val="73A7EDB3"/>
    <w:rsid w:val="73A91DEF"/>
    <w:rsid w:val="73A97230"/>
    <w:rsid w:val="73A97E71"/>
    <w:rsid w:val="73AC97FF"/>
    <w:rsid w:val="73AE6DBB"/>
    <w:rsid w:val="73AE7B28"/>
    <w:rsid w:val="73B71740"/>
    <w:rsid w:val="73B72857"/>
    <w:rsid w:val="73B8EC81"/>
    <w:rsid w:val="73B9519C"/>
    <w:rsid w:val="73C42BD4"/>
    <w:rsid w:val="73C52972"/>
    <w:rsid w:val="73C5E523"/>
    <w:rsid w:val="73CAFF2F"/>
    <w:rsid w:val="73CB3ADE"/>
    <w:rsid w:val="73CDB77F"/>
    <w:rsid w:val="73CF0358"/>
    <w:rsid w:val="73D87C5F"/>
    <w:rsid w:val="73DA0C85"/>
    <w:rsid w:val="73DBA4D9"/>
    <w:rsid w:val="73DC05C1"/>
    <w:rsid w:val="73DCF3B3"/>
    <w:rsid w:val="73DD0D38"/>
    <w:rsid w:val="73E8EEEF"/>
    <w:rsid w:val="73ED35BF"/>
    <w:rsid w:val="73F1BA8C"/>
    <w:rsid w:val="73F2F407"/>
    <w:rsid w:val="73F4D397"/>
    <w:rsid w:val="73FB1CA5"/>
    <w:rsid w:val="73FD8413"/>
    <w:rsid w:val="74026E99"/>
    <w:rsid w:val="7403F4D9"/>
    <w:rsid w:val="740A45EB"/>
    <w:rsid w:val="740C57C3"/>
    <w:rsid w:val="741E356E"/>
    <w:rsid w:val="741F5114"/>
    <w:rsid w:val="74224D76"/>
    <w:rsid w:val="7422D1A7"/>
    <w:rsid w:val="7422D1F6"/>
    <w:rsid w:val="7429681B"/>
    <w:rsid w:val="7431400D"/>
    <w:rsid w:val="74339CE6"/>
    <w:rsid w:val="7434859C"/>
    <w:rsid w:val="74383F82"/>
    <w:rsid w:val="7438EFCA"/>
    <w:rsid w:val="7449B4DB"/>
    <w:rsid w:val="7449EB64"/>
    <w:rsid w:val="744CA891"/>
    <w:rsid w:val="744E68F3"/>
    <w:rsid w:val="7450C69F"/>
    <w:rsid w:val="74592BA2"/>
    <w:rsid w:val="7466BF33"/>
    <w:rsid w:val="74695025"/>
    <w:rsid w:val="7469D5A3"/>
    <w:rsid w:val="746C2D24"/>
    <w:rsid w:val="746E6B61"/>
    <w:rsid w:val="746FE7A2"/>
    <w:rsid w:val="7470FCCA"/>
    <w:rsid w:val="747331FA"/>
    <w:rsid w:val="7475D607"/>
    <w:rsid w:val="747A404A"/>
    <w:rsid w:val="747AC827"/>
    <w:rsid w:val="74840651"/>
    <w:rsid w:val="748717AF"/>
    <w:rsid w:val="74909452"/>
    <w:rsid w:val="749134C7"/>
    <w:rsid w:val="74924399"/>
    <w:rsid w:val="7498193E"/>
    <w:rsid w:val="749A9715"/>
    <w:rsid w:val="749A9A57"/>
    <w:rsid w:val="749B3F0A"/>
    <w:rsid w:val="749BB3F1"/>
    <w:rsid w:val="74A11668"/>
    <w:rsid w:val="74AA914F"/>
    <w:rsid w:val="74AD2332"/>
    <w:rsid w:val="74B24056"/>
    <w:rsid w:val="74BB4F4D"/>
    <w:rsid w:val="74BF1147"/>
    <w:rsid w:val="74BFEDAF"/>
    <w:rsid w:val="74C6EAF0"/>
    <w:rsid w:val="74C86F1C"/>
    <w:rsid w:val="74CA8C45"/>
    <w:rsid w:val="74CD0A65"/>
    <w:rsid w:val="74D3A782"/>
    <w:rsid w:val="74D6669D"/>
    <w:rsid w:val="74D93D3B"/>
    <w:rsid w:val="74DA39E7"/>
    <w:rsid w:val="74DA754B"/>
    <w:rsid w:val="74DBC179"/>
    <w:rsid w:val="74DE3EF9"/>
    <w:rsid w:val="74E4AD5A"/>
    <w:rsid w:val="74E55076"/>
    <w:rsid w:val="74E5786B"/>
    <w:rsid w:val="74E739F8"/>
    <w:rsid w:val="74EAF19E"/>
    <w:rsid w:val="74EFE3F2"/>
    <w:rsid w:val="74F5A2E5"/>
    <w:rsid w:val="74F6432B"/>
    <w:rsid w:val="74F9A896"/>
    <w:rsid w:val="74F9C1A1"/>
    <w:rsid w:val="74FABA9D"/>
    <w:rsid w:val="74FE821C"/>
    <w:rsid w:val="74FE92BF"/>
    <w:rsid w:val="7504F88C"/>
    <w:rsid w:val="75088C38"/>
    <w:rsid w:val="7509BCBA"/>
    <w:rsid w:val="750B6176"/>
    <w:rsid w:val="750C37E5"/>
    <w:rsid w:val="750CF867"/>
    <w:rsid w:val="750D8A6A"/>
    <w:rsid w:val="75131C6A"/>
    <w:rsid w:val="75139642"/>
    <w:rsid w:val="7513F2B2"/>
    <w:rsid w:val="7514C273"/>
    <w:rsid w:val="75152BA9"/>
    <w:rsid w:val="751641DD"/>
    <w:rsid w:val="751D19AD"/>
    <w:rsid w:val="75203F93"/>
    <w:rsid w:val="752077E5"/>
    <w:rsid w:val="7522086E"/>
    <w:rsid w:val="75238660"/>
    <w:rsid w:val="7526473B"/>
    <w:rsid w:val="7529722D"/>
    <w:rsid w:val="752E35DE"/>
    <w:rsid w:val="752EDF1A"/>
    <w:rsid w:val="75346267"/>
    <w:rsid w:val="753644BF"/>
    <w:rsid w:val="75372D95"/>
    <w:rsid w:val="75379BB8"/>
    <w:rsid w:val="753BFB02"/>
    <w:rsid w:val="753F4FB8"/>
    <w:rsid w:val="754040BD"/>
    <w:rsid w:val="7544F721"/>
    <w:rsid w:val="75452F2E"/>
    <w:rsid w:val="754AA981"/>
    <w:rsid w:val="754CFB8B"/>
    <w:rsid w:val="754DC5D4"/>
    <w:rsid w:val="7550F114"/>
    <w:rsid w:val="75527535"/>
    <w:rsid w:val="755B25FE"/>
    <w:rsid w:val="755E2FA4"/>
    <w:rsid w:val="755F1167"/>
    <w:rsid w:val="755FC979"/>
    <w:rsid w:val="75613EF1"/>
    <w:rsid w:val="756A8183"/>
    <w:rsid w:val="756BB0D4"/>
    <w:rsid w:val="756C931D"/>
    <w:rsid w:val="756EAF05"/>
    <w:rsid w:val="757626B1"/>
    <w:rsid w:val="757A830E"/>
    <w:rsid w:val="757D4728"/>
    <w:rsid w:val="757E4500"/>
    <w:rsid w:val="757F3FE6"/>
    <w:rsid w:val="75828AA5"/>
    <w:rsid w:val="75874093"/>
    <w:rsid w:val="75875AA3"/>
    <w:rsid w:val="759086A7"/>
    <w:rsid w:val="7591732F"/>
    <w:rsid w:val="75956A5E"/>
    <w:rsid w:val="7596DDF5"/>
    <w:rsid w:val="75971A94"/>
    <w:rsid w:val="759A064F"/>
    <w:rsid w:val="759CDD08"/>
    <w:rsid w:val="75A02D74"/>
    <w:rsid w:val="75A0D8EE"/>
    <w:rsid w:val="75A1A37E"/>
    <w:rsid w:val="75A80A29"/>
    <w:rsid w:val="75A954D7"/>
    <w:rsid w:val="75AC905C"/>
    <w:rsid w:val="75AC93CA"/>
    <w:rsid w:val="75ADC9CF"/>
    <w:rsid w:val="75B1D67E"/>
    <w:rsid w:val="75B431D9"/>
    <w:rsid w:val="75B4402E"/>
    <w:rsid w:val="75B65933"/>
    <w:rsid w:val="75B69F0D"/>
    <w:rsid w:val="75BC2386"/>
    <w:rsid w:val="75BE3D1C"/>
    <w:rsid w:val="75BE5D37"/>
    <w:rsid w:val="75BF9C23"/>
    <w:rsid w:val="75C2371B"/>
    <w:rsid w:val="75C30358"/>
    <w:rsid w:val="75C41A9F"/>
    <w:rsid w:val="75C45A7C"/>
    <w:rsid w:val="75C74A63"/>
    <w:rsid w:val="75CED2B9"/>
    <w:rsid w:val="75D28CD0"/>
    <w:rsid w:val="75D7B9D1"/>
    <w:rsid w:val="75DA6144"/>
    <w:rsid w:val="75DE0A9F"/>
    <w:rsid w:val="75DE0CE9"/>
    <w:rsid w:val="75E4A3A2"/>
    <w:rsid w:val="75E85C93"/>
    <w:rsid w:val="75EDEC85"/>
    <w:rsid w:val="75EF34D5"/>
    <w:rsid w:val="75F0F45E"/>
    <w:rsid w:val="75F182BA"/>
    <w:rsid w:val="75F29D37"/>
    <w:rsid w:val="75F601C4"/>
    <w:rsid w:val="75F620A3"/>
    <w:rsid w:val="75F78BFC"/>
    <w:rsid w:val="7602D4BB"/>
    <w:rsid w:val="76094048"/>
    <w:rsid w:val="760A9201"/>
    <w:rsid w:val="760B6366"/>
    <w:rsid w:val="760CB847"/>
    <w:rsid w:val="760DA41F"/>
    <w:rsid w:val="760E25B3"/>
    <w:rsid w:val="76161A62"/>
    <w:rsid w:val="7617C53D"/>
    <w:rsid w:val="76195911"/>
    <w:rsid w:val="7619D25B"/>
    <w:rsid w:val="76207F79"/>
    <w:rsid w:val="76221634"/>
    <w:rsid w:val="76238D5F"/>
    <w:rsid w:val="7625CCD9"/>
    <w:rsid w:val="762A97F5"/>
    <w:rsid w:val="762D2ED7"/>
    <w:rsid w:val="762DD664"/>
    <w:rsid w:val="762DEE18"/>
    <w:rsid w:val="76300E62"/>
    <w:rsid w:val="7633C766"/>
    <w:rsid w:val="7634D6E8"/>
    <w:rsid w:val="76377C08"/>
    <w:rsid w:val="76399B41"/>
    <w:rsid w:val="763A3A9C"/>
    <w:rsid w:val="763FA7BB"/>
    <w:rsid w:val="763FDFB2"/>
    <w:rsid w:val="76405B23"/>
    <w:rsid w:val="7642FA03"/>
    <w:rsid w:val="764ABBD3"/>
    <w:rsid w:val="764E101D"/>
    <w:rsid w:val="76530DB8"/>
    <w:rsid w:val="76551683"/>
    <w:rsid w:val="7658424F"/>
    <w:rsid w:val="765A1D10"/>
    <w:rsid w:val="765AD12F"/>
    <w:rsid w:val="765C0A74"/>
    <w:rsid w:val="765C856C"/>
    <w:rsid w:val="765CD6BF"/>
    <w:rsid w:val="765E0A12"/>
    <w:rsid w:val="766361F8"/>
    <w:rsid w:val="766B368B"/>
    <w:rsid w:val="766F0BF6"/>
    <w:rsid w:val="766FEDBC"/>
    <w:rsid w:val="76726B1E"/>
    <w:rsid w:val="7678BA3E"/>
    <w:rsid w:val="767B4A52"/>
    <w:rsid w:val="767F551A"/>
    <w:rsid w:val="767FEB87"/>
    <w:rsid w:val="76804729"/>
    <w:rsid w:val="7680D06F"/>
    <w:rsid w:val="7683BEF5"/>
    <w:rsid w:val="768A21E0"/>
    <w:rsid w:val="768C2D28"/>
    <w:rsid w:val="768FBC37"/>
    <w:rsid w:val="76904F5C"/>
    <w:rsid w:val="7691F006"/>
    <w:rsid w:val="769A8166"/>
    <w:rsid w:val="76A02098"/>
    <w:rsid w:val="76A15E86"/>
    <w:rsid w:val="76A2494A"/>
    <w:rsid w:val="76A281E9"/>
    <w:rsid w:val="76A629A8"/>
    <w:rsid w:val="76AB57FA"/>
    <w:rsid w:val="76AD11DB"/>
    <w:rsid w:val="76AF664E"/>
    <w:rsid w:val="76B21CAB"/>
    <w:rsid w:val="76B51B5F"/>
    <w:rsid w:val="76BB99DA"/>
    <w:rsid w:val="76BBBE4E"/>
    <w:rsid w:val="76C2CE55"/>
    <w:rsid w:val="76C57480"/>
    <w:rsid w:val="76CB7D8D"/>
    <w:rsid w:val="76CC4AC5"/>
    <w:rsid w:val="76CE0510"/>
    <w:rsid w:val="76CF8487"/>
    <w:rsid w:val="76D11C8C"/>
    <w:rsid w:val="76D6C4FF"/>
    <w:rsid w:val="76DF1A53"/>
    <w:rsid w:val="76E00EB1"/>
    <w:rsid w:val="76E09801"/>
    <w:rsid w:val="76E185F9"/>
    <w:rsid w:val="76E27B5E"/>
    <w:rsid w:val="76E35083"/>
    <w:rsid w:val="76E6DD26"/>
    <w:rsid w:val="76E7F950"/>
    <w:rsid w:val="76E9F7D9"/>
    <w:rsid w:val="76EFB4BD"/>
    <w:rsid w:val="76F470E5"/>
    <w:rsid w:val="76FF7C24"/>
    <w:rsid w:val="770BB325"/>
    <w:rsid w:val="770F70D9"/>
    <w:rsid w:val="770F8ABF"/>
    <w:rsid w:val="771C3F45"/>
    <w:rsid w:val="7725A973"/>
    <w:rsid w:val="772DAD4F"/>
    <w:rsid w:val="77313924"/>
    <w:rsid w:val="773380D6"/>
    <w:rsid w:val="7737EC02"/>
    <w:rsid w:val="77387A2F"/>
    <w:rsid w:val="773FAB55"/>
    <w:rsid w:val="7748BB66"/>
    <w:rsid w:val="775164DF"/>
    <w:rsid w:val="775696A9"/>
    <w:rsid w:val="775CE168"/>
    <w:rsid w:val="775D5DA8"/>
    <w:rsid w:val="77613271"/>
    <w:rsid w:val="77623ED0"/>
    <w:rsid w:val="77653CB4"/>
    <w:rsid w:val="77673208"/>
    <w:rsid w:val="77674BA6"/>
    <w:rsid w:val="776A0FEC"/>
    <w:rsid w:val="776A98AC"/>
    <w:rsid w:val="776CEFBC"/>
    <w:rsid w:val="776ECB50"/>
    <w:rsid w:val="776EE2E3"/>
    <w:rsid w:val="776F15AF"/>
    <w:rsid w:val="7771FF31"/>
    <w:rsid w:val="77786B86"/>
    <w:rsid w:val="77797D83"/>
    <w:rsid w:val="777C4321"/>
    <w:rsid w:val="777CC83A"/>
    <w:rsid w:val="777E48AD"/>
    <w:rsid w:val="77813EBB"/>
    <w:rsid w:val="77854502"/>
    <w:rsid w:val="778644FD"/>
    <w:rsid w:val="778C376E"/>
    <w:rsid w:val="7790D54E"/>
    <w:rsid w:val="7793C05A"/>
    <w:rsid w:val="7797ACDC"/>
    <w:rsid w:val="779BA60F"/>
    <w:rsid w:val="779EAB75"/>
    <w:rsid w:val="77A14570"/>
    <w:rsid w:val="77A1B350"/>
    <w:rsid w:val="77A27124"/>
    <w:rsid w:val="77A47297"/>
    <w:rsid w:val="77AB1CB5"/>
    <w:rsid w:val="77ABEFE3"/>
    <w:rsid w:val="77B77E3D"/>
    <w:rsid w:val="77C10BFF"/>
    <w:rsid w:val="77C1AB2A"/>
    <w:rsid w:val="77C26AE6"/>
    <w:rsid w:val="77C3D970"/>
    <w:rsid w:val="77C84924"/>
    <w:rsid w:val="77C98FFE"/>
    <w:rsid w:val="77C9ED7A"/>
    <w:rsid w:val="77CBBE9C"/>
    <w:rsid w:val="77CC9770"/>
    <w:rsid w:val="77CDD1C1"/>
    <w:rsid w:val="77CDEEA2"/>
    <w:rsid w:val="77CDFF16"/>
    <w:rsid w:val="77CF4BA0"/>
    <w:rsid w:val="77D209BA"/>
    <w:rsid w:val="77D454A8"/>
    <w:rsid w:val="77D6F0AC"/>
    <w:rsid w:val="77D7EE62"/>
    <w:rsid w:val="77D949C5"/>
    <w:rsid w:val="77D96179"/>
    <w:rsid w:val="77DA2FDF"/>
    <w:rsid w:val="77DB1792"/>
    <w:rsid w:val="77DE58DB"/>
    <w:rsid w:val="77E4BE7A"/>
    <w:rsid w:val="77E596D0"/>
    <w:rsid w:val="77E94C9E"/>
    <w:rsid w:val="77E96C88"/>
    <w:rsid w:val="77EF7315"/>
    <w:rsid w:val="77F6C689"/>
    <w:rsid w:val="77F7CA8B"/>
    <w:rsid w:val="77F80DE9"/>
    <w:rsid w:val="77FA6F55"/>
    <w:rsid w:val="77FB88AB"/>
    <w:rsid w:val="77FC2F7C"/>
    <w:rsid w:val="77FDC33D"/>
    <w:rsid w:val="78028F50"/>
    <w:rsid w:val="7803EF29"/>
    <w:rsid w:val="780440E1"/>
    <w:rsid w:val="7807DA38"/>
    <w:rsid w:val="780950C6"/>
    <w:rsid w:val="780A4FF0"/>
    <w:rsid w:val="780CE660"/>
    <w:rsid w:val="780FCD9A"/>
    <w:rsid w:val="781E8854"/>
    <w:rsid w:val="78254FFB"/>
    <w:rsid w:val="7828D763"/>
    <w:rsid w:val="7829379E"/>
    <w:rsid w:val="78296098"/>
    <w:rsid w:val="782E1F22"/>
    <w:rsid w:val="782FFF88"/>
    <w:rsid w:val="78312E4A"/>
    <w:rsid w:val="783161FB"/>
    <w:rsid w:val="78340603"/>
    <w:rsid w:val="78388374"/>
    <w:rsid w:val="7839E468"/>
    <w:rsid w:val="783A7011"/>
    <w:rsid w:val="783E206F"/>
    <w:rsid w:val="7844AC8B"/>
    <w:rsid w:val="7849F54E"/>
    <w:rsid w:val="784A56B6"/>
    <w:rsid w:val="784AE24D"/>
    <w:rsid w:val="78526B06"/>
    <w:rsid w:val="7853D834"/>
    <w:rsid w:val="7853FEB6"/>
    <w:rsid w:val="78543D31"/>
    <w:rsid w:val="78570910"/>
    <w:rsid w:val="7859DF3B"/>
    <w:rsid w:val="7859F04C"/>
    <w:rsid w:val="785BC9F8"/>
    <w:rsid w:val="78652120"/>
    <w:rsid w:val="78665CF7"/>
    <w:rsid w:val="78668C97"/>
    <w:rsid w:val="78681B11"/>
    <w:rsid w:val="7868E8D7"/>
    <w:rsid w:val="786A7479"/>
    <w:rsid w:val="786BF8D9"/>
    <w:rsid w:val="786CAC15"/>
    <w:rsid w:val="786E3DA7"/>
    <w:rsid w:val="7873B60F"/>
    <w:rsid w:val="787FF809"/>
    <w:rsid w:val="7881A821"/>
    <w:rsid w:val="788373AB"/>
    <w:rsid w:val="7884DCEC"/>
    <w:rsid w:val="78894C1E"/>
    <w:rsid w:val="788A43A9"/>
    <w:rsid w:val="788D1379"/>
    <w:rsid w:val="788DE2A2"/>
    <w:rsid w:val="788E5458"/>
    <w:rsid w:val="7896EC6C"/>
    <w:rsid w:val="789BF14C"/>
    <w:rsid w:val="789D925A"/>
    <w:rsid w:val="789DCFA8"/>
    <w:rsid w:val="789E68AD"/>
    <w:rsid w:val="78A07D19"/>
    <w:rsid w:val="78A0A89A"/>
    <w:rsid w:val="78A89A47"/>
    <w:rsid w:val="78B2647F"/>
    <w:rsid w:val="78B59217"/>
    <w:rsid w:val="78B69DD3"/>
    <w:rsid w:val="78B9A1B7"/>
    <w:rsid w:val="78BE14F1"/>
    <w:rsid w:val="78BFE644"/>
    <w:rsid w:val="78C16A8E"/>
    <w:rsid w:val="78C44EF0"/>
    <w:rsid w:val="78C4E904"/>
    <w:rsid w:val="78CFDCE9"/>
    <w:rsid w:val="78D36170"/>
    <w:rsid w:val="78D7AE15"/>
    <w:rsid w:val="78D93E6C"/>
    <w:rsid w:val="78E1C27C"/>
    <w:rsid w:val="78E1E98F"/>
    <w:rsid w:val="78E43C97"/>
    <w:rsid w:val="78E493C6"/>
    <w:rsid w:val="78EC7645"/>
    <w:rsid w:val="78ED2469"/>
    <w:rsid w:val="78ED44AD"/>
    <w:rsid w:val="78F06B21"/>
    <w:rsid w:val="78F4FCD7"/>
    <w:rsid w:val="78FD1049"/>
    <w:rsid w:val="78FFA940"/>
    <w:rsid w:val="79019489"/>
    <w:rsid w:val="7904BD10"/>
    <w:rsid w:val="790738FE"/>
    <w:rsid w:val="79086925"/>
    <w:rsid w:val="7914FE68"/>
    <w:rsid w:val="791A00DB"/>
    <w:rsid w:val="791C2C7A"/>
    <w:rsid w:val="7922FFFD"/>
    <w:rsid w:val="79278FD4"/>
    <w:rsid w:val="792A3248"/>
    <w:rsid w:val="79306834"/>
    <w:rsid w:val="79326072"/>
    <w:rsid w:val="793657C3"/>
    <w:rsid w:val="7936C948"/>
    <w:rsid w:val="7937B2EF"/>
    <w:rsid w:val="793F49E1"/>
    <w:rsid w:val="7948ABB5"/>
    <w:rsid w:val="794A589B"/>
    <w:rsid w:val="794AD184"/>
    <w:rsid w:val="794BAE57"/>
    <w:rsid w:val="794CED88"/>
    <w:rsid w:val="794FDA17"/>
    <w:rsid w:val="7950883E"/>
    <w:rsid w:val="7956503B"/>
    <w:rsid w:val="79585688"/>
    <w:rsid w:val="795857FF"/>
    <w:rsid w:val="795E2D9F"/>
    <w:rsid w:val="795F3975"/>
    <w:rsid w:val="7962AF42"/>
    <w:rsid w:val="7964C7CE"/>
    <w:rsid w:val="7967C710"/>
    <w:rsid w:val="7967D76D"/>
    <w:rsid w:val="796B1229"/>
    <w:rsid w:val="796B55B9"/>
    <w:rsid w:val="7971058B"/>
    <w:rsid w:val="79760D36"/>
    <w:rsid w:val="797636E6"/>
    <w:rsid w:val="79775D5E"/>
    <w:rsid w:val="79788420"/>
    <w:rsid w:val="7979F7B8"/>
    <w:rsid w:val="797E75C4"/>
    <w:rsid w:val="798312B8"/>
    <w:rsid w:val="798B5B19"/>
    <w:rsid w:val="798BA4F6"/>
    <w:rsid w:val="798FA3D5"/>
    <w:rsid w:val="79905D2F"/>
    <w:rsid w:val="7990F6B8"/>
    <w:rsid w:val="7992DD67"/>
    <w:rsid w:val="7994481A"/>
    <w:rsid w:val="799502CC"/>
    <w:rsid w:val="7997F97A"/>
    <w:rsid w:val="799CB908"/>
    <w:rsid w:val="799EFBE2"/>
    <w:rsid w:val="79A2E432"/>
    <w:rsid w:val="79A554B2"/>
    <w:rsid w:val="79A8BD47"/>
    <w:rsid w:val="79ACE479"/>
    <w:rsid w:val="79AFAC73"/>
    <w:rsid w:val="79B190D3"/>
    <w:rsid w:val="79B34B5E"/>
    <w:rsid w:val="79BB0F19"/>
    <w:rsid w:val="79BB615A"/>
    <w:rsid w:val="79BC6889"/>
    <w:rsid w:val="79BD917D"/>
    <w:rsid w:val="79BF37CA"/>
    <w:rsid w:val="79C09696"/>
    <w:rsid w:val="79C3F97F"/>
    <w:rsid w:val="79C4A26C"/>
    <w:rsid w:val="79CF039E"/>
    <w:rsid w:val="79CFCC2C"/>
    <w:rsid w:val="79D3CA90"/>
    <w:rsid w:val="79D640F4"/>
    <w:rsid w:val="79DDCE8C"/>
    <w:rsid w:val="79DE582C"/>
    <w:rsid w:val="79DEE186"/>
    <w:rsid w:val="79E10278"/>
    <w:rsid w:val="79E23B6F"/>
    <w:rsid w:val="79E518AC"/>
    <w:rsid w:val="79E51CA0"/>
    <w:rsid w:val="79E59A58"/>
    <w:rsid w:val="79E86151"/>
    <w:rsid w:val="79EF4E2D"/>
    <w:rsid w:val="79F02064"/>
    <w:rsid w:val="79F0F381"/>
    <w:rsid w:val="79F60E94"/>
    <w:rsid w:val="79F85BA8"/>
    <w:rsid w:val="79FCE0B3"/>
    <w:rsid w:val="7A02693F"/>
    <w:rsid w:val="7A030218"/>
    <w:rsid w:val="7A07057D"/>
    <w:rsid w:val="7A07E0E1"/>
    <w:rsid w:val="7A09D930"/>
    <w:rsid w:val="7A0CA685"/>
    <w:rsid w:val="7A198D06"/>
    <w:rsid w:val="7A1A8044"/>
    <w:rsid w:val="7A1D180A"/>
    <w:rsid w:val="7A20695C"/>
    <w:rsid w:val="7A23362E"/>
    <w:rsid w:val="7A2C8DDB"/>
    <w:rsid w:val="7A2DDE9D"/>
    <w:rsid w:val="7A2E58EC"/>
    <w:rsid w:val="7A31BEF4"/>
    <w:rsid w:val="7A3A1BDD"/>
    <w:rsid w:val="7A3BC357"/>
    <w:rsid w:val="7A3CCE38"/>
    <w:rsid w:val="7A3D017F"/>
    <w:rsid w:val="7A490303"/>
    <w:rsid w:val="7A49C8E5"/>
    <w:rsid w:val="7A4A4B70"/>
    <w:rsid w:val="7A4B2034"/>
    <w:rsid w:val="7A4BB49D"/>
    <w:rsid w:val="7A4C8B3D"/>
    <w:rsid w:val="7A51D081"/>
    <w:rsid w:val="7A57BFD2"/>
    <w:rsid w:val="7A5B0A21"/>
    <w:rsid w:val="7A5D0978"/>
    <w:rsid w:val="7A5EAB6B"/>
    <w:rsid w:val="7A64FD49"/>
    <w:rsid w:val="7A6D993A"/>
    <w:rsid w:val="7A746B2B"/>
    <w:rsid w:val="7A7473C1"/>
    <w:rsid w:val="7A75AB01"/>
    <w:rsid w:val="7A78059C"/>
    <w:rsid w:val="7A79AF0D"/>
    <w:rsid w:val="7A7D7891"/>
    <w:rsid w:val="7A832325"/>
    <w:rsid w:val="7A839D48"/>
    <w:rsid w:val="7A843CFA"/>
    <w:rsid w:val="7A87051F"/>
    <w:rsid w:val="7A8C3A18"/>
    <w:rsid w:val="7A947F38"/>
    <w:rsid w:val="7A98D647"/>
    <w:rsid w:val="7A998755"/>
    <w:rsid w:val="7A9A5D5A"/>
    <w:rsid w:val="7A9AF2F2"/>
    <w:rsid w:val="7A9B63E4"/>
    <w:rsid w:val="7A9CDE90"/>
    <w:rsid w:val="7AA33590"/>
    <w:rsid w:val="7AA4422B"/>
    <w:rsid w:val="7AA7B2F6"/>
    <w:rsid w:val="7AAF2D7E"/>
    <w:rsid w:val="7AB43883"/>
    <w:rsid w:val="7AB51809"/>
    <w:rsid w:val="7AB87B6A"/>
    <w:rsid w:val="7AC069CE"/>
    <w:rsid w:val="7AC16F70"/>
    <w:rsid w:val="7AC18117"/>
    <w:rsid w:val="7AC471CD"/>
    <w:rsid w:val="7AC54AD0"/>
    <w:rsid w:val="7AC5F2A5"/>
    <w:rsid w:val="7ACA7DED"/>
    <w:rsid w:val="7ACAAFA0"/>
    <w:rsid w:val="7ACB693C"/>
    <w:rsid w:val="7ACECF8F"/>
    <w:rsid w:val="7AD3A55A"/>
    <w:rsid w:val="7ADC1359"/>
    <w:rsid w:val="7ADE16E7"/>
    <w:rsid w:val="7AE54BAB"/>
    <w:rsid w:val="7AE64C8A"/>
    <w:rsid w:val="7AE9E613"/>
    <w:rsid w:val="7AEBD14A"/>
    <w:rsid w:val="7AEBE123"/>
    <w:rsid w:val="7AF0646D"/>
    <w:rsid w:val="7AF0A54B"/>
    <w:rsid w:val="7AF7643B"/>
    <w:rsid w:val="7AF7CFD5"/>
    <w:rsid w:val="7AFDD6F1"/>
    <w:rsid w:val="7B0BB2D0"/>
    <w:rsid w:val="7B0E31AC"/>
    <w:rsid w:val="7B1AEBCB"/>
    <w:rsid w:val="7B1D72F9"/>
    <w:rsid w:val="7B24C6B4"/>
    <w:rsid w:val="7B24E4B2"/>
    <w:rsid w:val="7B284C46"/>
    <w:rsid w:val="7B2DD274"/>
    <w:rsid w:val="7B2FBDDE"/>
    <w:rsid w:val="7B325028"/>
    <w:rsid w:val="7B3399C9"/>
    <w:rsid w:val="7B344848"/>
    <w:rsid w:val="7B36F19F"/>
    <w:rsid w:val="7B378A0A"/>
    <w:rsid w:val="7B3A5C3E"/>
    <w:rsid w:val="7B3A642B"/>
    <w:rsid w:val="7B3B84B9"/>
    <w:rsid w:val="7B3BA3A1"/>
    <w:rsid w:val="7B428126"/>
    <w:rsid w:val="7B443D8C"/>
    <w:rsid w:val="7B44F6BD"/>
    <w:rsid w:val="7B469993"/>
    <w:rsid w:val="7B47C5EE"/>
    <w:rsid w:val="7B489882"/>
    <w:rsid w:val="7B4A4661"/>
    <w:rsid w:val="7B51E78B"/>
    <w:rsid w:val="7B52F5A3"/>
    <w:rsid w:val="7B5A19D7"/>
    <w:rsid w:val="7B5C8A3B"/>
    <w:rsid w:val="7B5F0F3D"/>
    <w:rsid w:val="7B6073D6"/>
    <w:rsid w:val="7B627569"/>
    <w:rsid w:val="7B675DF9"/>
    <w:rsid w:val="7B67ECED"/>
    <w:rsid w:val="7B6A004F"/>
    <w:rsid w:val="7B6E1ACC"/>
    <w:rsid w:val="7B701B65"/>
    <w:rsid w:val="7B743C08"/>
    <w:rsid w:val="7B747C5D"/>
    <w:rsid w:val="7B7609C4"/>
    <w:rsid w:val="7B78F7FF"/>
    <w:rsid w:val="7B7AFE40"/>
    <w:rsid w:val="7B7D7000"/>
    <w:rsid w:val="7B7ECC41"/>
    <w:rsid w:val="7B81E3F2"/>
    <w:rsid w:val="7B85906B"/>
    <w:rsid w:val="7B85BFAE"/>
    <w:rsid w:val="7B870A43"/>
    <w:rsid w:val="7B8ABDB4"/>
    <w:rsid w:val="7B8B9097"/>
    <w:rsid w:val="7B8DAC52"/>
    <w:rsid w:val="7B8DD2FB"/>
    <w:rsid w:val="7B933E13"/>
    <w:rsid w:val="7B93AB7A"/>
    <w:rsid w:val="7B9661EF"/>
    <w:rsid w:val="7B98125F"/>
    <w:rsid w:val="7B9A58CB"/>
    <w:rsid w:val="7B9E687D"/>
    <w:rsid w:val="7BA181BA"/>
    <w:rsid w:val="7BA2F2BD"/>
    <w:rsid w:val="7BABDA89"/>
    <w:rsid w:val="7BAE9BFE"/>
    <w:rsid w:val="7BB0BE9A"/>
    <w:rsid w:val="7BBEC55A"/>
    <w:rsid w:val="7BBEDAE7"/>
    <w:rsid w:val="7BC2E9BA"/>
    <w:rsid w:val="7BCB5689"/>
    <w:rsid w:val="7BD7A208"/>
    <w:rsid w:val="7BDCA1C9"/>
    <w:rsid w:val="7BDEB3CF"/>
    <w:rsid w:val="7BE0C601"/>
    <w:rsid w:val="7BE1AAF7"/>
    <w:rsid w:val="7BE56258"/>
    <w:rsid w:val="7BE59710"/>
    <w:rsid w:val="7BE79A47"/>
    <w:rsid w:val="7BE7FD45"/>
    <w:rsid w:val="7BE99281"/>
    <w:rsid w:val="7BED22CB"/>
    <w:rsid w:val="7BFBC73F"/>
    <w:rsid w:val="7BFD479F"/>
    <w:rsid w:val="7C043776"/>
    <w:rsid w:val="7C05AD1B"/>
    <w:rsid w:val="7C09ADAC"/>
    <w:rsid w:val="7C0AF15C"/>
    <w:rsid w:val="7C0C3DD4"/>
    <w:rsid w:val="7C0D920D"/>
    <w:rsid w:val="7C0E7BFB"/>
    <w:rsid w:val="7C108598"/>
    <w:rsid w:val="7C117B62"/>
    <w:rsid w:val="7C146420"/>
    <w:rsid w:val="7C1801BB"/>
    <w:rsid w:val="7C1B66CB"/>
    <w:rsid w:val="7C1D6687"/>
    <w:rsid w:val="7C2D1D36"/>
    <w:rsid w:val="7C3C5560"/>
    <w:rsid w:val="7C3EA660"/>
    <w:rsid w:val="7C3FB697"/>
    <w:rsid w:val="7C425EA1"/>
    <w:rsid w:val="7C4A8E01"/>
    <w:rsid w:val="7C4AE282"/>
    <w:rsid w:val="7C56BA2C"/>
    <w:rsid w:val="7C643345"/>
    <w:rsid w:val="7C660D56"/>
    <w:rsid w:val="7C6C298C"/>
    <w:rsid w:val="7C6F4A37"/>
    <w:rsid w:val="7C73FADE"/>
    <w:rsid w:val="7C746193"/>
    <w:rsid w:val="7C7AEC09"/>
    <w:rsid w:val="7C7D1624"/>
    <w:rsid w:val="7C7F49B3"/>
    <w:rsid w:val="7C832E98"/>
    <w:rsid w:val="7C849C5C"/>
    <w:rsid w:val="7C8FC7FE"/>
    <w:rsid w:val="7C905C51"/>
    <w:rsid w:val="7C920ADC"/>
    <w:rsid w:val="7C92D31F"/>
    <w:rsid w:val="7C9A04F1"/>
    <w:rsid w:val="7C9EC770"/>
    <w:rsid w:val="7CA0FFFB"/>
    <w:rsid w:val="7CA2290E"/>
    <w:rsid w:val="7CA26501"/>
    <w:rsid w:val="7CA2D418"/>
    <w:rsid w:val="7CA7260D"/>
    <w:rsid w:val="7CB05303"/>
    <w:rsid w:val="7CC14ADB"/>
    <w:rsid w:val="7CC3EA3A"/>
    <w:rsid w:val="7CC65D47"/>
    <w:rsid w:val="7CC8732F"/>
    <w:rsid w:val="7CCA6C92"/>
    <w:rsid w:val="7CCF3D99"/>
    <w:rsid w:val="7CD342B0"/>
    <w:rsid w:val="7CD34EAE"/>
    <w:rsid w:val="7CD4ED47"/>
    <w:rsid w:val="7CD540E3"/>
    <w:rsid w:val="7CD5526C"/>
    <w:rsid w:val="7CD76391"/>
    <w:rsid w:val="7CDAE692"/>
    <w:rsid w:val="7CDBA1B9"/>
    <w:rsid w:val="7CDF84E4"/>
    <w:rsid w:val="7CE5B8B8"/>
    <w:rsid w:val="7CE69D13"/>
    <w:rsid w:val="7CE90774"/>
    <w:rsid w:val="7CE94CF3"/>
    <w:rsid w:val="7CF26D49"/>
    <w:rsid w:val="7CF97DD6"/>
    <w:rsid w:val="7CF9ED69"/>
    <w:rsid w:val="7CFA615B"/>
    <w:rsid w:val="7CFAC9C6"/>
    <w:rsid w:val="7D0165F0"/>
    <w:rsid w:val="7D055991"/>
    <w:rsid w:val="7D0613A6"/>
    <w:rsid w:val="7D066F04"/>
    <w:rsid w:val="7D0A184B"/>
    <w:rsid w:val="7D0D868B"/>
    <w:rsid w:val="7D0E9BAF"/>
    <w:rsid w:val="7D11FFB1"/>
    <w:rsid w:val="7D12A9C3"/>
    <w:rsid w:val="7D148A67"/>
    <w:rsid w:val="7D1F674F"/>
    <w:rsid w:val="7D21BD23"/>
    <w:rsid w:val="7D21C76E"/>
    <w:rsid w:val="7D2345DE"/>
    <w:rsid w:val="7D250A32"/>
    <w:rsid w:val="7D26CAE4"/>
    <w:rsid w:val="7D30321C"/>
    <w:rsid w:val="7D3280D3"/>
    <w:rsid w:val="7D33A8CA"/>
    <w:rsid w:val="7D38CEE3"/>
    <w:rsid w:val="7D4270D4"/>
    <w:rsid w:val="7D42CC5F"/>
    <w:rsid w:val="7D433FC0"/>
    <w:rsid w:val="7D4A4AA1"/>
    <w:rsid w:val="7D4ADF2D"/>
    <w:rsid w:val="7D5633FF"/>
    <w:rsid w:val="7D57A90C"/>
    <w:rsid w:val="7D581B40"/>
    <w:rsid w:val="7D5D0820"/>
    <w:rsid w:val="7D68772C"/>
    <w:rsid w:val="7D68AF6C"/>
    <w:rsid w:val="7D691DD5"/>
    <w:rsid w:val="7D6A9972"/>
    <w:rsid w:val="7D6AF89B"/>
    <w:rsid w:val="7D70416A"/>
    <w:rsid w:val="7D7433A2"/>
    <w:rsid w:val="7D752A39"/>
    <w:rsid w:val="7D794833"/>
    <w:rsid w:val="7D79E7E2"/>
    <w:rsid w:val="7D7A1AF9"/>
    <w:rsid w:val="7D7DC5B9"/>
    <w:rsid w:val="7D80CA1B"/>
    <w:rsid w:val="7D83E537"/>
    <w:rsid w:val="7D847199"/>
    <w:rsid w:val="7D853286"/>
    <w:rsid w:val="7D862333"/>
    <w:rsid w:val="7D86363F"/>
    <w:rsid w:val="7D868933"/>
    <w:rsid w:val="7D889D8C"/>
    <w:rsid w:val="7D8B2D97"/>
    <w:rsid w:val="7D8BA667"/>
    <w:rsid w:val="7D8BCEF2"/>
    <w:rsid w:val="7D8BFAFC"/>
    <w:rsid w:val="7D8FDFDF"/>
    <w:rsid w:val="7D90BDFB"/>
    <w:rsid w:val="7D932958"/>
    <w:rsid w:val="7D942366"/>
    <w:rsid w:val="7D9685A3"/>
    <w:rsid w:val="7D9880CB"/>
    <w:rsid w:val="7D9945FC"/>
    <w:rsid w:val="7D994F67"/>
    <w:rsid w:val="7D99D521"/>
    <w:rsid w:val="7D99E56C"/>
    <w:rsid w:val="7D9E6887"/>
    <w:rsid w:val="7DA06728"/>
    <w:rsid w:val="7DA2ED36"/>
    <w:rsid w:val="7DA3E818"/>
    <w:rsid w:val="7DA777B4"/>
    <w:rsid w:val="7DA91CB2"/>
    <w:rsid w:val="7DB0796C"/>
    <w:rsid w:val="7DB1A16F"/>
    <w:rsid w:val="7DB22FF3"/>
    <w:rsid w:val="7DB4F549"/>
    <w:rsid w:val="7DB59315"/>
    <w:rsid w:val="7DB8CA07"/>
    <w:rsid w:val="7DB8D400"/>
    <w:rsid w:val="7DBB7405"/>
    <w:rsid w:val="7DBC67B8"/>
    <w:rsid w:val="7DBE08A1"/>
    <w:rsid w:val="7DBF0F5E"/>
    <w:rsid w:val="7DC6C703"/>
    <w:rsid w:val="7DCB61E8"/>
    <w:rsid w:val="7DD193FD"/>
    <w:rsid w:val="7DD534F9"/>
    <w:rsid w:val="7DD6DF6C"/>
    <w:rsid w:val="7DD6FB49"/>
    <w:rsid w:val="7DD86D7E"/>
    <w:rsid w:val="7DEB7DCB"/>
    <w:rsid w:val="7DEE54F0"/>
    <w:rsid w:val="7DF0C78A"/>
    <w:rsid w:val="7DF1FD23"/>
    <w:rsid w:val="7DF4696A"/>
    <w:rsid w:val="7DFAF00E"/>
    <w:rsid w:val="7DFB6E6D"/>
    <w:rsid w:val="7DFEB919"/>
    <w:rsid w:val="7E001870"/>
    <w:rsid w:val="7E00D9EB"/>
    <w:rsid w:val="7E019927"/>
    <w:rsid w:val="7E08231B"/>
    <w:rsid w:val="7E084FF9"/>
    <w:rsid w:val="7E08AB2D"/>
    <w:rsid w:val="7E08DC7E"/>
    <w:rsid w:val="7E116D8D"/>
    <w:rsid w:val="7E168DA2"/>
    <w:rsid w:val="7E181F3F"/>
    <w:rsid w:val="7E1AC827"/>
    <w:rsid w:val="7E1C6EFF"/>
    <w:rsid w:val="7E24106C"/>
    <w:rsid w:val="7E2436D0"/>
    <w:rsid w:val="7E29CA7E"/>
    <w:rsid w:val="7E33ABF4"/>
    <w:rsid w:val="7E3547AA"/>
    <w:rsid w:val="7E3611B5"/>
    <w:rsid w:val="7E36A793"/>
    <w:rsid w:val="7E37CD26"/>
    <w:rsid w:val="7E389320"/>
    <w:rsid w:val="7E3CF589"/>
    <w:rsid w:val="7E3E2E3A"/>
    <w:rsid w:val="7E3EC556"/>
    <w:rsid w:val="7E437F14"/>
    <w:rsid w:val="7E4F6E15"/>
    <w:rsid w:val="7E50B8E2"/>
    <w:rsid w:val="7E54A9E0"/>
    <w:rsid w:val="7E55E813"/>
    <w:rsid w:val="7E5A51B0"/>
    <w:rsid w:val="7E5C9107"/>
    <w:rsid w:val="7E5F357D"/>
    <w:rsid w:val="7E61D5AF"/>
    <w:rsid w:val="7E631549"/>
    <w:rsid w:val="7E6857C5"/>
    <w:rsid w:val="7E699A8B"/>
    <w:rsid w:val="7E6D75E7"/>
    <w:rsid w:val="7E738DD4"/>
    <w:rsid w:val="7E73F213"/>
    <w:rsid w:val="7E740EF6"/>
    <w:rsid w:val="7E781BBB"/>
    <w:rsid w:val="7E7F695A"/>
    <w:rsid w:val="7E806D69"/>
    <w:rsid w:val="7E811634"/>
    <w:rsid w:val="7E877D23"/>
    <w:rsid w:val="7E87F34C"/>
    <w:rsid w:val="7E897117"/>
    <w:rsid w:val="7E8D301B"/>
    <w:rsid w:val="7E8F6F99"/>
    <w:rsid w:val="7E949447"/>
    <w:rsid w:val="7E97F85F"/>
    <w:rsid w:val="7E987B27"/>
    <w:rsid w:val="7E9CE2B6"/>
    <w:rsid w:val="7EA03CDF"/>
    <w:rsid w:val="7EA0CB37"/>
    <w:rsid w:val="7EA3CEAD"/>
    <w:rsid w:val="7EA5FE11"/>
    <w:rsid w:val="7EA78F71"/>
    <w:rsid w:val="7EA98AD5"/>
    <w:rsid w:val="7EAD458E"/>
    <w:rsid w:val="7EB5EA30"/>
    <w:rsid w:val="7EB82838"/>
    <w:rsid w:val="7EB8FAFE"/>
    <w:rsid w:val="7EBA7E66"/>
    <w:rsid w:val="7EBE8CBF"/>
    <w:rsid w:val="7EC29709"/>
    <w:rsid w:val="7EC95B5B"/>
    <w:rsid w:val="7EC9D138"/>
    <w:rsid w:val="7ECBEA2F"/>
    <w:rsid w:val="7ECF0125"/>
    <w:rsid w:val="7EDA6128"/>
    <w:rsid w:val="7EDB70AC"/>
    <w:rsid w:val="7EDDCF6A"/>
    <w:rsid w:val="7EDE6767"/>
    <w:rsid w:val="7EDF85FB"/>
    <w:rsid w:val="7EE4AE0B"/>
    <w:rsid w:val="7EE93F4E"/>
    <w:rsid w:val="7EEBD5A2"/>
    <w:rsid w:val="7EF0C1AA"/>
    <w:rsid w:val="7EF76996"/>
    <w:rsid w:val="7EF892BA"/>
    <w:rsid w:val="7F044CFC"/>
    <w:rsid w:val="7F0B4314"/>
    <w:rsid w:val="7F19BEB9"/>
    <w:rsid w:val="7F1F25C0"/>
    <w:rsid w:val="7F2187A1"/>
    <w:rsid w:val="7F21A79E"/>
    <w:rsid w:val="7F2C17CB"/>
    <w:rsid w:val="7F2C1B62"/>
    <w:rsid w:val="7F2D9BCB"/>
    <w:rsid w:val="7F351F36"/>
    <w:rsid w:val="7F3974A8"/>
    <w:rsid w:val="7F3BAC20"/>
    <w:rsid w:val="7F3BB801"/>
    <w:rsid w:val="7F3C9C9B"/>
    <w:rsid w:val="7F3E3F2A"/>
    <w:rsid w:val="7F3E49CD"/>
    <w:rsid w:val="7F3E92BB"/>
    <w:rsid w:val="7F3EBCC2"/>
    <w:rsid w:val="7F428F17"/>
    <w:rsid w:val="7F457E75"/>
    <w:rsid w:val="7F48219A"/>
    <w:rsid w:val="7F4AF261"/>
    <w:rsid w:val="7F4DCE64"/>
    <w:rsid w:val="7F4F0641"/>
    <w:rsid w:val="7F4FD46C"/>
    <w:rsid w:val="7F507F55"/>
    <w:rsid w:val="7F522BD8"/>
    <w:rsid w:val="7F539527"/>
    <w:rsid w:val="7F53B1AC"/>
    <w:rsid w:val="7F5AE7ED"/>
    <w:rsid w:val="7F5C2AE2"/>
    <w:rsid w:val="7F5E532A"/>
    <w:rsid w:val="7F63550D"/>
    <w:rsid w:val="7F68397C"/>
    <w:rsid w:val="7F693794"/>
    <w:rsid w:val="7F6BC81A"/>
    <w:rsid w:val="7F6E6B1F"/>
    <w:rsid w:val="7F6F950F"/>
    <w:rsid w:val="7F74B130"/>
    <w:rsid w:val="7F795267"/>
    <w:rsid w:val="7F7F02D9"/>
    <w:rsid w:val="7F7F274E"/>
    <w:rsid w:val="7F7F586F"/>
    <w:rsid w:val="7F809F7D"/>
    <w:rsid w:val="7F886122"/>
    <w:rsid w:val="7F90A225"/>
    <w:rsid w:val="7F918D6D"/>
    <w:rsid w:val="7F92B879"/>
    <w:rsid w:val="7F9586A4"/>
    <w:rsid w:val="7F96ECD9"/>
    <w:rsid w:val="7F97BAE1"/>
    <w:rsid w:val="7F990E43"/>
    <w:rsid w:val="7FA0CFE5"/>
    <w:rsid w:val="7FA3BFD7"/>
    <w:rsid w:val="7FAE3963"/>
    <w:rsid w:val="7FB3D5B1"/>
    <w:rsid w:val="7FBBB129"/>
    <w:rsid w:val="7FBC25EB"/>
    <w:rsid w:val="7FBDE954"/>
    <w:rsid w:val="7FC75E10"/>
    <w:rsid w:val="7FC868B2"/>
    <w:rsid w:val="7FCD7F0D"/>
    <w:rsid w:val="7FCE3F9A"/>
    <w:rsid w:val="7FD35C57"/>
    <w:rsid w:val="7FD3D926"/>
    <w:rsid w:val="7FD49074"/>
    <w:rsid w:val="7FD8A0BD"/>
    <w:rsid w:val="7FDF0DEC"/>
    <w:rsid w:val="7FE289D5"/>
    <w:rsid w:val="7FE827D6"/>
    <w:rsid w:val="7FE95336"/>
    <w:rsid w:val="7FE9B193"/>
    <w:rsid w:val="7FEB21FC"/>
    <w:rsid w:val="7FEC6AFB"/>
    <w:rsid w:val="7FEE9537"/>
    <w:rsid w:val="7FEFBE01"/>
    <w:rsid w:val="7FF41E7E"/>
    <w:rsid w:val="7FF50D58"/>
    <w:rsid w:val="7FF7B012"/>
    <w:rsid w:val="7FFA6923"/>
    <w:rsid w:val="7FFAC9C7"/>
    <w:rsid w:val="7FFFC9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41319C"/>
  <w15:docId w15:val="{CF7D6E61-90A8-418B-B205-8C8E4790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410D"/>
    <w:pPr>
      <w:spacing w:after="0" w:line="240" w:lineRule="auto"/>
      <w:ind w:left="360"/>
    </w:pPr>
    <w:rPr>
      <w:rFonts w:ascii="Garamond" w:hAnsi="Garamond" w:cs="Calibri"/>
      <w:sz w:val="24"/>
    </w:rPr>
  </w:style>
  <w:style w:type="paragraph" w:styleId="Heading1">
    <w:name w:val="heading 1"/>
    <w:basedOn w:val="Normal"/>
    <w:next w:val="Normal"/>
    <w:link w:val="Heading1Char"/>
    <w:uiPriority w:val="9"/>
    <w:qFormat/>
    <w:rsid w:val="00B5410D"/>
    <w:pPr>
      <w:keepNext/>
      <w:keepLines/>
      <w:spacing w:before="240"/>
      <w:outlineLvl w:val="0"/>
    </w:pPr>
    <w:rPr>
      <w:rFonts w:ascii="Century Gothic" w:eastAsiaTheme="majorEastAsia" w:hAnsi="Century Gothic"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5B3"/>
    <w:pPr>
      <w:keepNext/>
      <w:keepLines/>
      <w:numPr>
        <w:numId w:val="148"/>
      </w:numPr>
      <w:spacing w:before="360" w:after="160"/>
      <w:outlineLvl w:val="1"/>
    </w:pPr>
    <w:rPr>
      <w:rFonts w:ascii="Century Gothic" w:eastAsia="Times New Roman" w:hAnsi="Century Gothic"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15B3"/>
    <w:pPr>
      <w:keepNext/>
      <w:keepLines/>
      <w:numPr>
        <w:ilvl w:val="1"/>
        <w:numId w:val="148"/>
      </w:numPr>
      <w:spacing w:before="240" w:after="2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B50168"/>
    <w:pPr>
      <w:keepNext/>
      <w:keepLines/>
      <w:spacing w:before="24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4444B"/>
    <w:pPr>
      <w:keepNext/>
      <w:keepLines/>
      <w:numPr>
        <w:numId w:val="6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72DA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5C9B"/>
    <w:rPr>
      <w:color w:val="0563C1"/>
      <w:u w:val="single"/>
    </w:rPr>
  </w:style>
  <w:style w:type="paragraph" w:styleId="ListParagraph">
    <w:name w:val="List Paragraph"/>
    <w:basedOn w:val="Normal"/>
    <w:link w:val="ListParagraphChar"/>
    <w:uiPriority w:val="34"/>
    <w:qFormat/>
    <w:rsid w:val="00C15C9B"/>
    <w:pPr>
      <w:ind w:left="720"/>
    </w:pPr>
  </w:style>
  <w:style w:type="character" w:customStyle="1" w:styleId="UnresolvedMention1">
    <w:name w:val="Unresolved Mention1"/>
    <w:basedOn w:val="DefaultParagraphFont"/>
    <w:uiPriority w:val="99"/>
    <w:semiHidden/>
    <w:unhideWhenUsed/>
    <w:rsid w:val="006852F3"/>
    <w:rPr>
      <w:color w:val="605E5C"/>
      <w:shd w:val="clear" w:color="auto" w:fill="E1DFDD"/>
    </w:rPr>
  </w:style>
  <w:style w:type="character" w:styleId="FollowedHyperlink">
    <w:name w:val="FollowedHyperlink"/>
    <w:basedOn w:val="DefaultParagraphFont"/>
    <w:uiPriority w:val="99"/>
    <w:semiHidden/>
    <w:unhideWhenUsed/>
    <w:rsid w:val="009D1B42"/>
    <w:rPr>
      <w:color w:val="954F72" w:themeColor="followedHyperlink"/>
      <w:u w:val="single"/>
    </w:rPr>
  </w:style>
  <w:style w:type="paragraph" w:customStyle="1" w:styleId="Default">
    <w:name w:val="Default"/>
    <w:rsid w:val="00DB1F8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46DBB"/>
    <w:rPr>
      <w:rFonts w:ascii="Arial" w:hAnsi="Arial" w:cs="Arial"/>
      <w:sz w:val="18"/>
      <w:szCs w:val="18"/>
    </w:rPr>
  </w:style>
  <w:style w:type="character" w:customStyle="1" w:styleId="BalloonTextChar">
    <w:name w:val="Balloon Text Char"/>
    <w:basedOn w:val="DefaultParagraphFont"/>
    <w:link w:val="BalloonText"/>
    <w:uiPriority w:val="99"/>
    <w:semiHidden/>
    <w:rsid w:val="00F46DBB"/>
    <w:rPr>
      <w:rFonts w:ascii="Arial" w:hAnsi="Arial" w:cs="Arial"/>
      <w:sz w:val="18"/>
      <w:szCs w:val="18"/>
    </w:rPr>
  </w:style>
  <w:style w:type="character" w:customStyle="1" w:styleId="UnresolvedMention2">
    <w:name w:val="Unresolved Mention2"/>
    <w:basedOn w:val="DefaultParagraphFont"/>
    <w:uiPriority w:val="99"/>
    <w:semiHidden/>
    <w:unhideWhenUsed/>
    <w:rsid w:val="003E6C66"/>
    <w:rPr>
      <w:color w:val="605E5C"/>
      <w:shd w:val="clear" w:color="auto" w:fill="E1DFDD"/>
    </w:rPr>
  </w:style>
  <w:style w:type="character" w:customStyle="1" w:styleId="Heading2Char">
    <w:name w:val="Heading 2 Char"/>
    <w:basedOn w:val="DefaultParagraphFont"/>
    <w:link w:val="Heading2"/>
    <w:uiPriority w:val="9"/>
    <w:rsid w:val="000115B3"/>
    <w:rPr>
      <w:rFonts w:ascii="Century Gothic" w:eastAsia="Times New Roman" w:hAnsi="Century Gothic" w:cstheme="majorBidi"/>
      <w:color w:val="2F5496" w:themeColor="accent1" w:themeShade="BF"/>
      <w:sz w:val="26"/>
      <w:szCs w:val="26"/>
    </w:rPr>
  </w:style>
  <w:style w:type="character" w:customStyle="1" w:styleId="Heading1Char">
    <w:name w:val="Heading 1 Char"/>
    <w:basedOn w:val="DefaultParagraphFont"/>
    <w:link w:val="Heading1"/>
    <w:uiPriority w:val="9"/>
    <w:rsid w:val="00B5410D"/>
    <w:rPr>
      <w:rFonts w:ascii="Century Gothic" w:eastAsiaTheme="majorEastAsia" w:hAnsi="Century Gothic" w:cstheme="majorBidi"/>
      <w:color w:val="2F5496" w:themeColor="accent1" w:themeShade="BF"/>
      <w:sz w:val="32"/>
      <w:szCs w:val="32"/>
    </w:rPr>
  </w:style>
  <w:style w:type="character" w:customStyle="1" w:styleId="UnresolvedMention3">
    <w:name w:val="Unresolved Mention3"/>
    <w:basedOn w:val="DefaultParagraphFont"/>
    <w:uiPriority w:val="99"/>
    <w:semiHidden/>
    <w:unhideWhenUsed/>
    <w:rsid w:val="00ED6EF4"/>
    <w:rPr>
      <w:color w:val="605E5C"/>
      <w:shd w:val="clear" w:color="auto" w:fill="E1DFDD"/>
    </w:rPr>
  </w:style>
  <w:style w:type="character" w:styleId="CommentReference">
    <w:name w:val="annotation reference"/>
    <w:basedOn w:val="DefaultParagraphFont"/>
    <w:uiPriority w:val="99"/>
    <w:semiHidden/>
    <w:unhideWhenUsed/>
    <w:rsid w:val="00125B9D"/>
    <w:rPr>
      <w:sz w:val="16"/>
      <w:szCs w:val="16"/>
    </w:rPr>
  </w:style>
  <w:style w:type="paragraph" w:styleId="CommentText">
    <w:name w:val="annotation text"/>
    <w:basedOn w:val="Normal"/>
    <w:link w:val="CommentTextChar"/>
    <w:uiPriority w:val="99"/>
    <w:unhideWhenUsed/>
    <w:rsid w:val="00125B9D"/>
    <w:rPr>
      <w:sz w:val="20"/>
      <w:szCs w:val="20"/>
    </w:rPr>
  </w:style>
  <w:style w:type="character" w:customStyle="1" w:styleId="CommentTextChar">
    <w:name w:val="Comment Text Char"/>
    <w:basedOn w:val="DefaultParagraphFont"/>
    <w:link w:val="CommentText"/>
    <w:uiPriority w:val="99"/>
    <w:rsid w:val="00125B9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25B9D"/>
    <w:rPr>
      <w:b/>
      <w:bCs/>
    </w:rPr>
  </w:style>
  <w:style w:type="character" w:customStyle="1" w:styleId="CommentSubjectChar">
    <w:name w:val="Comment Subject Char"/>
    <w:basedOn w:val="CommentTextChar"/>
    <w:link w:val="CommentSubject"/>
    <w:uiPriority w:val="99"/>
    <w:semiHidden/>
    <w:rsid w:val="00125B9D"/>
    <w:rPr>
      <w:rFonts w:ascii="Calibri" w:hAnsi="Calibri" w:cs="Calibri"/>
      <w:b/>
      <w:bCs/>
      <w:sz w:val="20"/>
      <w:szCs w:val="20"/>
    </w:rPr>
  </w:style>
  <w:style w:type="character" w:customStyle="1" w:styleId="UnresolvedMention4">
    <w:name w:val="Unresolved Mention4"/>
    <w:basedOn w:val="DefaultParagraphFont"/>
    <w:uiPriority w:val="99"/>
    <w:semiHidden/>
    <w:unhideWhenUsed/>
    <w:rsid w:val="00D21EBE"/>
    <w:rPr>
      <w:color w:val="605E5C"/>
      <w:shd w:val="clear" w:color="auto" w:fill="E1DFDD"/>
    </w:rPr>
  </w:style>
  <w:style w:type="paragraph" w:styleId="NoSpacing">
    <w:name w:val="No Spacing"/>
    <w:uiPriority w:val="1"/>
    <w:qFormat/>
    <w:rsid w:val="009B2A1D"/>
    <w:pPr>
      <w:spacing w:after="0" w:line="240" w:lineRule="auto"/>
    </w:pPr>
    <w:rPr>
      <w:rFonts w:ascii="Calibri" w:hAnsi="Calibri" w:cs="Calibri"/>
    </w:rPr>
  </w:style>
  <w:style w:type="table" w:styleId="TableGrid">
    <w:name w:val="Table Grid"/>
    <w:basedOn w:val="TableNormal"/>
    <w:uiPriority w:val="39"/>
    <w:rsid w:val="009B2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 Char,Char"/>
    <w:basedOn w:val="Normal"/>
    <w:link w:val="FootnoteTextChar"/>
    <w:uiPriority w:val="99"/>
    <w:unhideWhenUsed/>
    <w:rsid w:val="00E4178C"/>
    <w:rPr>
      <w:sz w:val="20"/>
      <w:szCs w:val="20"/>
    </w:rPr>
  </w:style>
  <w:style w:type="character" w:customStyle="1" w:styleId="FootnoteTextChar">
    <w:name w:val="Footnote Text Char"/>
    <w:aliases w:val="Footnote Text Char1 Char,Footnote Text Char Char Char1,Footnote Text Char2 Char Char,Footnote Text Char Char Char Char,Footnote Text Char2 Char Char Char Char,Footnote Text Char Char Char Char Char Char,fn Char, Char Char,Char Char"/>
    <w:basedOn w:val="DefaultParagraphFont"/>
    <w:link w:val="FootnoteText"/>
    <w:uiPriority w:val="99"/>
    <w:rsid w:val="00E4178C"/>
    <w:rPr>
      <w:rFonts w:ascii="Calibri" w:hAnsi="Calibri" w:cs="Calibri"/>
      <w:sz w:val="20"/>
      <w:szCs w:val="20"/>
    </w:rPr>
  </w:style>
  <w:style w:type="character" w:styleId="FootnoteReference">
    <w:name w:val="footnote reference"/>
    <w:aliases w:val="o,fr,o1,o2,o3,o4,o5,o6,o11,o21,o7"/>
    <w:basedOn w:val="DefaultParagraphFont"/>
    <w:uiPriority w:val="99"/>
    <w:unhideWhenUsed/>
    <w:rsid w:val="00E4178C"/>
    <w:rPr>
      <w:vertAlign w:val="superscript"/>
    </w:rPr>
  </w:style>
  <w:style w:type="paragraph" w:styleId="Caption">
    <w:name w:val="caption"/>
    <w:basedOn w:val="Normal"/>
    <w:next w:val="Normal"/>
    <w:uiPriority w:val="35"/>
    <w:unhideWhenUsed/>
    <w:qFormat/>
    <w:rsid w:val="005D2B23"/>
    <w:pPr>
      <w:spacing w:after="200"/>
    </w:pPr>
    <w:rPr>
      <w:i/>
      <w:iCs/>
      <w:color w:val="44546A" w:themeColor="text2"/>
      <w:szCs w:val="18"/>
    </w:rPr>
  </w:style>
  <w:style w:type="paragraph" w:styleId="Revision">
    <w:name w:val="Revision"/>
    <w:hidden/>
    <w:uiPriority w:val="99"/>
    <w:semiHidden/>
    <w:rsid w:val="002630C0"/>
    <w:pPr>
      <w:spacing w:after="0" w:line="240" w:lineRule="auto"/>
    </w:pPr>
    <w:rPr>
      <w:rFonts w:ascii="Calibri" w:hAnsi="Calibri" w:cs="Calibri"/>
    </w:rPr>
  </w:style>
  <w:style w:type="paragraph" w:styleId="Header">
    <w:name w:val="header"/>
    <w:basedOn w:val="Normal"/>
    <w:link w:val="HeaderChar"/>
    <w:uiPriority w:val="99"/>
    <w:unhideWhenUsed/>
    <w:rsid w:val="00C13AF1"/>
    <w:pPr>
      <w:tabs>
        <w:tab w:val="center" w:pos="4680"/>
        <w:tab w:val="right" w:pos="9360"/>
      </w:tabs>
    </w:pPr>
  </w:style>
  <w:style w:type="character" w:customStyle="1" w:styleId="HeaderChar">
    <w:name w:val="Header Char"/>
    <w:basedOn w:val="DefaultParagraphFont"/>
    <w:link w:val="Header"/>
    <w:uiPriority w:val="99"/>
    <w:rsid w:val="00C13AF1"/>
    <w:rPr>
      <w:rFonts w:ascii="Calibri" w:hAnsi="Calibri" w:cs="Calibri"/>
    </w:rPr>
  </w:style>
  <w:style w:type="paragraph" w:styleId="Footer">
    <w:name w:val="footer"/>
    <w:basedOn w:val="Normal"/>
    <w:link w:val="FooterChar"/>
    <w:uiPriority w:val="99"/>
    <w:unhideWhenUsed/>
    <w:rsid w:val="00C13AF1"/>
    <w:pPr>
      <w:tabs>
        <w:tab w:val="center" w:pos="4680"/>
        <w:tab w:val="right" w:pos="9360"/>
      </w:tabs>
    </w:pPr>
  </w:style>
  <w:style w:type="character" w:customStyle="1" w:styleId="FooterChar">
    <w:name w:val="Footer Char"/>
    <w:basedOn w:val="DefaultParagraphFont"/>
    <w:link w:val="Footer"/>
    <w:uiPriority w:val="99"/>
    <w:rsid w:val="00C13AF1"/>
    <w:rPr>
      <w:rFonts w:ascii="Calibri" w:hAnsi="Calibri" w:cs="Calibri"/>
    </w:rPr>
  </w:style>
  <w:style w:type="character" w:customStyle="1" w:styleId="UnresolvedMention5">
    <w:name w:val="Unresolved Mention5"/>
    <w:basedOn w:val="DefaultParagraphFont"/>
    <w:uiPriority w:val="99"/>
    <w:semiHidden/>
    <w:unhideWhenUsed/>
    <w:rsid w:val="00A509BD"/>
    <w:rPr>
      <w:color w:val="605E5C"/>
      <w:shd w:val="clear" w:color="auto" w:fill="E1DFDD"/>
    </w:rPr>
  </w:style>
  <w:style w:type="paragraph" w:styleId="Title">
    <w:name w:val="Title"/>
    <w:basedOn w:val="Normal"/>
    <w:next w:val="Normal"/>
    <w:link w:val="TitleChar"/>
    <w:uiPriority w:val="10"/>
    <w:qFormat/>
    <w:rsid w:val="009F3841"/>
    <w:pPr>
      <w:pBdr>
        <w:bottom w:val="single" w:sz="8" w:space="4" w:color="4472C4" w:themeColor="accent1"/>
      </w:pBdr>
      <w:spacing w:after="300"/>
      <w:ind w:left="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3841"/>
    <w:rPr>
      <w:rFonts w:asciiTheme="majorHAnsi" w:eastAsiaTheme="majorEastAsia" w:hAnsiTheme="majorHAnsi" w:cstheme="majorBidi"/>
      <w:color w:val="323E4F" w:themeColor="text2" w:themeShade="BF"/>
      <w:spacing w:val="5"/>
      <w:kern w:val="28"/>
      <w:sz w:val="52"/>
      <w:szCs w:val="52"/>
    </w:rPr>
  </w:style>
  <w:style w:type="paragraph" w:customStyle="1" w:styleId="Questionbox">
    <w:name w:val="Question box"/>
    <w:basedOn w:val="ListParagraph"/>
    <w:link w:val="QuestionboxChar"/>
    <w:qFormat/>
    <w:rsid w:val="00B709DF"/>
    <w:pPr>
      <w:framePr w:hSpace="180" w:wrap="around" w:vAnchor="text" w:hAnchor="text" w:y="120"/>
      <w:numPr>
        <w:numId w:val="139"/>
      </w:numPr>
    </w:pPr>
    <w:rPr>
      <w:i/>
      <w:iCs/>
    </w:rPr>
  </w:style>
  <w:style w:type="character" w:customStyle="1" w:styleId="ListParagraphChar">
    <w:name w:val="List Paragraph Char"/>
    <w:basedOn w:val="DefaultParagraphFont"/>
    <w:link w:val="ListParagraph"/>
    <w:uiPriority w:val="34"/>
    <w:rsid w:val="00B709DF"/>
    <w:rPr>
      <w:rFonts w:ascii="Garamond" w:hAnsi="Garamond" w:cs="Calibri"/>
      <w:sz w:val="24"/>
    </w:rPr>
  </w:style>
  <w:style w:type="character" w:customStyle="1" w:styleId="QuestionboxChar">
    <w:name w:val="Question box Char"/>
    <w:basedOn w:val="ListParagraphChar"/>
    <w:link w:val="Questionbox"/>
    <w:rsid w:val="00B709DF"/>
    <w:rPr>
      <w:rFonts w:ascii="Garamond" w:hAnsi="Garamond" w:cs="Calibri"/>
      <w:i/>
      <w:iCs/>
      <w:sz w:val="24"/>
    </w:rPr>
  </w:style>
  <w:style w:type="character" w:customStyle="1" w:styleId="Heading3Char">
    <w:name w:val="Heading 3 Char"/>
    <w:basedOn w:val="DefaultParagraphFont"/>
    <w:link w:val="Heading3"/>
    <w:uiPriority w:val="9"/>
    <w:rsid w:val="000115B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rsid w:val="0073705F"/>
    <w:rPr>
      <w:color w:val="605E5C"/>
      <w:shd w:val="clear" w:color="auto" w:fill="E1DFDD"/>
    </w:rPr>
  </w:style>
  <w:style w:type="paragraph" w:styleId="TOCHeading">
    <w:name w:val="TOC Heading"/>
    <w:basedOn w:val="Heading1"/>
    <w:next w:val="Normal"/>
    <w:uiPriority w:val="39"/>
    <w:unhideWhenUsed/>
    <w:qFormat/>
    <w:rsid w:val="00BF108C"/>
    <w:pPr>
      <w:spacing w:line="259" w:lineRule="auto"/>
      <w:ind w:left="0"/>
      <w:outlineLvl w:val="9"/>
    </w:pPr>
    <w:rPr>
      <w:rFonts w:asciiTheme="majorHAnsi" w:hAnsiTheme="majorHAnsi"/>
    </w:rPr>
  </w:style>
  <w:style w:type="paragraph" w:styleId="TOC1">
    <w:name w:val="toc 1"/>
    <w:basedOn w:val="Normal"/>
    <w:next w:val="Normal"/>
    <w:autoRedefine/>
    <w:uiPriority w:val="39"/>
    <w:unhideWhenUsed/>
    <w:rsid w:val="00BF108C"/>
    <w:pPr>
      <w:spacing w:after="100"/>
      <w:ind w:left="0"/>
    </w:pPr>
  </w:style>
  <w:style w:type="paragraph" w:styleId="TOC2">
    <w:name w:val="toc 2"/>
    <w:basedOn w:val="Normal"/>
    <w:next w:val="Normal"/>
    <w:autoRedefine/>
    <w:uiPriority w:val="39"/>
    <w:unhideWhenUsed/>
    <w:rsid w:val="000B584A"/>
    <w:pPr>
      <w:tabs>
        <w:tab w:val="left" w:pos="660"/>
        <w:tab w:val="right" w:leader="dot" w:pos="9350"/>
      </w:tabs>
      <w:spacing w:after="100"/>
      <w:ind w:left="240"/>
    </w:pPr>
  </w:style>
  <w:style w:type="paragraph" w:styleId="TOC3">
    <w:name w:val="toc 3"/>
    <w:basedOn w:val="Normal"/>
    <w:next w:val="Normal"/>
    <w:autoRedefine/>
    <w:uiPriority w:val="39"/>
    <w:unhideWhenUsed/>
    <w:rsid w:val="00136A59"/>
    <w:pPr>
      <w:tabs>
        <w:tab w:val="right" w:leader="dot" w:pos="9350"/>
      </w:tabs>
      <w:spacing w:after="100"/>
      <w:ind w:left="480"/>
    </w:pPr>
  </w:style>
  <w:style w:type="character" w:styleId="Mention">
    <w:name w:val="Mention"/>
    <w:basedOn w:val="DefaultParagraphFont"/>
    <w:uiPriority w:val="99"/>
    <w:unhideWhenUsed/>
    <w:rsid w:val="00C737B8"/>
    <w:rPr>
      <w:color w:val="2B579A"/>
      <w:shd w:val="clear" w:color="auto" w:fill="E6E6E6"/>
    </w:rPr>
  </w:style>
  <w:style w:type="character" w:customStyle="1" w:styleId="Heading4Char">
    <w:name w:val="Heading 4 Char"/>
    <w:basedOn w:val="DefaultParagraphFont"/>
    <w:link w:val="Heading4"/>
    <w:uiPriority w:val="9"/>
    <w:rsid w:val="00955DF3"/>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rsid w:val="001D68E6"/>
    <w:rPr>
      <w:rFonts w:asciiTheme="majorHAnsi" w:eastAsiaTheme="majorEastAsia" w:hAnsiTheme="majorHAnsi" w:cstheme="majorBidi"/>
      <w:color w:val="2F5496" w:themeColor="accent1" w:themeShade="BF"/>
      <w:sz w:val="24"/>
    </w:rPr>
  </w:style>
  <w:style w:type="character" w:styleId="SubtleEmphasis">
    <w:name w:val="Subtle Emphasis"/>
    <w:basedOn w:val="DefaultParagraphFont"/>
    <w:uiPriority w:val="19"/>
    <w:qFormat/>
    <w:rsid w:val="00592FC7"/>
    <w:rPr>
      <w:i/>
      <w:iCs/>
      <w:color w:val="404040" w:themeColor="text1" w:themeTint="BF"/>
    </w:rPr>
  </w:style>
  <w:style w:type="character" w:styleId="Emphasis">
    <w:name w:val="Emphasis"/>
    <w:basedOn w:val="DefaultParagraphFont"/>
    <w:uiPriority w:val="20"/>
    <w:qFormat/>
    <w:rsid w:val="00592FC7"/>
    <w:rPr>
      <w:i/>
      <w:iCs/>
    </w:rPr>
  </w:style>
  <w:style w:type="character" w:styleId="Strong">
    <w:name w:val="Strong"/>
    <w:basedOn w:val="DefaultParagraphFont"/>
    <w:uiPriority w:val="22"/>
    <w:qFormat/>
    <w:rsid w:val="00592FC7"/>
    <w:rPr>
      <w:b/>
      <w:bCs/>
    </w:rPr>
  </w:style>
  <w:style w:type="character" w:customStyle="1" w:styleId="Heading6Char">
    <w:name w:val="Heading 6 Char"/>
    <w:basedOn w:val="DefaultParagraphFont"/>
    <w:link w:val="Heading6"/>
    <w:uiPriority w:val="9"/>
    <w:rsid w:val="00672DA6"/>
    <w:rPr>
      <w:rFonts w:asciiTheme="majorHAnsi" w:eastAsiaTheme="majorEastAsia" w:hAnsiTheme="majorHAnsi" w:cstheme="majorBidi"/>
      <w:color w:val="1F3763" w:themeColor="accent1" w:themeShade="7F"/>
      <w:sz w:val="24"/>
    </w:rPr>
  </w:style>
  <w:style w:type="paragraph" w:customStyle="1" w:styleId="paragraph">
    <w:name w:val="paragraph"/>
    <w:basedOn w:val="Normal"/>
    <w:rsid w:val="00E059E9"/>
    <w:pPr>
      <w:spacing w:before="100" w:beforeAutospacing="1" w:after="100" w:afterAutospacing="1"/>
      <w:ind w:left="0"/>
    </w:pPr>
    <w:rPr>
      <w:rFonts w:ascii="Times New Roman" w:eastAsia="Times New Roman" w:hAnsi="Times New Roman" w:cs="Times New Roman"/>
      <w:szCs w:val="24"/>
    </w:rPr>
  </w:style>
  <w:style w:type="character" w:customStyle="1" w:styleId="normaltextrun">
    <w:name w:val="normaltextrun"/>
    <w:basedOn w:val="DefaultParagraphFont"/>
    <w:rsid w:val="00E059E9"/>
  </w:style>
  <w:style w:type="character" w:customStyle="1" w:styleId="eop">
    <w:name w:val="eop"/>
    <w:basedOn w:val="DefaultParagraphFont"/>
    <w:rsid w:val="00E05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6434">
      <w:bodyDiv w:val="1"/>
      <w:marLeft w:val="0"/>
      <w:marRight w:val="0"/>
      <w:marTop w:val="0"/>
      <w:marBottom w:val="0"/>
      <w:divBdr>
        <w:top w:val="none" w:sz="0" w:space="0" w:color="auto"/>
        <w:left w:val="none" w:sz="0" w:space="0" w:color="auto"/>
        <w:bottom w:val="none" w:sz="0" w:space="0" w:color="auto"/>
        <w:right w:val="none" w:sz="0" w:space="0" w:color="auto"/>
      </w:divBdr>
    </w:div>
    <w:div w:id="122164089">
      <w:bodyDiv w:val="1"/>
      <w:marLeft w:val="0"/>
      <w:marRight w:val="0"/>
      <w:marTop w:val="0"/>
      <w:marBottom w:val="0"/>
      <w:divBdr>
        <w:top w:val="none" w:sz="0" w:space="0" w:color="auto"/>
        <w:left w:val="none" w:sz="0" w:space="0" w:color="auto"/>
        <w:bottom w:val="none" w:sz="0" w:space="0" w:color="auto"/>
        <w:right w:val="none" w:sz="0" w:space="0" w:color="auto"/>
      </w:divBdr>
    </w:div>
    <w:div w:id="170218375">
      <w:bodyDiv w:val="1"/>
      <w:marLeft w:val="0"/>
      <w:marRight w:val="0"/>
      <w:marTop w:val="0"/>
      <w:marBottom w:val="0"/>
      <w:divBdr>
        <w:top w:val="none" w:sz="0" w:space="0" w:color="auto"/>
        <w:left w:val="none" w:sz="0" w:space="0" w:color="auto"/>
        <w:bottom w:val="none" w:sz="0" w:space="0" w:color="auto"/>
        <w:right w:val="none" w:sz="0" w:space="0" w:color="auto"/>
      </w:divBdr>
    </w:div>
    <w:div w:id="228543767">
      <w:bodyDiv w:val="1"/>
      <w:marLeft w:val="0"/>
      <w:marRight w:val="0"/>
      <w:marTop w:val="0"/>
      <w:marBottom w:val="0"/>
      <w:divBdr>
        <w:top w:val="none" w:sz="0" w:space="0" w:color="auto"/>
        <w:left w:val="none" w:sz="0" w:space="0" w:color="auto"/>
        <w:bottom w:val="none" w:sz="0" w:space="0" w:color="auto"/>
        <w:right w:val="none" w:sz="0" w:space="0" w:color="auto"/>
      </w:divBdr>
    </w:div>
    <w:div w:id="234510497">
      <w:bodyDiv w:val="1"/>
      <w:marLeft w:val="0"/>
      <w:marRight w:val="0"/>
      <w:marTop w:val="0"/>
      <w:marBottom w:val="0"/>
      <w:divBdr>
        <w:top w:val="none" w:sz="0" w:space="0" w:color="auto"/>
        <w:left w:val="none" w:sz="0" w:space="0" w:color="auto"/>
        <w:bottom w:val="none" w:sz="0" w:space="0" w:color="auto"/>
        <w:right w:val="none" w:sz="0" w:space="0" w:color="auto"/>
      </w:divBdr>
    </w:div>
    <w:div w:id="236598626">
      <w:bodyDiv w:val="1"/>
      <w:marLeft w:val="0"/>
      <w:marRight w:val="0"/>
      <w:marTop w:val="0"/>
      <w:marBottom w:val="0"/>
      <w:divBdr>
        <w:top w:val="none" w:sz="0" w:space="0" w:color="auto"/>
        <w:left w:val="none" w:sz="0" w:space="0" w:color="auto"/>
        <w:bottom w:val="none" w:sz="0" w:space="0" w:color="auto"/>
        <w:right w:val="none" w:sz="0" w:space="0" w:color="auto"/>
      </w:divBdr>
    </w:div>
    <w:div w:id="254753536">
      <w:bodyDiv w:val="1"/>
      <w:marLeft w:val="0"/>
      <w:marRight w:val="0"/>
      <w:marTop w:val="0"/>
      <w:marBottom w:val="0"/>
      <w:divBdr>
        <w:top w:val="none" w:sz="0" w:space="0" w:color="auto"/>
        <w:left w:val="none" w:sz="0" w:space="0" w:color="auto"/>
        <w:bottom w:val="none" w:sz="0" w:space="0" w:color="auto"/>
        <w:right w:val="none" w:sz="0" w:space="0" w:color="auto"/>
      </w:divBdr>
    </w:div>
    <w:div w:id="274363584">
      <w:bodyDiv w:val="1"/>
      <w:marLeft w:val="0"/>
      <w:marRight w:val="0"/>
      <w:marTop w:val="0"/>
      <w:marBottom w:val="0"/>
      <w:divBdr>
        <w:top w:val="none" w:sz="0" w:space="0" w:color="auto"/>
        <w:left w:val="none" w:sz="0" w:space="0" w:color="auto"/>
        <w:bottom w:val="none" w:sz="0" w:space="0" w:color="auto"/>
        <w:right w:val="none" w:sz="0" w:space="0" w:color="auto"/>
      </w:divBdr>
    </w:div>
    <w:div w:id="277833009">
      <w:bodyDiv w:val="1"/>
      <w:marLeft w:val="0"/>
      <w:marRight w:val="0"/>
      <w:marTop w:val="0"/>
      <w:marBottom w:val="0"/>
      <w:divBdr>
        <w:top w:val="none" w:sz="0" w:space="0" w:color="auto"/>
        <w:left w:val="none" w:sz="0" w:space="0" w:color="auto"/>
        <w:bottom w:val="none" w:sz="0" w:space="0" w:color="auto"/>
        <w:right w:val="none" w:sz="0" w:space="0" w:color="auto"/>
      </w:divBdr>
    </w:div>
    <w:div w:id="285703323">
      <w:bodyDiv w:val="1"/>
      <w:marLeft w:val="0"/>
      <w:marRight w:val="0"/>
      <w:marTop w:val="0"/>
      <w:marBottom w:val="0"/>
      <w:divBdr>
        <w:top w:val="none" w:sz="0" w:space="0" w:color="auto"/>
        <w:left w:val="none" w:sz="0" w:space="0" w:color="auto"/>
        <w:bottom w:val="none" w:sz="0" w:space="0" w:color="auto"/>
        <w:right w:val="none" w:sz="0" w:space="0" w:color="auto"/>
      </w:divBdr>
    </w:div>
    <w:div w:id="292175446">
      <w:bodyDiv w:val="1"/>
      <w:marLeft w:val="0"/>
      <w:marRight w:val="0"/>
      <w:marTop w:val="0"/>
      <w:marBottom w:val="0"/>
      <w:divBdr>
        <w:top w:val="none" w:sz="0" w:space="0" w:color="auto"/>
        <w:left w:val="none" w:sz="0" w:space="0" w:color="auto"/>
        <w:bottom w:val="none" w:sz="0" w:space="0" w:color="auto"/>
        <w:right w:val="none" w:sz="0" w:space="0" w:color="auto"/>
      </w:divBdr>
    </w:div>
    <w:div w:id="318271944">
      <w:bodyDiv w:val="1"/>
      <w:marLeft w:val="0"/>
      <w:marRight w:val="0"/>
      <w:marTop w:val="0"/>
      <w:marBottom w:val="0"/>
      <w:divBdr>
        <w:top w:val="none" w:sz="0" w:space="0" w:color="auto"/>
        <w:left w:val="none" w:sz="0" w:space="0" w:color="auto"/>
        <w:bottom w:val="none" w:sz="0" w:space="0" w:color="auto"/>
        <w:right w:val="none" w:sz="0" w:space="0" w:color="auto"/>
      </w:divBdr>
    </w:div>
    <w:div w:id="341473566">
      <w:bodyDiv w:val="1"/>
      <w:marLeft w:val="0"/>
      <w:marRight w:val="0"/>
      <w:marTop w:val="0"/>
      <w:marBottom w:val="0"/>
      <w:divBdr>
        <w:top w:val="none" w:sz="0" w:space="0" w:color="auto"/>
        <w:left w:val="none" w:sz="0" w:space="0" w:color="auto"/>
        <w:bottom w:val="none" w:sz="0" w:space="0" w:color="auto"/>
        <w:right w:val="none" w:sz="0" w:space="0" w:color="auto"/>
      </w:divBdr>
    </w:div>
    <w:div w:id="405422478">
      <w:bodyDiv w:val="1"/>
      <w:marLeft w:val="0"/>
      <w:marRight w:val="0"/>
      <w:marTop w:val="0"/>
      <w:marBottom w:val="0"/>
      <w:divBdr>
        <w:top w:val="none" w:sz="0" w:space="0" w:color="auto"/>
        <w:left w:val="none" w:sz="0" w:space="0" w:color="auto"/>
        <w:bottom w:val="none" w:sz="0" w:space="0" w:color="auto"/>
        <w:right w:val="none" w:sz="0" w:space="0" w:color="auto"/>
      </w:divBdr>
    </w:div>
    <w:div w:id="442967412">
      <w:bodyDiv w:val="1"/>
      <w:marLeft w:val="0"/>
      <w:marRight w:val="0"/>
      <w:marTop w:val="0"/>
      <w:marBottom w:val="0"/>
      <w:divBdr>
        <w:top w:val="none" w:sz="0" w:space="0" w:color="auto"/>
        <w:left w:val="none" w:sz="0" w:space="0" w:color="auto"/>
        <w:bottom w:val="none" w:sz="0" w:space="0" w:color="auto"/>
        <w:right w:val="none" w:sz="0" w:space="0" w:color="auto"/>
      </w:divBdr>
    </w:div>
    <w:div w:id="447512434">
      <w:bodyDiv w:val="1"/>
      <w:marLeft w:val="0"/>
      <w:marRight w:val="0"/>
      <w:marTop w:val="0"/>
      <w:marBottom w:val="0"/>
      <w:divBdr>
        <w:top w:val="none" w:sz="0" w:space="0" w:color="auto"/>
        <w:left w:val="none" w:sz="0" w:space="0" w:color="auto"/>
        <w:bottom w:val="none" w:sz="0" w:space="0" w:color="auto"/>
        <w:right w:val="none" w:sz="0" w:space="0" w:color="auto"/>
      </w:divBdr>
    </w:div>
    <w:div w:id="493490956">
      <w:bodyDiv w:val="1"/>
      <w:marLeft w:val="0"/>
      <w:marRight w:val="0"/>
      <w:marTop w:val="0"/>
      <w:marBottom w:val="0"/>
      <w:divBdr>
        <w:top w:val="none" w:sz="0" w:space="0" w:color="auto"/>
        <w:left w:val="none" w:sz="0" w:space="0" w:color="auto"/>
        <w:bottom w:val="none" w:sz="0" w:space="0" w:color="auto"/>
        <w:right w:val="none" w:sz="0" w:space="0" w:color="auto"/>
      </w:divBdr>
    </w:div>
    <w:div w:id="601767530">
      <w:bodyDiv w:val="1"/>
      <w:marLeft w:val="0"/>
      <w:marRight w:val="0"/>
      <w:marTop w:val="0"/>
      <w:marBottom w:val="0"/>
      <w:divBdr>
        <w:top w:val="none" w:sz="0" w:space="0" w:color="auto"/>
        <w:left w:val="none" w:sz="0" w:space="0" w:color="auto"/>
        <w:bottom w:val="none" w:sz="0" w:space="0" w:color="auto"/>
        <w:right w:val="none" w:sz="0" w:space="0" w:color="auto"/>
      </w:divBdr>
    </w:div>
    <w:div w:id="648024233">
      <w:bodyDiv w:val="1"/>
      <w:marLeft w:val="0"/>
      <w:marRight w:val="0"/>
      <w:marTop w:val="0"/>
      <w:marBottom w:val="0"/>
      <w:divBdr>
        <w:top w:val="none" w:sz="0" w:space="0" w:color="auto"/>
        <w:left w:val="none" w:sz="0" w:space="0" w:color="auto"/>
        <w:bottom w:val="none" w:sz="0" w:space="0" w:color="auto"/>
        <w:right w:val="none" w:sz="0" w:space="0" w:color="auto"/>
      </w:divBdr>
    </w:div>
    <w:div w:id="709502658">
      <w:bodyDiv w:val="1"/>
      <w:marLeft w:val="0"/>
      <w:marRight w:val="0"/>
      <w:marTop w:val="0"/>
      <w:marBottom w:val="0"/>
      <w:divBdr>
        <w:top w:val="none" w:sz="0" w:space="0" w:color="auto"/>
        <w:left w:val="none" w:sz="0" w:space="0" w:color="auto"/>
        <w:bottom w:val="none" w:sz="0" w:space="0" w:color="auto"/>
        <w:right w:val="none" w:sz="0" w:space="0" w:color="auto"/>
      </w:divBdr>
    </w:div>
    <w:div w:id="712078265">
      <w:bodyDiv w:val="1"/>
      <w:marLeft w:val="0"/>
      <w:marRight w:val="0"/>
      <w:marTop w:val="0"/>
      <w:marBottom w:val="0"/>
      <w:divBdr>
        <w:top w:val="none" w:sz="0" w:space="0" w:color="auto"/>
        <w:left w:val="none" w:sz="0" w:space="0" w:color="auto"/>
        <w:bottom w:val="none" w:sz="0" w:space="0" w:color="auto"/>
        <w:right w:val="none" w:sz="0" w:space="0" w:color="auto"/>
      </w:divBdr>
    </w:div>
    <w:div w:id="741295562">
      <w:bodyDiv w:val="1"/>
      <w:marLeft w:val="0"/>
      <w:marRight w:val="0"/>
      <w:marTop w:val="0"/>
      <w:marBottom w:val="0"/>
      <w:divBdr>
        <w:top w:val="none" w:sz="0" w:space="0" w:color="auto"/>
        <w:left w:val="none" w:sz="0" w:space="0" w:color="auto"/>
        <w:bottom w:val="none" w:sz="0" w:space="0" w:color="auto"/>
        <w:right w:val="none" w:sz="0" w:space="0" w:color="auto"/>
      </w:divBdr>
    </w:div>
    <w:div w:id="819344863">
      <w:bodyDiv w:val="1"/>
      <w:marLeft w:val="0"/>
      <w:marRight w:val="0"/>
      <w:marTop w:val="0"/>
      <w:marBottom w:val="0"/>
      <w:divBdr>
        <w:top w:val="none" w:sz="0" w:space="0" w:color="auto"/>
        <w:left w:val="none" w:sz="0" w:space="0" w:color="auto"/>
        <w:bottom w:val="none" w:sz="0" w:space="0" w:color="auto"/>
        <w:right w:val="none" w:sz="0" w:space="0" w:color="auto"/>
      </w:divBdr>
    </w:div>
    <w:div w:id="864950499">
      <w:bodyDiv w:val="1"/>
      <w:marLeft w:val="0"/>
      <w:marRight w:val="0"/>
      <w:marTop w:val="0"/>
      <w:marBottom w:val="0"/>
      <w:divBdr>
        <w:top w:val="none" w:sz="0" w:space="0" w:color="auto"/>
        <w:left w:val="none" w:sz="0" w:space="0" w:color="auto"/>
        <w:bottom w:val="none" w:sz="0" w:space="0" w:color="auto"/>
        <w:right w:val="none" w:sz="0" w:space="0" w:color="auto"/>
      </w:divBdr>
    </w:div>
    <w:div w:id="893203602">
      <w:bodyDiv w:val="1"/>
      <w:marLeft w:val="0"/>
      <w:marRight w:val="0"/>
      <w:marTop w:val="0"/>
      <w:marBottom w:val="0"/>
      <w:divBdr>
        <w:top w:val="none" w:sz="0" w:space="0" w:color="auto"/>
        <w:left w:val="none" w:sz="0" w:space="0" w:color="auto"/>
        <w:bottom w:val="none" w:sz="0" w:space="0" w:color="auto"/>
        <w:right w:val="none" w:sz="0" w:space="0" w:color="auto"/>
      </w:divBdr>
    </w:div>
    <w:div w:id="901252392">
      <w:bodyDiv w:val="1"/>
      <w:marLeft w:val="0"/>
      <w:marRight w:val="0"/>
      <w:marTop w:val="0"/>
      <w:marBottom w:val="0"/>
      <w:divBdr>
        <w:top w:val="none" w:sz="0" w:space="0" w:color="auto"/>
        <w:left w:val="none" w:sz="0" w:space="0" w:color="auto"/>
        <w:bottom w:val="none" w:sz="0" w:space="0" w:color="auto"/>
        <w:right w:val="none" w:sz="0" w:space="0" w:color="auto"/>
      </w:divBdr>
    </w:div>
    <w:div w:id="906383092">
      <w:bodyDiv w:val="1"/>
      <w:marLeft w:val="0"/>
      <w:marRight w:val="0"/>
      <w:marTop w:val="0"/>
      <w:marBottom w:val="0"/>
      <w:divBdr>
        <w:top w:val="none" w:sz="0" w:space="0" w:color="auto"/>
        <w:left w:val="none" w:sz="0" w:space="0" w:color="auto"/>
        <w:bottom w:val="none" w:sz="0" w:space="0" w:color="auto"/>
        <w:right w:val="none" w:sz="0" w:space="0" w:color="auto"/>
      </w:divBdr>
    </w:div>
    <w:div w:id="959602672">
      <w:bodyDiv w:val="1"/>
      <w:marLeft w:val="0"/>
      <w:marRight w:val="0"/>
      <w:marTop w:val="0"/>
      <w:marBottom w:val="0"/>
      <w:divBdr>
        <w:top w:val="none" w:sz="0" w:space="0" w:color="auto"/>
        <w:left w:val="none" w:sz="0" w:space="0" w:color="auto"/>
        <w:bottom w:val="none" w:sz="0" w:space="0" w:color="auto"/>
        <w:right w:val="none" w:sz="0" w:space="0" w:color="auto"/>
      </w:divBdr>
    </w:div>
    <w:div w:id="1034043833">
      <w:bodyDiv w:val="1"/>
      <w:marLeft w:val="0"/>
      <w:marRight w:val="0"/>
      <w:marTop w:val="0"/>
      <w:marBottom w:val="0"/>
      <w:divBdr>
        <w:top w:val="none" w:sz="0" w:space="0" w:color="auto"/>
        <w:left w:val="none" w:sz="0" w:space="0" w:color="auto"/>
        <w:bottom w:val="none" w:sz="0" w:space="0" w:color="auto"/>
        <w:right w:val="none" w:sz="0" w:space="0" w:color="auto"/>
      </w:divBdr>
    </w:div>
    <w:div w:id="1034311934">
      <w:bodyDiv w:val="1"/>
      <w:marLeft w:val="0"/>
      <w:marRight w:val="0"/>
      <w:marTop w:val="0"/>
      <w:marBottom w:val="0"/>
      <w:divBdr>
        <w:top w:val="none" w:sz="0" w:space="0" w:color="auto"/>
        <w:left w:val="none" w:sz="0" w:space="0" w:color="auto"/>
        <w:bottom w:val="none" w:sz="0" w:space="0" w:color="auto"/>
        <w:right w:val="none" w:sz="0" w:space="0" w:color="auto"/>
      </w:divBdr>
    </w:div>
    <w:div w:id="1038436346">
      <w:bodyDiv w:val="1"/>
      <w:marLeft w:val="0"/>
      <w:marRight w:val="0"/>
      <w:marTop w:val="0"/>
      <w:marBottom w:val="0"/>
      <w:divBdr>
        <w:top w:val="none" w:sz="0" w:space="0" w:color="auto"/>
        <w:left w:val="none" w:sz="0" w:space="0" w:color="auto"/>
        <w:bottom w:val="none" w:sz="0" w:space="0" w:color="auto"/>
        <w:right w:val="none" w:sz="0" w:space="0" w:color="auto"/>
      </w:divBdr>
    </w:div>
    <w:div w:id="1089542878">
      <w:bodyDiv w:val="1"/>
      <w:marLeft w:val="0"/>
      <w:marRight w:val="0"/>
      <w:marTop w:val="0"/>
      <w:marBottom w:val="0"/>
      <w:divBdr>
        <w:top w:val="none" w:sz="0" w:space="0" w:color="auto"/>
        <w:left w:val="none" w:sz="0" w:space="0" w:color="auto"/>
        <w:bottom w:val="none" w:sz="0" w:space="0" w:color="auto"/>
        <w:right w:val="none" w:sz="0" w:space="0" w:color="auto"/>
      </w:divBdr>
    </w:div>
    <w:div w:id="1121800963">
      <w:bodyDiv w:val="1"/>
      <w:marLeft w:val="0"/>
      <w:marRight w:val="0"/>
      <w:marTop w:val="0"/>
      <w:marBottom w:val="0"/>
      <w:divBdr>
        <w:top w:val="none" w:sz="0" w:space="0" w:color="auto"/>
        <w:left w:val="none" w:sz="0" w:space="0" w:color="auto"/>
        <w:bottom w:val="none" w:sz="0" w:space="0" w:color="auto"/>
        <w:right w:val="none" w:sz="0" w:space="0" w:color="auto"/>
      </w:divBdr>
    </w:div>
    <w:div w:id="1151023085">
      <w:bodyDiv w:val="1"/>
      <w:marLeft w:val="0"/>
      <w:marRight w:val="0"/>
      <w:marTop w:val="0"/>
      <w:marBottom w:val="0"/>
      <w:divBdr>
        <w:top w:val="none" w:sz="0" w:space="0" w:color="auto"/>
        <w:left w:val="none" w:sz="0" w:space="0" w:color="auto"/>
        <w:bottom w:val="none" w:sz="0" w:space="0" w:color="auto"/>
        <w:right w:val="none" w:sz="0" w:space="0" w:color="auto"/>
      </w:divBdr>
    </w:div>
    <w:div w:id="1172649853">
      <w:bodyDiv w:val="1"/>
      <w:marLeft w:val="0"/>
      <w:marRight w:val="0"/>
      <w:marTop w:val="0"/>
      <w:marBottom w:val="0"/>
      <w:divBdr>
        <w:top w:val="none" w:sz="0" w:space="0" w:color="auto"/>
        <w:left w:val="none" w:sz="0" w:space="0" w:color="auto"/>
        <w:bottom w:val="none" w:sz="0" w:space="0" w:color="auto"/>
        <w:right w:val="none" w:sz="0" w:space="0" w:color="auto"/>
      </w:divBdr>
    </w:div>
    <w:div w:id="1217737788">
      <w:bodyDiv w:val="1"/>
      <w:marLeft w:val="0"/>
      <w:marRight w:val="0"/>
      <w:marTop w:val="0"/>
      <w:marBottom w:val="0"/>
      <w:divBdr>
        <w:top w:val="none" w:sz="0" w:space="0" w:color="auto"/>
        <w:left w:val="none" w:sz="0" w:space="0" w:color="auto"/>
        <w:bottom w:val="none" w:sz="0" w:space="0" w:color="auto"/>
        <w:right w:val="none" w:sz="0" w:space="0" w:color="auto"/>
      </w:divBdr>
    </w:div>
    <w:div w:id="1238444546">
      <w:bodyDiv w:val="1"/>
      <w:marLeft w:val="0"/>
      <w:marRight w:val="0"/>
      <w:marTop w:val="0"/>
      <w:marBottom w:val="0"/>
      <w:divBdr>
        <w:top w:val="none" w:sz="0" w:space="0" w:color="auto"/>
        <w:left w:val="none" w:sz="0" w:space="0" w:color="auto"/>
        <w:bottom w:val="none" w:sz="0" w:space="0" w:color="auto"/>
        <w:right w:val="none" w:sz="0" w:space="0" w:color="auto"/>
      </w:divBdr>
      <w:divsChild>
        <w:div w:id="2014800398">
          <w:marLeft w:val="0"/>
          <w:marRight w:val="0"/>
          <w:marTop w:val="0"/>
          <w:marBottom w:val="0"/>
          <w:divBdr>
            <w:top w:val="none" w:sz="0" w:space="0" w:color="auto"/>
            <w:left w:val="none" w:sz="0" w:space="0" w:color="auto"/>
            <w:bottom w:val="none" w:sz="0" w:space="0" w:color="auto"/>
            <w:right w:val="none" w:sz="0" w:space="0" w:color="auto"/>
          </w:divBdr>
          <w:divsChild>
            <w:div w:id="1642464523">
              <w:marLeft w:val="0"/>
              <w:marRight w:val="0"/>
              <w:marTop w:val="0"/>
              <w:marBottom w:val="0"/>
              <w:divBdr>
                <w:top w:val="none" w:sz="0" w:space="0" w:color="auto"/>
                <w:left w:val="none" w:sz="0" w:space="0" w:color="auto"/>
                <w:bottom w:val="none" w:sz="0" w:space="0" w:color="auto"/>
                <w:right w:val="none" w:sz="0" w:space="0" w:color="auto"/>
              </w:divBdr>
              <w:divsChild>
                <w:div w:id="114300602">
                  <w:marLeft w:val="0"/>
                  <w:marRight w:val="0"/>
                  <w:marTop w:val="0"/>
                  <w:marBottom w:val="0"/>
                  <w:divBdr>
                    <w:top w:val="none" w:sz="0" w:space="0" w:color="auto"/>
                    <w:left w:val="none" w:sz="0" w:space="0" w:color="auto"/>
                    <w:bottom w:val="none" w:sz="0" w:space="0" w:color="auto"/>
                    <w:right w:val="none" w:sz="0" w:space="0" w:color="auto"/>
                  </w:divBdr>
                  <w:divsChild>
                    <w:div w:id="198711288">
                      <w:marLeft w:val="0"/>
                      <w:marRight w:val="0"/>
                      <w:marTop w:val="0"/>
                      <w:marBottom w:val="0"/>
                      <w:divBdr>
                        <w:top w:val="none" w:sz="0" w:space="0" w:color="auto"/>
                        <w:left w:val="none" w:sz="0" w:space="0" w:color="auto"/>
                        <w:bottom w:val="none" w:sz="0" w:space="0" w:color="auto"/>
                        <w:right w:val="none" w:sz="0" w:space="0" w:color="auto"/>
                      </w:divBdr>
                      <w:divsChild>
                        <w:div w:id="786587305">
                          <w:marLeft w:val="405"/>
                          <w:marRight w:val="0"/>
                          <w:marTop w:val="0"/>
                          <w:marBottom w:val="0"/>
                          <w:divBdr>
                            <w:top w:val="none" w:sz="0" w:space="0" w:color="auto"/>
                            <w:left w:val="none" w:sz="0" w:space="0" w:color="auto"/>
                            <w:bottom w:val="none" w:sz="0" w:space="0" w:color="auto"/>
                            <w:right w:val="none" w:sz="0" w:space="0" w:color="auto"/>
                          </w:divBdr>
                          <w:divsChild>
                            <w:div w:id="435709380">
                              <w:marLeft w:val="0"/>
                              <w:marRight w:val="0"/>
                              <w:marTop w:val="0"/>
                              <w:marBottom w:val="0"/>
                              <w:divBdr>
                                <w:top w:val="none" w:sz="0" w:space="0" w:color="auto"/>
                                <w:left w:val="none" w:sz="0" w:space="0" w:color="auto"/>
                                <w:bottom w:val="none" w:sz="0" w:space="0" w:color="auto"/>
                                <w:right w:val="none" w:sz="0" w:space="0" w:color="auto"/>
                              </w:divBdr>
                              <w:divsChild>
                                <w:div w:id="2133934125">
                                  <w:marLeft w:val="0"/>
                                  <w:marRight w:val="0"/>
                                  <w:marTop w:val="0"/>
                                  <w:marBottom w:val="0"/>
                                  <w:divBdr>
                                    <w:top w:val="none" w:sz="0" w:space="0" w:color="auto"/>
                                    <w:left w:val="none" w:sz="0" w:space="0" w:color="auto"/>
                                    <w:bottom w:val="none" w:sz="0" w:space="0" w:color="auto"/>
                                    <w:right w:val="none" w:sz="0" w:space="0" w:color="auto"/>
                                  </w:divBdr>
                                  <w:divsChild>
                                    <w:div w:id="2126264631">
                                      <w:marLeft w:val="0"/>
                                      <w:marRight w:val="0"/>
                                      <w:marTop w:val="60"/>
                                      <w:marBottom w:val="0"/>
                                      <w:divBdr>
                                        <w:top w:val="none" w:sz="0" w:space="0" w:color="auto"/>
                                        <w:left w:val="none" w:sz="0" w:space="0" w:color="auto"/>
                                        <w:bottom w:val="none" w:sz="0" w:space="0" w:color="auto"/>
                                        <w:right w:val="none" w:sz="0" w:space="0" w:color="auto"/>
                                      </w:divBdr>
                                      <w:divsChild>
                                        <w:div w:id="1562329062">
                                          <w:marLeft w:val="0"/>
                                          <w:marRight w:val="0"/>
                                          <w:marTop w:val="0"/>
                                          <w:marBottom w:val="0"/>
                                          <w:divBdr>
                                            <w:top w:val="none" w:sz="0" w:space="0" w:color="auto"/>
                                            <w:left w:val="none" w:sz="0" w:space="0" w:color="auto"/>
                                            <w:bottom w:val="none" w:sz="0" w:space="0" w:color="auto"/>
                                            <w:right w:val="none" w:sz="0" w:space="0" w:color="auto"/>
                                          </w:divBdr>
                                          <w:divsChild>
                                            <w:div w:id="1259367337">
                                              <w:marLeft w:val="0"/>
                                              <w:marRight w:val="0"/>
                                              <w:marTop w:val="0"/>
                                              <w:marBottom w:val="0"/>
                                              <w:divBdr>
                                                <w:top w:val="none" w:sz="0" w:space="0" w:color="auto"/>
                                                <w:left w:val="none" w:sz="0" w:space="0" w:color="auto"/>
                                                <w:bottom w:val="none" w:sz="0" w:space="0" w:color="auto"/>
                                                <w:right w:val="none" w:sz="0" w:space="0" w:color="auto"/>
                                              </w:divBdr>
                                              <w:divsChild>
                                                <w:div w:id="1580940044">
                                                  <w:marLeft w:val="0"/>
                                                  <w:marRight w:val="0"/>
                                                  <w:marTop w:val="0"/>
                                                  <w:marBottom w:val="0"/>
                                                  <w:divBdr>
                                                    <w:top w:val="none" w:sz="0" w:space="0" w:color="auto"/>
                                                    <w:left w:val="none" w:sz="0" w:space="0" w:color="auto"/>
                                                    <w:bottom w:val="none" w:sz="0" w:space="0" w:color="auto"/>
                                                    <w:right w:val="none" w:sz="0" w:space="0" w:color="auto"/>
                                                  </w:divBdr>
                                                  <w:divsChild>
                                                    <w:div w:id="1905409955">
                                                      <w:marLeft w:val="0"/>
                                                      <w:marRight w:val="0"/>
                                                      <w:marTop w:val="0"/>
                                                      <w:marBottom w:val="0"/>
                                                      <w:divBdr>
                                                        <w:top w:val="none" w:sz="0" w:space="0" w:color="auto"/>
                                                        <w:left w:val="none" w:sz="0" w:space="0" w:color="auto"/>
                                                        <w:bottom w:val="none" w:sz="0" w:space="0" w:color="auto"/>
                                                        <w:right w:val="none" w:sz="0" w:space="0" w:color="auto"/>
                                                      </w:divBdr>
                                                      <w:divsChild>
                                                        <w:div w:id="197739257">
                                                          <w:marLeft w:val="0"/>
                                                          <w:marRight w:val="0"/>
                                                          <w:marTop w:val="0"/>
                                                          <w:marBottom w:val="0"/>
                                                          <w:divBdr>
                                                            <w:top w:val="none" w:sz="0" w:space="0" w:color="auto"/>
                                                            <w:left w:val="none" w:sz="0" w:space="0" w:color="auto"/>
                                                            <w:bottom w:val="none" w:sz="0" w:space="0" w:color="auto"/>
                                                            <w:right w:val="none" w:sz="0" w:space="0" w:color="auto"/>
                                                          </w:divBdr>
                                                          <w:divsChild>
                                                            <w:div w:id="708728838">
                                                              <w:marLeft w:val="0"/>
                                                              <w:marRight w:val="0"/>
                                                              <w:marTop w:val="0"/>
                                                              <w:marBottom w:val="0"/>
                                                              <w:divBdr>
                                                                <w:top w:val="none" w:sz="0" w:space="0" w:color="auto"/>
                                                                <w:left w:val="none" w:sz="0" w:space="0" w:color="auto"/>
                                                                <w:bottom w:val="none" w:sz="0" w:space="0" w:color="auto"/>
                                                                <w:right w:val="none" w:sz="0" w:space="0" w:color="auto"/>
                                                              </w:divBdr>
                                                              <w:divsChild>
                                                                <w:div w:id="9177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641663">
      <w:bodyDiv w:val="1"/>
      <w:marLeft w:val="0"/>
      <w:marRight w:val="0"/>
      <w:marTop w:val="0"/>
      <w:marBottom w:val="0"/>
      <w:divBdr>
        <w:top w:val="none" w:sz="0" w:space="0" w:color="auto"/>
        <w:left w:val="none" w:sz="0" w:space="0" w:color="auto"/>
        <w:bottom w:val="none" w:sz="0" w:space="0" w:color="auto"/>
        <w:right w:val="none" w:sz="0" w:space="0" w:color="auto"/>
      </w:divBdr>
    </w:div>
    <w:div w:id="1320957400">
      <w:bodyDiv w:val="1"/>
      <w:marLeft w:val="0"/>
      <w:marRight w:val="0"/>
      <w:marTop w:val="0"/>
      <w:marBottom w:val="0"/>
      <w:divBdr>
        <w:top w:val="none" w:sz="0" w:space="0" w:color="auto"/>
        <w:left w:val="none" w:sz="0" w:space="0" w:color="auto"/>
        <w:bottom w:val="none" w:sz="0" w:space="0" w:color="auto"/>
        <w:right w:val="none" w:sz="0" w:space="0" w:color="auto"/>
      </w:divBdr>
    </w:div>
    <w:div w:id="1357581191">
      <w:bodyDiv w:val="1"/>
      <w:marLeft w:val="0"/>
      <w:marRight w:val="0"/>
      <w:marTop w:val="0"/>
      <w:marBottom w:val="0"/>
      <w:divBdr>
        <w:top w:val="none" w:sz="0" w:space="0" w:color="auto"/>
        <w:left w:val="none" w:sz="0" w:space="0" w:color="auto"/>
        <w:bottom w:val="none" w:sz="0" w:space="0" w:color="auto"/>
        <w:right w:val="none" w:sz="0" w:space="0" w:color="auto"/>
      </w:divBdr>
    </w:div>
    <w:div w:id="1384867058">
      <w:bodyDiv w:val="1"/>
      <w:marLeft w:val="0"/>
      <w:marRight w:val="0"/>
      <w:marTop w:val="0"/>
      <w:marBottom w:val="0"/>
      <w:divBdr>
        <w:top w:val="none" w:sz="0" w:space="0" w:color="auto"/>
        <w:left w:val="none" w:sz="0" w:space="0" w:color="auto"/>
        <w:bottom w:val="none" w:sz="0" w:space="0" w:color="auto"/>
        <w:right w:val="none" w:sz="0" w:space="0" w:color="auto"/>
      </w:divBdr>
    </w:div>
    <w:div w:id="1407915587">
      <w:bodyDiv w:val="1"/>
      <w:marLeft w:val="0"/>
      <w:marRight w:val="0"/>
      <w:marTop w:val="0"/>
      <w:marBottom w:val="0"/>
      <w:divBdr>
        <w:top w:val="none" w:sz="0" w:space="0" w:color="auto"/>
        <w:left w:val="none" w:sz="0" w:space="0" w:color="auto"/>
        <w:bottom w:val="none" w:sz="0" w:space="0" w:color="auto"/>
        <w:right w:val="none" w:sz="0" w:space="0" w:color="auto"/>
      </w:divBdr>
    </w:div>
    <w:div w:id="1472482964">
      <w:bodyDiv w:val="1"/>
      <w:marLeft w:val="0"/>
      <w:marRight w:val="0"/>
      <w:marTop w:val="0"/>
      <w:marBottom w:val="0"/>
      <w:divBdr>
        <w:top w:val="none" w:sz="0" w:space="0" w:color="auto"/>
        <w:left w:val="none" w:sz="0" w:space="0" w:color="auto"/>
        <w:bottom w:val="none" w:sz="0" w:space="0" w:color="auto"/>
        <w:right w:val="none" w:sz="0" w:space="0" w:color="auto"/>
      </w:divBdr>
    </w:div>
    <w:div w:id="1495757426">
      <w:bodyDiv w:val="1"/>
      <w:marLeft w:val="0"/>
      <w:marRight w:val="0"/>
      <w:marTop w:val="0"/>
      <w:marBottom w:val="0"/>
      <w:divBdr>
        <w:top w:val="none" w:sz="0" w:space="0" w:color="auto"/>
        <w:left w:val="none" w:sz="0" w:space="0" w:color="auto"/>
        <w:bottom w:val="none" w:sz="0" w:space="0" w:color="auto"/>
        <w:right w:val="none" w:sz="0" w:space="0" w:color="auto"/>
      </w:divBdr>
    </w:div>
    <w:div w:id="1521510666">
      <w:bodyDiv w:val="1"/>
      <w:marLeft w:val="0"/>
      <w:marRight w:val="0"/>
      <w:marTop w:val="0"/>
      <w:marBottom w:val="0"/>
      <w:divBdr>
        <w:top w:val="none" w:sz="0" w:space="0" w:color="auto"/>
        <w:left w:val="none" w:sz="0" w:space="0" w:color="auto"/>
        <w:bottom w:val="none" w:sz="0" w:space="0" w:color="auto"/>
        <w:right w:val="none" w:sz="0" w:space="0" w:color="auto"/>
      </w:divBdr>
    </w:div>
    <w:div w:id="1536389739">
      <w:bodyDiv w:val="1"/>
      <w:marLeft w:val="0"/>
      <w:marRight w:val="0"/>
      <w:marTop w:val="0"/>
      <w:marBottom w:val="0"/>
      <w:divBdr>
        <w:top w:val="none" w:sz="0" w:space="0" w:color="auto"/>
        <w:left w:val="none" w:sz="0" w:space="0" w:color="auto"/>
        <w:bottom w:val="none" w:sz="0" w:space="0" w:color="auto"/>
        <w:right w:val="none" w:sz="0" w:space="0" w:color="auto"/>
      </w:divBdr>
    </w:div>
    <w:div w:id="1561749518">
      <w:bodyDiv w:val="1"/>
      <w:marLeft w:val="0"/>
      <w:marRight w:val="0"/>
      <w:marTop w:val="0"/>
      <w:marBottom w:val="0"/>
      <w:divBdr>
        <w:top w:val="none" w:sz="0" w:space="0" w:color="auto"/>
        <w:left w:val="none" w:sz="0" w:space="0" w:color="auto"/>
        <w:bottom w:val="none" w:sz="0" w:space="0" w:color="auto"/>
        <w:right w:val="none" w:sz="0" w:space="0" w:color="auto"/>
      </w:divBdr>
    </w:div>
    <w:div w:id="1661427215">
      <w:bodyDiv w:val="1"/>
      <w:marLeft w:val="0"/>
      <w:marRight w:val="0"/>
      <w:marTop w:val="0"/>
      <w:marBottom w:val="0"/>
      <w:divBdr>
        <w:top w:val="none" w:sz="0" w:space="0" w:color="auto"/>
        <w:left w:val="none" w:sz="0" w:space="0" w:color="auto"/>
        <w:bottom w:val="none" w:sz="0" w:space="0" w:color="auto"/>
        <w:right w:val="none" w:sz="0" w:space="0" w:color="auto"/>
      </w:divBdr>
    </w:div>
    <w:div w:id="1686832939">
      <w:bodyDiv w:val="1"/>
      <w:marLeft w:val="0"/>
      <w:marRight w:val="0"/>
      <w:marTop w:val="0"/>
      <w:marBottom w:val="0"/>
      <w:divBdr>
        <w:top w:val="none" w:sz="0" w:space="0" w:color="auto"/>
        <w:left w:val="none" w:sz="0" w:space="0" w:color="auto"/>
        <w:bottom w:val="none" w:sz="0" w:space="0" w:color="auto"/>
        <w:right w:val="none" w:sz="0" w:space="0" w:color="auto"/>
      </w:divBdr>
    </w:div>
    <w:div w:id="1700086685">
      <w:bodyDiv w:val="1"/>
      <w:marLeft w:val="0"/>
      <w:marRight w:val="0"/>
      <w:marTop w:val="0"/>
      <w:marBottom w:val="0"/>
      <w:divBdr>
        <w:top w:val="none" w:sz="0" w:space="0" w:color="auto"/>
        <w:left w:val="none" w:sz="0" w:space="0" w:color="auto"/>
        <w:bottom w:val="none" w:sz="0" w:space="0" w:color="auto"/>
        <w:right w:val="none" w:sz="0" w:space="0" w:color="auto"/>
      </w:divBdr>
    </w:div>
    <w:div w:id="1765034199">
      <w:bodyDiv w:val="1"/>
      <w:marLeft w:val="0"/>
      <w:marRight w:val="0"/>
      <w:marTop w:val="0"/>
      <w:marBottom w:val="0"/>
      <w:divBdr>
        <w:top w:val="none" w:sz="0" w:space="0" w:color="auto"/>
        <w:left w:val="none" w:sz="0" w:space="0" w:color="auto"/>
        <w:bottom w:val="none" w:sz="0" w:space="0" w:color="auto"/>
        <w:right w:val="none" w:sz="0" w:space="0" w:color="auto"/>
      </w:divBdr>
    </w:div>
    <w:div w:id="1770851624">
      <w:bodyDiv w:val="1"/>
      <w:marLeft w:val="0"/>
      <w:marRight w:val="0"/>
      <w:marTop w:val="0"/>
      <w:marBottom w:val="0"/>
      <w:divBdr>
        <w:top w:val="none" w:sz="0" w:space="0" w:color="auto"/>
        <w:left w:val="none" w:sz="0" w:space="0" w:color="auto"/>
        <w:bottom w:val="none" w:sz="0" w:space="0" w:color="auto"/>
        <w:right w:val="none" w:sz="0" w:space="0" w:color="auto"/>
      </w:divBdr>
    </w:div>
    <w:div w:id="1779451538">
      <w:bodyDiv w:val="1"/>
      <w:marLeft w:val="0"/>
      <w:marRight w:val="0"/>
      <w:marTop w:val="0"/>
      <w:marBottom w:val="0"/>
      <w:divBdr>
        <w:top w:val="none" w:sz="0" w:space="0" w:color="auto"/>
        <w:left w:val="none" w:sz="0" w:space="0" w:color="auto"/>
        <w:bottom w:val="none" w:sz="0" w:space="0" w:color="auto"/>
        <w:right w:val="none" w:sz="0" w:space="0" w:color="auto"/>
      </w:divBdr>
    </w:div>
    <w:div w:id="1848248796">
      <w:bodyDiv w:val="1"/>
      <w:marLeft w:val="0"/>
      <w:marRight w:val="0"/>
      <w:marTop w:val="0"/>
      <w:marBottom w:val="0"/>
      <w:divBdr>
        <w:top w:val="none" w:sz="0" w:space="0" w:color="auto"/>
        <w:left w:val="none" w:sz="0" w:space="0" w:color="auto"/>
        <w:bottom w:val="none" w:sz="0" w:space="0" w:color="auto"/>
        <w:right w:val="none" w:sz="0" w:space="0" w:color="auto"/>
      </w:divBdr>
      <w:divsChild>
        <w:div w:id="475148698">
          <w:marLeft w:val="0"/>
          <w:marRight w:val="0"/>
          <w:marTop w:val="0"/>
          <w:marBottom w:val="0"/>
          <w:divBdr>
            <w:top w:val="none" w:sz="0" w:space="0" w:color="auto"/>
            <w:left w:val="none" w:sz="0" w:space="0" w:color="auto"/>
            <w:bottom w:val="none" w:sz="0" w:space="0" w:color="auto"/>
            <w:right w:val="none" w:sz="0" w:space="0" w:color="auto"/>
          </w:divBdr>
          <w:divsChild>
            <w:div w:id="1163159400">
              <w:marLeft w:val="0"/>
              <w:marRight w:val="0"/>
              <w:marTop w:val="0"/>
              <w:marBottom w:val="0"/>
              <w:divBdr>
                <w:top w:val="none" w:sz="0" w:space="0" w:color="auto"/>
                <w:left w:val="none" w:sz="0" w:space="0" w:color="auto"/>
                <w:bottom w:val="none" w:sz="0" w:space="0" w:color="auto"/>
                <w:right w:val="none" w:sz="0" w:space="0" w:color="auto"/>
              </w:divBdr>
              <w:divsChild>
                <w:div w:id="1986008781">
                  <w:marLeft w:val="0"/>
                  <w:marRight w:val="0"/>
                  <w:marTop w:val="0"/>
                  <w:marBottom w:val="0"/>
                  <w:divBdr>
                    <w:top w:val="none" w:sz="0" w:space="0" w:color="auto"/>
                    <w:left w:val="none" w:sz="0" w:space="0" w:color="auto"/>
                    <w:bottom w:val="none" w:sz="0" w:space="0" w:color="auto"/>
                    <w:right w:val="none" w:sz="0" w:space="0" w:color="auto"/>
                  </w:divBdr>
                  <w:divsChild>
                    <w:div w:id="963851768">
                      <w:marLeft w:val="0"/>
                      <w:marRight w:val="0"/>
                      <w:marTop w:val="0"/>
                      <w:marBottom w:val="0"/>
                      <w:divBdr>
                        <w:top w:val="none" w:sz="0" w:space="0" w:color="auto"/>
                        <w:left w:val="none" w:sz="0" w:space="0" w:color="auto"/>
                        <w:bottom w:val="none" w:sz="0" w:space="0" w:color="auto"/>
                        <w:right w:val="none" w:sz="0" w:space="0" w:color="auto"/>
                      </w:divBdr>
                      <w:divsChild>
                        <w:div w:id="391973059">
                          <w:marLeft w:val="0"/>
                          <w:marRight w:val="0"/>
                          <w:marTop w:val="0"/>
                          <w:marBottom w:val="0"/>
                          <w:divBdr>
                            <w:top w:val="none" w:sz="0" w:space="0" w:color="auto"/>
                            <w:left w:val="none" w:sz="0" w:space="0" w:color="auto"/>
                            <w:bottom w:val="none" w:sz="0" w:space="0" w:color="auto"/>
                            <w:right w:val="none" w:sz="0" w:space="0" w:color="auto"/>
                          </w:divBdr>
                          <w:divsChild>
                            <w:div w:id="221870529">
                              <w:marLeft w:val="15"/>
                              <w:marRight w:val="195"/>
                              <w:marTop w:val="0"/>
                              <w:marBottom w:val="0"/>
                              <w:divBdr>
                                <w:top w:val="none" w:sz="0" w:space="0" w:color="auto"/>
                                <w:left w:val="none" w:sz="0" w:space="0" w:color="auto"/>
                                <w:bottom w:val="none" w:sz="0" w:space="0" w:color="auto"/>
                                <w:right w:val="none" w:sz="0" w:space="0" w:color="auto"/>
                              </w:divBdr>
                              <w:divsChild>
                                <w:div w:id="896284252">
                                  <w:marLeft w:val="0"/>
                                  <w:marRight w:val="0"/>
                                  <w:marTop w:val="0"/>
                                  <w:marBottom w:val="0"/>
                                  <w:divBdr>
                                    <w:top w:val="none" w:sz="0" w:space="0" w:color="auto"/>
                                    <w:left w:val="none" w:sz="0" w:space="0" w:color="auto"/>
                                    <w:bottom w:val="none" w:sz="0" w:space="0" w:color="auto"/>
                                    <w:right w:val="none" w:sz="0" w:space="0" w:color="auto"/>
                                  </w:divBdr>
                                  <w:divsChild>
                                    <w:div w:id="1391537493">
                                      <w:marLeft w:val="0"/>
                                      <w:marRight w:val="0"/>
                                      <w:marTop w:val="0"/>
                                      <w:marBottom w:val="0"/>
                                      <w:divBdr>
                                        <w:top w:val="none" w:sz="0" w:space="0" w:color="auto"/>
                                        <w:left w:val="none" w:sz="0" w:space="0" w:color="auto"/>
                                        <w:bottom w:val="none" w:sz="0" w:space="0" w:color="auto"/>
                                        <w:right w:val="none" w:sz="0" w:space="0" w:color="auto"/>
                                      </w:divBdr>
                                      <w:divsChild>
                                        <w:div w:id="569922378">
                                          <w:marLeft w:val="0"/>
                                          <w:marRight w:val="0"/>
                                          <w:marTop w:val="0"/>
                                          <w:marBottom w:val="0"/>
                                          <w:divBdr>
                                            <w:top w:val="none" w:sz="0" w:space="0" w:color="auto"/>
                                            <w:left w:val="none" w:sz="0" w:space="0" w:color="auto"/>
                                            <w:bottom w:val="none" w:sz="0" w:space="0" w:color="auto"/>
                                            <w:right w:val="none" w:sz="0" w:space="0" w:color="auto"/>
                                          </w:divBdr>
                                          <w:divsChild>
                                            <w:div w:id="1618752266">
                                              <w:marLeft w:val="0"/>
                                              <w:marRight w:val="0"/>
                                              <w:marTop w:val="0"/>
                                              <w:marBottom w:val="0"/>
                                              <w:divBdr>
                                                <w:top w:val="none" w:sz="0" w:space="0" w:color="auto"/>
                                                <w:left w:val="none" w:sz="0" w:space="0" w:color="auto"/>
                                                <w:bottom w:val="none" w:sz="0" w:space="0" w:color="auto"/>
                                                <w:right w:val="none" w:sz="0" w:space="0" w:color="auto"/>
                                              </w:divBdr>
                                              <w:divsChild>
                                                <w:div w:id="1646813270">
                                                  <w:marLeft w:val="0"/>
                                                  <w:marRight w:val="0"/>
                                                  <w:marTop w:val="0"/>
                                                  <w:marBottom w:val="0"/>
                                                  <w:divBdr>
                                                    <w:top w:val="none" w:sz="0" w:space="0" w:color="auto"/>
                                                    <w:left w:val="none" w:sz="0" w:space="0" w:color="auto"/>
                                                    <w:bottom w:val="none" w:sz="0" w:space="0" w:color="auto"/>
                                                    <w:right w:val="none" w:sz="0" w:space="0" w:color="auto"/>
                                                  </w:divBdr>
                                                  <w:divsChild>
                                                    <w:div w:id="1857423647">
                                                      <w:marLeft w:val="0"/>
                                                      <w:marRight w:val="0"/>
                                                      <w:marTop w:val="0"/>
                                                      <w:marBottom w:val="0"/>
                                                      <w:divBdr>
                                                        <w:top w:val="none" w:sz="0" w:space="0" w:color="auto"/>
                                                        <w:left w:val="none" w:sz="0" w:space="0" w:color="auto"/>
                                                        <w:bottom w:val="none" w:sz="0" w:space="0" w:color="auto"/>
                                                        <w:right w:val="none" w:sz="0" w:space="0" w:color="auto"/>
                                                      </w:divBdr>
                                                      <w:divsChild>
                                                        <w:div w:id="354115854">
                                                          <w:marLeft w:val="0"/>
                                                          <w:marRight w:val="0"/>
                                                          <w:marTop w:val="0"/>
                                                          <w:marBottom w:val="0"/>
                                                          <w:divBdr>
                                                            <w:top w:val="none" w:sz="0" w:space="0" w:color="auto"/>
                                                            <w:left w:val="none" w:sz="0" w:space="0" w:color="auto"/>
                                                            <w:bottom w:val="none" w:sz="0" w:space="0" w:color="auto"/>
                                                            <w:right w:val="none" w:sz="0" w:space="0" w:color="auto"/>
                                                          </w:divBdr>
                                                          <w:divsChild>
                                                            <w:div w:id="655113581">
                                                              <w:marLeft w:val="0"/>
                                                              <w:marRight w:val="0"/>
                                                              <w:marTop w:val="0"/>
                                                              <w:marBottom w:val="0"/>
                                                              <w:divBdr>
                                                                <w:top w:val="none" w:sz="0" w:space="0" w:color="auto"/>
                                                                <w:left w:val="none" w:sz="0" w:space="0" w:color="auto"/>
                                                                <w:bottom w:val="none" w:sz="0" w:space="0" w:color="auto"/>
                                                                <w:right w:val="none" w:sz="0" w:space="0" w:color="auto"/>
                                                              </w:divBdr>
                                                              <w:divsChild>
                                                                <w:div w:id="1415083791">
                                                                  <w:marLeft w:val="0"/>
                                                                  <w:marRight w:val="0"/>
                                                                  <w:marTop w:val="0"/>
                                                                  <w:marBottom w:val="0"/>
                                                                  <w:divBdr>
                                                                    <w:top w:val="none" w:sz="0" w:space="0" w:color="auto"/>
                                                                    <w:left w:val="none" w:sz="0" w:space="0" w:color="auto"/>
                                                                    <w:bottom w:val="none" w:sz="0" w:space="0" w:color="auto"/>
                                                                    <w:right w:val="none" w:sz="0" w:space="0" w:color="auto"/>
                                                                  </w:divBdr>
                                                                  <w:divsChild>
                                                                    <w:div w:id="389965423">
                                                                      <w:marLeft w:val="405"/>
                                                                      <w:marRight w:val="0"/>
                                                                      <w:marTop w:val="0"/>
                                                                      <w:marBottom w:val="0"/>
                                                                      <w:divBdr>
                                                                        <w:top w:val="none" w:sz="0" w:space="0" w:color="auto"/>
                                                                        <w:left w:val="none" w:sz="0" w:space="0" w:color="auto"/>
                                                                        <w:bottom w:val="none" w:sz="0" w:space="0" w:color="auto"/>
                                                                        <w:right w:val="none" w:sz="0" w:space="0" w:color="auto"/>
                                                                      </w:divBdr>
                                                                      <w:divsChild>
                                                                        <w:div w:id="91553889">
                                                                          <w:marLeft w:val="0"/>
                                                                          <w:marRight w:val="0"/>
                                                                          <w:marTop w:val="0"/>
                                                                          <w:marBottom w:val="0"/>
                                                                          <w:divBdr>
                                                                            <w:top w:val="none" w:sz="0" w:space="0" w:color="auto"/>
                                                                            <w:left w:val="none" w:sz="0" w:space="0" w:color="auto"/>
                                                                            <w:bottom w:val="none" w:sz="0" w:space="0" w:color="auto"/>
                                                                            <w:right w:val="none" w:sz="0" w:space="0" w:color="auto"/>
                                                                          </w:divBdr>
                                                                          <w:divsChild>
                                                                            <w:div w:id="1491410306">
                                                                              <w:marLeft w:val="0"/>
                                                                              <w:marRight w:val="0"/>
                                                                              <w:marTop w:val="0"/>
                                                                              <w:marBottom w:val="0"/>
                                                                              <w:divBdr>
                                                                                <w:top w:val="none" w:sz="0" w:space="0" w:color="auto"/>
                                                                                <w:left w:val="none" w:sz="0" w:space="0" w:color="auto"/>
                                                                                <w:bottom w:val="none" w:sz="0" w:space="0" w:color="auto"/>
                                                                                <w:right w:val="none" w:sz="0" w:space="0" w:color="auto"/>
                                                                              </w:divBdr>
                                                                              <w:divsChild>
                                                                                <w:div w:id="1331761459">
                                                                                  <w:marLeft w:val="0"/>
                                                                                  <w:marRight w:val="0"/>
                                                                                  <w:marTop w:val="0"/>
                                                                                  <w:marBottom w:val="0"/>
                                                                                  <w:divBdr>
                                                                                    <w:top w:val="none" w:sz="0" w:space="0" w:color="auto"/>
                                                                                    <w:left w:val="none" w:sz="0" w:space="0" w:color="auto"/>
                                                                                    <w:bottom w:val="none" w:sz="0" w:space="0" w:color="auto"/>
                                                                                    <w:right w:val="none" w:sz="0" w:space="0" w:color="auto"/>
                                                                                  </w:divBdr>
                                                                                  <w:divsChild>
                                                                                    <w:div w:id="2060786769">
                                                                                      <w:marLeft w:val="0"/>
                                                                                      <w:marRight w:val="0"/>
                                                                                      <w:marTop w:val="0"/>
                                                                                      <w:marBottom w:val="0"/>
                                                                                      <w:divBdr>
                                                                                        <w:top w:val="none" w:sz="0" w:space="0" w:color="auto"/>
                                                                                        <w:left w:val="none" w:sz="0" w:space="0" w:color="auto"/>
                                                                                        <w:bottom w:val="none" w:sz="0" w:space="0" w:color="auto"/>
                                                                                        <w:right w:val="none" w:sz="0" w:space="0" w:color="auto"/>
                                                                                      </w:divBdr>
                                                                                      <w:divsChild>
                                                                                        <w:div w:id="758478849">
                                                                                          <w:marLeft w:val="0"/>
                                                                                          <w:marRight w:val="0"/>
                                                                                          <w:marTop w:val="0"/>
                                                                                          <w:marBottom w:val="0"/>
                                                                                          <w:divBdr>
                                                                                            <w:top w:val="none" w:sz="0" w:space="0" w:color="auto"/>
                                                                                            <w:left w:val="none" w:sz="0" w:space="0" w:color="auto"/>
                                                                                            <w:bottom w:val="none" w:sz="0" w:space="0" w:color="auto"/>
                                                                                            <w:right w:val="none" w:sz="0" w:space="0" w:color="auto"/>
                                                                                          </w:divBdr>
                                                                                          <w:divsChild>
                                                                                            <w:div w:id="1056011527">
                                                                                              <w:marLeft w:val="0"/>
                                                                                              <w:marRight w:val="0"/>
                                                                                              <w:marTop w:val="0"/>
                                                                                              <w:marBottom w:val="0"/>
                                                                                              <w:divBdr>
                                                                                                <w:top w:val="none" w:sz="0" w:space="0" w:color="auto"/>
                                                                                                <w:left w:val="none" w:sz="0" w:space="0" w:color="auto"/>
                                                                                                <w:bottom w:val="none" w:sz="0" w:space="0" w:color="auto"/>
                                                                                                <w:right w:val="none" w:sz="0" w:space="0" w:color="auto"/>
                                                                                              </w:divBdr>
                                                                                              <w:divsChild>
                                                                                                <w:div w:id="152069659">
                                                                                                  <w:marLeft w:val="0"/>
                                                                                                  <w:marRight w:val="0"/>
                                                                                                  <w:marTop w:val="0"/>
                                                                                                  <w:marBottom w:val="0"/>
                                                                                                  <w:divBdr>
                                                                                                    <w:top w:val="none" w:sz="0" w:space="0" w:color="auto"/>
                                                                                                    <w:left w:val="none" w:sz="0" w:space="0" w:color="auto"/>
                                                                                                    <w:bottom w:val="single" w:sz="6" w:space="15" w:color="auto"/>
                                                                                                    <w:right w:val="none" w:sz="0" w:space="0" w:color="auto"/>
                                                                                                  </w:divBdr>
                                                                                                  <w:divsChild>
                                                                                                    <w:div w:id="981347164">
                                                                                                      <w:marLeft w:val="0"/>
                                                                                                      <w:marRight w:val="0"/>
                                                                                                      <w:marTop w:val="60"/>
                                                                                                      <w:marBottom w:val="0"/>
                                                                                                      <w:divBdr>
                                                                                                        <w:top w:val="none" w:sz="0" w:space="0" w:color="auto"/>
                                                                                                        <w:left w:val="none" w:sz="0" w:space="0" w:color="auto"/>
                                                                                                        <w:bottom w:val="none" w:sz="0" w:space="0" w:color="auto"/>
                                                                                                        <w:right w:val="none" w:sz="0" w:space="0" w:color="auto"/>
                                                                                                      </w:divBdr>
                                                                                                      <w:divsChild>
                                                                                                        <w:div w:id="1713071309">
                                                                                                          <w:marLeft w:val="0"/>
                                                                                                          <w:marRight w:val="0"/>
                                                                                                          <w:marTop w:val="0"/>
                                                                                                          <w:marBottom w:val="0"/>
                                                                                                          <w:divBdr>
                                                                                                            <w:top w:val="none" w:sz="0" w:space="0" w:color="auto"/>
                                                                                                            <w:left w:val="none" w:sz="0" w:space="0" w:color="auto"/>
                                                                                                            <w:bottom w:val="none" w:sz="0" w:space="0" w:color="auto"/>
                                                                                                            <w:right w:val="none" w:sz="0" w:space="0" w:color="auto"/>
                                                                                                          </w:divBdr>
                                                                                                          <w:divsChild>
                                                                                                            <w:div w:id="37049753">
                                                                                                              <w:marLeft w:val="0"/>
                                                                                                              <w:marRight w:val="0"/>
                                                                                                              <w:marTop w:val="0"/>
                                                                                                              <w:marBottom w:val="0"/>
                                                                                                              <w:divBdr>
                                                                                                                <w:top w:val="none" w:sz="0" w:space="0" w:color="auto"/>
                                                                                                                <w:left w:val="none" w:sz="0" w:space="0" w:color="auto"/>
                                                                                                                <w:bottom w:val="none" w:sz="0" w:space="0" w:color="auto"/>
                                                                                                                <w:right w:val="none" w:sz="0" w:space="0"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ivBdr>
                                                                                                                  <w:divsChild>
                                                                                                                    <w:div w:id="1388451873">
                                                                                                                      <w:marLeft w:val="0"/>
                                                                                                                      <w:marRight w:val="0"/>
                                                                                                                      <w:marTop w:val="0"/>
                                                                                                                      <w:marBottom w:val="0"/>
                                                                                                                      <w:divBdr>
                                                                                                                        <w:top w:val="none" w:sz="0" w:space="0" w:color="auto"/>
                                                                                                                        <w:left w:val="none" w:sz="0" w:space="0" w:color="auto"/>
                                                                                                                        <w:bottom w:val="none" w:sz="0" w:space="0" w:color="auto"/>
                                                                                                                        <w:right w:val="none" w:sz="0" w:space="0" w:color="auto"/>
                                                                                                                      </w:divBdr>
                                                                                                                      <w:divsChild>
                                                                                                                        <w:div w:id="958873893">
                                                                                                                          <w:marLeft w:val="0"/>
                                                                                                                          <w:marRight w:val="0"/>
                                                                                                                          <w:marTop w:val="0"/>
                                                                                                                          <w:marBottom w:val="0"/>
                                                                                                                          <w:divBdr>
                                                                                                                            <w:top w:val="none" w:sz="0" w:space="0" w:color="auto"/>
                                                                                                                            <w:left w:val="none" w:sz="0" w:space="0" w:color="auto"/>
                                                                                                                            <w:bottom w:val="none" w:sz="0" w:space="0" w:color="auto"/>
                                                                                                                            <w:right w:val="none" w:sz="0" w:space="0" w:color="auto"/>
                                                                                                                          </w:divBdr>
                                                                                                                          <w:divsChild>
                                                                                                                            <w:div w:id="424955450">
                                                                                                                              <w:marLeft w:val="0"/>
                                                                                                                              <w:marRight w:val="0"/>
                                                                                                                              <w:marTop w:val="0"/>
                                                                                                                              <w:marBottom w:val="0"/>
                                                                                                                              <w:divBdr>
                                                                                                                                <w:top w:val="none" w:sz="0" w:space="0" w:color="auto"/>
                                                                                                                                <w:left w:val="none" w:sz="0" w:space="0" w:color="auto"/>
                                                                                                                                <w:bottom w:val="none" w:sz="0" w:space="0" w:color="auto"/>
                                                                                                                                <w:right w:val="none" w:sz="0" w:space="0" w:color="auto"/>
                                                                                                                              </w:divBdr>
                                                                                                                              <w:divsChild>
                                                                                                                                <w:div w:id="1650086975">
                                                                                                                                  <w:marLeft w:val="0"/>
                                                                                                                                  <w:marRight w:val="0"/>
                                                                                                                                  <w:marTop w:val="0"/>
                                                                                                                                  <w:marBottom w:val="0"/>
                                                                                                                                  <w:divBdr>
                                                                                                                                    <w:top w:val="none" w:sz="0" w:space="0" w:color="auto"/>
                                                                                                                                    <w:left w:val="none" w:sz="0" w:space="0" w:color="auto"/>
                                                                                                                                    <w:bottom w:val="none" w:sz="0" w:space="0" w:color="auto"/>
                                                                                                                                    <w:right w:val="none" w:sz="0" w:space="0" w:color="auto"/>
                                                                                                                                  </w:divBdr>
                                                                                                                                  <w:divsChild>
                                                                                                                                    <w:div w:id="390614484">
                                                                                                                                      <w:marLeft w:val="0"/>
                                                                                                                                      <w:marRight w:val="0"/>
                                                                                                                                      <w:marTop w:val="0"/>
                                                                                                                                      <w:marBottom w:val="0"/>
                                                                                                                                      <w:divBdr>
                                                                                                                                        <w:top w:val="none" w:sz="0" w:space="0" w:color="auto"/>
                                                                                                                                        <w:left w:val="none" w:sz="0" w:space="0" w:color="auto"/>
                                                                                                                                        <w:bottom w:val="none" w:sz="0" w:space="0" w:color="auto"/>
                                                                                                                                        <w:right w:val="none" w:sz="0" w:space="0" w:color="auto"/>
                                                                                                                                      </w:divBdr>
                                                                                                                                      <w:divsChild>
                                                                                                                                        <w:div w:id="212234629">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304251">
      <w:bodyDiv w:val="1"/>
      <w:marLeft w:val="0"/>
      <w:marRight w:val="0"/>
      <w:marTop w:val="0"/>
      <w:marBottom w:val="0"/>
      <w:divBdr>
        <w:top w:val="none" w:sz="0" w:space="0" w:color="auto"/>
        <w:left w:val="none" w:sz="0" w:space="0" w:color="auto"/>
        <w:bottom w:val="none" w:sz="0" w:space="0" w:color="auto"/>
        <w:right w:val="none" w:sz="0" w:space="0" w:color="auto"/>
      </w:divBdr>
    </w:div>
    <w:div w:id="1926768751">
      <w:bodyDiv w:val="1"/>
      <w:marLeft w:val="0"/>
      <w:marRight w:val="0"/>
      <w:marTop w:val="0"/>
      <w:marBottom w:val="0"/>
      <w:divBdr>
        <w:top w:val="none" w:sz="0" w:space="0" w:color="auto"/>
        <w:left w:val="none" w:sz="0" w:space="0" w:color="auto"/>
        <w:bottom w:val="none" w:sz="0" w:space="0" w:color="auto"/>
        <w:right w:val="none" w:sz="0" w:space="0" w:color="auto"/>
      </w:divBdr>
    </w:div>
    <w:div w:id="1952711392">
      <w:bodyDiv w:val="1"/>
      <w:marLeft w:val="0"/>
      <w:marRight w:val="0"/>
      <w:marTop w:val="0"/>
      <w:marBottom w:val="0"/>
      <w:divBdr>
        <w:top w:val="none" w:sz="0" w:space="0" w:color="auto"/>
        <w:left w:val="none" w:sz="0" w:space="0" w:color="auto"/>
        <w:bottom w:val="none" w:sz="0" w:space="0" w:color="auto"/>
        <w:right w:val="none" w:sz="0" w:space="0" w:color="auto"/>
      </w:divBdr>
    </w:div>
    <w:div w:id="1953321780">
      <w:bodyDiv w:val="1"/>
      <w:marLeft w:val="0"/>
      <w:marRight w:val="0"/>
      <w:marTop w:val="0"/>
      <w:marBottom w:val="0"/>
      <w:divBdr>
        <w:top w:val="none" w:sz="0" w:space="0" w:color="auto"/>
        <w:left w:val="none" w:sz="0" w:space="0" w:color="auto"/>
        <w:bottom w:val="none" w:sz="0" w:space="0" w:color="auto"/>
        <w:right w:val="none" w:sz="0" w:space="0" w:color="auto"/>
      </w:divBdr>
    </w:div>
    <w:div w:id="1971012499">
      <w:bodyDiv w:val="1"/>
      <w:marLeft w:val="0"/>
      <w:marRight w:val="0"/>
      <w:marTop w:val="0"/>
      <w:marBottom w:val="0"/>
      <w:divBdr>
        <w:top w:val="none" w:sz="0" w:space="0" w:color="auto"/>
        <w:left w:val="none" w:sz="0" w:space="0" w:color="auto"/>
        <w:bottom w:val="none" w:sz="0" w:space="0" w:color="auto"/>
        <w:right w:val="none" w:sz="0" w:space="0" w:color="auto"/>
      </w:divBdr>
    </w:div>
    <w:div w:id="1978218699">
      <w:bodyDiv w:val="1"/>
      <w:marLeft w:val="0"/>
      <w:marRight w:val="0"/>
      <w:marTop w:val="0"/>
      <w:marBottom w:val="0"/>
      <w:divBdr>
        <w:top w:val="none" w:sz="0" w:space="0" w:color="auto"/>
        <w:left w:val="none" w:sz="0" w:space="0" w:color="auto"/>
        <w:bottom w:val="none" w:sz="0" w:space="0" w:color="auto"/>
        <w:right w:val="none" w:sz="0" w:space="0" w:color="auto"/>
      </w:divBdr>
    </w:div>
    <w:div w:id="1989050354">
      <w:bodyDiv w:val="1"/>
      <w:marLeft w:val="0"/>
      <w:marRight w:val="0"/>
      <w:marTop w:val="0"/>
      <w:marBottom w:val="0"/>
      <w:divBdr>
        <w:top w:val="none" w:sz="0" w:space="0" w:color="auto"/>
        <w:left w:val="none" w:sz="0" w:space="0" w:color="auto"/>
        <w:bottom w:val="none" w:sz="0" w:space="0" w:color="auto"/>
        <w:right w:val="none" w:sz="0" w:space="0" w:color="auto"/>
      </w:divBdr>
    </w:div>
    <w:div w:id="1998803019">
      <w:bodyDiv w:val="1"/>
      <w:marLeft w:val="0"/>
      <w:marRight w:val="0"/>
      <w:marTop w:val="0"/>
      <w:marBottom w:val="0"/>
      <w:divBdr>
        <w:top w:val="none" w:sz="0" w:space="0" w:color="auto"/>
        <w:left w:val="none" w:sz="0" w:space="0" w:color="auto"/>
        <w:bottom w:val="none" w:sz="0" w:space="0" w:color="auto"/>
        <w:right w:val="none" w:sz="0" w:space="0" w:color="auto"/>
      </w:divBdr>
    </w:div>
    <w:div w:id="2096239219">
      <w:bodyDiv w:val="1"/>
      <w:marLeft w:val="0"/>
      <w:marRight w:val="0"/>
      <w:marTop w:val="0"/>
      <w:marBottom w:val="0"/>
      <w:divBdr>
        <w:top w:val="none" w:sz="0" w:space="0" w:color="auto"/>
        <w:left w:val="none" w:sz="0" w:space="0" w:color="auto"/>
        <w:bottom w:val="none" w:sz="0" w:space="0" w:color="auto"/>
        <w:right w:val="none" w:sz="0" w:space="0" w:color="auto"/>
      </w:divBdr>
    </w:div>
    <w:div w:id="212653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hyperlink" Target="https://caenergy.databasin.org/galleries/eab0ce3a5be447ce928a310e80c65c8d" TargetMode="External"/><Relationship Id="rId47" Type="http://schemas.openxmlformats.org/officeDocument/2006/relationships/hyperlink" Target="https://www.cpuc.ca.gov/General.aspx?id=6442466555" TargetMode="External"/><Relationship Id="rId50" Type="http://schemas.openxmlformats.org/officeDocument/2006/relationships/hyperlink" Target="https://www.cpuc.ca.gov/General.aspx?id=644246655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yperlink" Target="https://www.cpuc.ca.gov/General.aspx?id=6442466555"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s://www.cpuc.ca.gov/General.aspx?id=644246655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hyperlink" Target="https://www.cpuc.ca.gov/General.aspx?id=6442466555" TargetMode="External"/><Relationship Id="R75128ae9f3c64da5"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cpuc.ca.gov/uploadedFiles/CPUCWebsite/Content/UtilitiesIndustries/Energy/EnergyPrograms/ElectPowerProcurementGeneration/irp/2019/2020-02-Solar_Cost_Sensitivity_Modeling-slides-V1.0.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hyperlink" Target="https://www.cpuc.ca.gov/General.aspx?id=6442466555"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hyperlink" Target="https://www.cpuc.ca.gov/General.aspx?id=6442466555" TargetMode="External"/><Relationship Id="rId48" Type="http://schemas.openxmlformats.org/officeDocument/2006/relationships/hyperlink" Target="https://www.cpuc.ca.gov/General.aspx?id=6442466555"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ftp://ftp.cpuc.ca.gov/energy/modeling/Inputs%20%20Assumptions%202019-2020%20CPUC%20IRP%202020-02-27.pdf" TargetMode="External"/><Relationship Id="rId3" Type="http://schemas.openxmlformats.org/officeDocument/2006/relationships/hyperlink" Target="https://ww2.energy.ca.gov/2019publications/CEC-500-2019-046/CEC-500-2019-046.pdf" TargetMode="External"/><Relationship Id="rId7" Type="http://schemas.openxmlformats.org/officeDocument/2006/relationships/hyperlink" Target="http://www.caiso.com/Documents/WhitePaper-TransmissionCapabilityEstimates-InputtoCPUCIntegratedResourcePlanPortfolioDevelopment.pdf" TargetMode="External"/><Relationship Id="rId2" Type="http://schemas.openxmlformats.org/officeDocument/2006/relationships/hyperlink" Target="https://docs.cpuc.ca.gov/PublishedDocs/Published/G000/M331/K772/331772681.PDF" TargetMode="External"/><Relationship Id="rId1" Type="http://schemas.openxmlformats.org/officeDocument/2006/relationships/hyperlink" Target="https://docs.cpuc.ca.gov/PublishedDocs/Efile/G000/M348/K816/348816247.PDF" TargetMode="External"/><Relationship Id="rId6" Type="http://schemas.openxmlformats.org/officeDocument/2006/relationships/hyperlink" Target="ftp://ftp.cpuc.ca.gov/energy/modeling/200827_MAG%20webinar_NREL.pdf" TargetMode="External"/><Relationship Id="rId5" Type="http://schemas.openxmlformats.org/officeDocument/2006/relationships/hyperlink" Target="ftp://ftp.cpuc.ca.gov/energy/modeling/2020-08-Offshore_Wind-MAG-Slides-Energy_Division.pdf" TargetMode="External"/><Relationship Id="rId10" Type="http://schemas.openxmlformats.org/officeDocument/2006/relationships/hyperlink" Target="http://www.caiso.com/Documents/Draft2020-2021TransmissionPlan.pdf" TargetMode="External"/><Relationship Id="rId4" Type="http://schemas.openxmlformats.org/officeDocument/2006/relationships/hyperlink" Target="https://www.energy.ca.gov/programs-and-topics/topics/energy-assessment/natural-gas-burner-tip-prices-california-and-western" TargetMode="External"/><Relationship Id="rId9" Type="http://schemas.openxmlformats.org/officeDocument/2006/relationships/hyperlink" Target="http://www.caiso.com/Documents/Presentation-2020-2021TransmissionPlanningProcess-Nov17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5D627E02F5D41458CBEEF99BD60CE40" ma:contentTypeVersion="13" ma:contentTypeDescription="Create a new document." ma:contentTypeScope="" ma:versionID="159937ea4d9d59ec667fa6239cccd02c">
  <xsd:schema xmlns:xsd="http://www.w3.org/2001/XMLSchema" xmlns:xs="http://www.w3.org/2001/XMLSchema" xmlns:p="http://schemas.microsoft.com/office/2006/metadata/properties" xmlns:ns3="2d6f7d6e-833f-4436-81eb-7bca2e9b9423" xmlns:ns4="2d878bde-6115-4fb1-a16b-82420292bc21" targetNamespace="http://schemas.microsoft.com/office/2006/metadata/properties" ma:root="true" ma:fieldsID="59d934e22fe609935f6656a068db6fbd" ns3:_="" ns4:_="">
    <xsd:import namespace="2d6f7d6e-833f-4436-81eb-7bca2e9b9423"/>
    <xsd:import namespace="2d878bde-6115-4fb1-a16b-82420292bc2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f7d6e-833f-4436-81eb-7bca2e9b9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878bde-6115-4fb1-a16b-82420292bc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B4BDF-298B-4313-9ED6-ABD867DEEA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22318F-1B37-4D0F-B515-00B3B32BD57B}">
  <ds:schemaRefs>
    <ds:schemaRef ds:uri="http://schemas.microsoft.com/sharepoint/v3/contenttype/forms"/>
  </ds:schemaRefs>
</ds:datastoreItem>
</file>

<file path=customXml/itemProps3.xml><?xml version="1.0" encoding="utf-8"?>
<ds:datastoreItem xmlns:ds="http://schemas.openxmlformats.org/officeDocument/2006/customXml" ds:itemID="{DE860823-696B-49DE-9B1F-65A624BA19B9}">
  <ds:schemaRefs>
    <ds:schemaRef ds:uri="http://schemas.openxmlformats.org/officeDocument/2006/bibliography"/>
  </ds:schemaRefs>
</ds:datastoreItem>
</file>

<file path=customXml/itemProps4.xml><?xml version="1.0" encoding="utf-8"?>
<ds:datastoreItem xmlns:ds="http://schemas.openxmlformats.org/officeDocument/2006/customXml" ds:itemID="{D325F0EC-01F3-4FFB-B129-8949A7493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f7d6e-833f-4436-81eb-7bca2e9b9423"/>
    <ds:schemaRef ds:uri="2d878bde-6115-4fb1-a16b-82420292b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19192</Words>
  <Characters>109401</Characters>
  <Application>Microsoft Office Word</Application>
  <DocSecurity>4</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128337</CharactersWithSpaces>
  <SharedDoc>false</SharedDoc>
  <HLinks>
    <vt:vector size="264" baseType="variant">
      <vt:variant>
        <vt:i4>7733344</vt:i4>
      </vt:variant>
      <vt:variant>
        <vt:i4>388</vt:i4>
      </vt:variant>
      <vt:variant>
        <vt:i4>0</vt:i4>
      </vt:variant>
      <vt:variant>
        <vt:i4>5</vt:i4>
      </vt:variant>
      <vt:variant>
        <vt:lpwstr>https://www.cpuc.ca.gov/General.aspx?id=6442466555</vt:lpwstr>
      </vt:variant>
      <vt:variant>
        <vt:lpwstr/>
      </vt:variant>
      <vt:variant>
        <vt:i4>5111913</vt:i4>
      </vt:variant>
      <vt:variant>
        <vt:i4>385</vt:i4>
      </vt:variant>
      <vt:variant>
        <vt:i4>0</vt:i4>
      </vt:variant>
      <vt:variant>
        <vt:i4>5</vt:i4>
      </vt:variant>
      <vt:variant>
        <vt:lpwstr>https://www.cpuc.ca.gov/uploadedFiles/CPUCWebsite/Content/UtilitiesIndustries/Energy/EnergyPrograms/ElectPowerProcurementGeneration/irp/2019/2020-02-Solar_Cost_Sensitivity_Modeling-slides-V1.0.pdf</vt:lpwstr>
      </vt:variant>
      <vt:variant>
        <vt:lpwstr/>
      </vt:variant>
      <vt:variant>
        <vt:i4>7733344</vt:i4>
      </vt:variant>
      <vt:variant>
        <vt:i4>382</vt:i4>
      </vt:variant>
      <vt:variant>
        <vt:i4>0</vt:i4>
      </vt:variant>
      <vt:variant>
        <vt:i4>5</vt:i4>
      </vt:variant>
      <vt:variant>
        <vt:lpwstr>https://www.cpuc.ca.gov/General.aspx?id=6442466555</vt:lpwstr>
      </vt:variant>
      <vt:variant>
        <vt:lpwstr/>
      </vt:variant>
      <vt:variant>
        <vt:i4>7733344</vt:i4>
      </vt:variant>
      <vt:variant>
        <vt:i4>379</vt:i4>
      </vt:variant>
      <vt:variant>
        <vt:i4>0</vt:i4>
      </vt:variant>
      <vt:variant>
        <vt:i4>5</vt:i4>
      </vt:variant>
      <vt:variant>
        <vt:lpwstr>https://www.cpuc.ca.gov/General.aspx?id=6442466555</vt:lpwstr>
      </vt:variant>
      <vt:variant>
        <vt:lpwstr/>
      </vt:variant>
      <vt:variant>
        <vt:i4>7733344</vt:i4>
      </vt:variant>
      <vt:variant>
        <vt:i4>376</vt:i4>
      </vt:variant>
      <vt:variant>
        <vt:i4>0</vt:i4>
      </vt:variant>
      <vt:variant>
        <vt:i4>5</vt:i4>
      </vt:variant>
      <vt:variant>
        <vt:lpwstr>https://www.cpuc.ca.gov/General.aspx?id=6442466555</vt:lpwstr>
      </vt:variant>
      <vt:variant>
        <vt:lpwstr/>
      </vt:variant>
      <vt:variant>
        <vt:i4>7733344</vt:i4>
      </vt:variant>
      <vt:variant>
        <vt:i4>373</vt:i4>
      </vt:variant>
      <vt:variant>
        <vt:i4>0</vt:i4>
      </vt:variant>
      <vt:variant>
        <vt:i4>5</vt:i4>
      </vt:variant>
      <vt:variant>
        <vt:lpwstr>https://www.cpuc.ca.gov/General.aspx?id=6442466555</vt:lpwstr>
      </vt:variant>
      <vt:variant>
        <vt:lpwstr/>
      </vt:variant>
      <vt:variant>
        <vt:i4>7733344</vt:i4>
      </vt:variant>
      <vt:variant>
        <vt:i4>370</vt:i4>
      </vt:variant>
      <vt:variant>
        <vt:i4>0</vt:i4>
      </vt:variant>
      <vt:variant>
        <vt:i4>5</vt:i4>
      </vt:variant>
      <vt:variant>
        <vt:lpwstr>https://www.cpuc.ca.gov/General.aspx?id=6442466555</vt:lpwstr>
      </vt:variant>
      <vt:variant>
        <vt:lpwstr/>
      </vt:variant>
      <vt:variant>
        <vt:i4>7733344</vt:i4>
      </vt:variant>
      <vt:variant>
        <vt:i4>367</vt:i4>
      </vt:variant>
      <vt:variant>
        <vt:i4>0</vt:i4>
      </vt:variant>
      <vt:variant>
        <vt:i4>5</vt:i4>
      </vt:variant>
      <vt:variant>
        <vt:lpwstr>https://www.cpuc.ca.gov/General.aspx?id=6442466555</vt:lpwstr>
      </vt:variant>
      <vt:variant>
        <vt:lpwstr/>
      </vt:variant>
      <vt:variant>
        <vt:i4>4259929</vt:i4>
      </vt:variant>
      <vt:variant>
        <vt:i4>364</vt:i4>
      </vt:variant>
      <vt:variant>
        <vt:i4>0</vt:i4>
      </vt:variant>
      <vt:variant>
        <vt:i4>5</vt:i4>
      </vt:variant>
      <vt:variant>
        <vt:lpwstr>https://caenergy.databasin.org/galleries/eab0ce3a5be447ce928a310e80c65c8d</vt:lpwstr>
      </vt:variant>
      <vt:variant>
        <vt:lpwstr>expand=208848</vt:lpwstr>
      </vt:variant>
      <vt:variant>
        <vt:i4>7733344</vt:i4>
      </vt:variant>
      <vt:variant>
        <vt:i4>361</vt:i4>
      </vt:variant>
      <vt:variant>
        <vt:i4>0</vt:i4>
      </vt:variant>
      <vt:variant>
        <vt:i4>5</vt:i4>
      </vt:variant>
      <vt:variant>
        <vt:lpwstr>https://www.cpuc.ca.gov/General.aspx?id=6442466555</vt:lpwstr>
      </vt:variant>
      <vt:variant>
        <vt:lpwstr/>
      </vt:variant>
      <vt:variant>
        <vt:i4>1572927</vt:i4>
      </vt:variant>
      <vt:variant>
        <vt:i4>146</vt:i4>
      </vt:variant>
      <vt:variant>
        <vt:i4>0</vt:i4>
      </vt:variant>
      <vt:variant>
        <vt:i4>5</vt:i4>
      </vt:variant>
      <vt:variant>
        <vt:lpwstr/>
      </vt:variant>
      <vt:variant>
        <vt:lpwstr>_Toc60747299</vt:lpwstr>
      </vt:variant>
      <vt:variant>
        <vt:i4>1638463</vt:i4>
      </vt:variant>
      <vt:variant>
        <vt:i4>140</vt:i4>
      </vt:variant>
      <vt:variant>
        <vt:i4>0</vt:i4>
      </vt:variant>
      <vt:variant>
        <vt:i4>5</vt:i4>
      </vt:variant>
      <vt:variant>
        <vt:lpwstr/>
      </vt:variant>
      <vt:variant>
        <vt:lpwstr>_Toc60747298</vt:lpwstr>
      </vt:variant>
      <vt:variant>
        <vt:i4>1441855</vt:i4>
      </vt:variant>
      <vt:variant>
        <vt:i4>134</vt:i4>
      </vt:variant>
      <vt:variant>
        <vt:i4>0</vt:i4>
      </vt:variant>
      <vt:variant>
        <vt:i4>5</vt:i4>
      </vt:variant>
      <vt:variant>
        <vt:lpwstr/>
      </vt:variant>
      <vt:variant>
        <vt:lpwstr>_Toc60747297</vt:lpwstr>
      </vt:variant>
      <vt:variant>
        <vt:i4>1507391</vt:i4>
      </vt:variant>
      <vt:variant>
        <vt:i4>128</vt:i4>
      </vt:variant>
      <vt:variant>
        <vt:i4>0</vt:i4>
      </vt:variant>
      <vt:variant>
        <vt:i4>5</vt:i4>
      </vt:variant>
      <vt:variant>
        <vt:lpwstr/>
      </vt:variant>
      <vt:variant>
        <vt:lpwstr>_Toc60747296</vt:lpwstr>
      </vt:variant>
      <vt:variant>
        <vt:i4>1310783</vt:i4>
      </vt:variant>
      <vt:variant>
        <vt:i4>122</vt:i4>
      </vt:variant>
      <vt:variant>
        <vt:i4>0</vt:i4>
      </vt:variant>
      <vt:variant>
        <vt:i4>5</vt:i4>
      </vt:variant>
      <vt:variant>
        <vt:lpwstr/>
      </vt:variant>
      <vt:variant>
        <vt:lpwstr>_Toc60747295</vt:lpwstr>
      </vt:variant>
      <vt:variant>
        <vt:i4>1376319</vt:i4>
      </vt:variant>
      <vt:variant>
        <vt:i4>116</vt:i4>
      </vt:variant>
      <vt:variant>
        <vt:i4>0</vt:i4>
      </vt:variant>
      <vt:variant>
        <vt:i4>5</vt:i4>
      </vt:variant>
      <vt:variant>
        <vt:lpwstr/>
      </vt:variant>
      <vt:variant>
        <vt:lpwstr>_Toc60747294</vt:lpwstr>
      </vt:variant>
      <vt:variant>
        <vt:i4>1179711</vt:i4>
      </vt:variant>
      <vt:variant>
        <vt:i4>110</vt:i4>
      </vt:variant>
      <vt:variant>
        <vt:i4>0</vt:i4>
      </vt:variant>
      <vt:variant>
        <vt:i4>5</vt:i4>
      </vt:variant>
      <vt:variant>
        <vt:lpwstr/>
      </vt:variant>
      <vt:variant>
        <vt:lpwstr>_Toc60747293</vt:lpwstr>
      </vt:variant>
      <vt:variant>
        <vt:i4>1245247</vt:i4>
      </vt:variant>
      <vt:variant>
        <vt:i4>104</vt:i4>
      </vt:variant>
      <vt:variant>
        <vt:i4>0</vt:i4>
      </vt:variant>
      <vt:variant>
        <vt:i4>5</vt:i4>
      </vt:variant>
      <vt:variant>
        <vt:lpwstr/>
      </vt:variant>
      <vt:variant>
        <vt:lpwstr>_Toc60747292</vt:lpwstr>
      </vt:variant>
      <vt:variant>
        <vt:i4>1048639</vt:i4>
      </vt:variant>
      <vt:variant>
        <vt:i4>98</vt:i4>
      </vt:variant>
      <vt:variant>
        <vt:i4>0</vt:i4>
      </vt:variant>
      <vt:variant>
        <vt:i4>5</vt:i4>
      </vt:variant>
      <vt:variant>
        <vt:lpwstr/>
      </vt:variant>
      <vt:variant>
        <vt:lpwstr>_Toc60747291</vt:lpwstr>
      </vt:variant>
      <vt:variant>
        <vt:i4>1114175</vt:i4>
      </vt:variant>
      <vt:variant>
        <vt:i4>92</vt:i4>
      </vt:variant>
      <vt:variant>
        <vt:i4>0</vt:i4>
      </vt:variant>
      <vt:variant>
        <vt:i4>5</vt:i4>
      </vt:variant>
      <vt:variant>
        <vt:lpwstr/>
      </vt:variant>
      <vt:variant>
        <vt:lpwstr>_Toc60747290</vt:lpwstr>
      </vt:variant>
      <vt:variant>
        <vt:i4>1572926</vt:i4>
      </vt:variant>
      <vt:variant>
        <vt:i4>86</vt:i4>
      </vt:variant>
      <vt:variant>
        <vt:i4>0</vt:i4>
      </vt:variant>
      <vt:variant>
        <vt:i4>5</vt:i4>
      </vt:variant>
      <vt:variant>
        <vt:lpwstr/>
      </vt:variant>
      <vt:variant>
        <vt:lpwstr>_Toc60747289</vt:lpwstr>
      </vt:variant>
      <vt:variant>
        <vt:i4>1638462</vt:i4>
      </vt:variant>
      <vt:variant>
        <vt:i4>80</vt:i4>
      </vt:variant>
      <vt:variant>
        <vt:i4>0</vt:i4>
      </vt:variant>
      <vt:variant>
        <vt:i4>5</vt:i4>
      </vt:variant>
      <vt:variant>
        <vt:lpwstr/>
      </vt:variant>
      <vt:variant>
        <vt:lpwstr>_Toc60747288</vt:lpwstr>
      </vt:variant>
      <vt:variant>
        <vt:i4>1441854</vt:i4>
      </vt:variant>
      <vt:variant>
        <vt:i4>74</vt:i4>
      </vt:variant>
      <vt:variant>
        <vt:i4>0</vt:i4>
      </vt:variant>
      <vt:variant>
        <vt:i4>5</vt:i4>
      </vt:variant>
      <vt:variant>
        <vt:lpwstr/>
      </vt:variant>
      <vt:variant>
        <vt:lpwstr>_Toc60747287</vt:lpwstr>
      </vt:variant>
      <vt:variant>
        <vt:i4>1507390</vt:i4>
      </vt:variant>
      <vt:variant>
        <vt:i4>68</vt:i4>
      </vt:variant>
      <vt:variant>
        <vt:i4>0</vt:i4>
      </vt:variant>
      <vt:variant>
        <vt:i4>5</vt:i4>
      </vt:variant>
      <vt:variant>
        <vt:lpwstr/>
      </vt:variant>
      <vt:variant>
        <vt:lpwstr>_Toc60747286</vt:lpwstr>
      </vt:variant>
      <vt:variant>
        <vt:i4>1310782</vt:i4>
      </vt:variant>
      <vt:variant>
        <vt:i4>62</vt:i4>
      </vt:variant>
      <vt:variant>
        <vt:i4>0</vt:i4>
      </vt:variant>
      <vt:variant>
        <vt:i4>5</vt:i4>
      </vt:variant>
      <vt:variant>
        <vt:lpwstr/>
      </vt:variant>
      <vt:variant>
        <vt:lpwstr>_Toc60747285</vt:lpwstr>
      </vt:variant>
      <vt:variant>
        <vt:i4>1376318</vt:i4>
      </vt:variant>
      <vt:variant>
        <vt:i4>56</vt:i4>
      </vt:variant>
      <vt:variant>
        <vt:i4>0</vt:i4>
      </vt:variant>
      <vt:variant>
        <vt:i4>5</vt:i4>
      </vt:variant>
      <vt:variant>
        <vt:lpwstr/>
      </vt:variant>
      <vt:variant>
        <vt:lpwstr>_Toc60747284</vt:lpwstr>
      </vt:variant>
      <vt:variant>
        <vt:i4>1179710</vt:i4>
      </vt:variant>
      <vt:variant>
        <vt:i4>50</vt:i4>
      </vt:variant>
      <vt:variant>
        <vt:i4>0</vt:i4>
      </vt:variant>
      <vt:variant>
        <vt:i4>5</vt:i4>
      </vt:variant>
      <vt:variant>
        <vt:lpwstr/>
      </vt:variant>
      <vt:variant>
        <vt:lpwstr>_Toc60747283</vt:lpwstr>
      </vt:variant>
      <vt:variant>
        <vt:i4>1245246</vt:i4>
      </vt:variant>
      <vt:variant>
        <vt:i4>44</vt:i4>
      </vt:variant>
      <vt:variant>
        <vt:i4>0</vt:i4>
      </vt:variant>
      <vt:variant>
        <vt:i4>5</vt:i4>
      </vt:variant>
      <vt:variant>
        <vt:lpwstr/>
      </vt:variant>
      <vt:variant>
        <vt:lpwstr>_Toc60747282</vt:lpwstr>
      </vt:variant>
      <vt:variant>
        <vt:i4>1048638</vt:i4>
      </vt:variant>
      <vt:variant>
        <vt:i4>38</vt:i4>
      </vt:variant>
      <vt:variant>
        <vt:i4>0</vt:i4>
      </vt:variant>
      <vt:variant>
        <vt:i4>5</vt:i4>
      </vt:variant>
      <vt:variant>
        <vt:lpwstr/>
      </vt:variant>
      <vt:variant>
        <vt:lpwstr>_Toc60747281</vt:lpwstr>
      </vt:variant>
      <vt:variant>
        <vt:i4>1114174</vt:i4>
      </vt:variant>
      <vt:variant>
        <vt:i4>32</vt:i4>
      </vt:variant>
      <vt:variant>
        <vt:i4>0</vt:i4>
      </vt:variant>
      <vt:variant>
        <vt:i4>5</vt:i4>
      </vt:variant>
      <vt:variant>
        <vt:lpwstr/>
      </vt:variant>
      <vt:variant>
        <vt:lpwstr>_Toc60747280</vt:lpwstr>
      </vt:variant>
      <vt:variant>
        <vt:i4>1572913</vt:i4>
      </vt:variant>
      <vt:variant>
        <vt:i4>26</vt:i4>
      </vt:variant>
      <vt:variant>
        <vt:i4>0</vt:i4>
      </vt:variant>
      <vt:variant>
        <vt:i4>5</vt:i4>
      </vt:variant>
      <vt:variant>
        <vt:lpwstr/>
      </vt:variant>
      <vt:variant>
        <vt:lpwstr>_Toc60747279</vt:lpwstr>
      </vt:variant>
      <vt:variant>
        <vt:i4>1638449</vt:i4>
      </vt:variant>
      <vt:variant>
        <vt:i4>20</vt:i4>
      </vt:variant>
      <vt:variant>
        <vt:i4>0</vt:i4>
      </vt:variant>
      <vt:variant>
        <vt:i4>5</vt:i4>
      </vt:variant>
      <vt:variant>
        <vt:lpwstr/>
      </vt:variant>
      <vt:variant>
        <vt:lpwstr>_Toc60747278</vt:lpwstr>
      </vt:variant>
      <vt:variant>
        <vt:i4>1441841</vt:i4>
      </vt:variant>
      <vt:variant>
        <vt:i4>14</vt:i4>
      </vt:variant>
      <vt:variant>
        <vt:i4>0</vt:i4>
      </vt:variant>
      <vt:variant>
        <vt:i4>5</vt:i4>
      </vt:variant>
      <vt:variant>
        <vt:lpwstr/>
      </vt:variant>
      <vt:variant>
        <vt:lpwstr>_Toc60747277</vt:lpwstr>
      </vt:variant>
      <vt:variant>
        <vt:i4>1507377</vt:i4>
      </vt:variant>
      <vt:variant>
        <vt:i4>8</vt:i4>
      </vt:variant>
      <vt:variant>
        <vt:i4>0</vt:i4>
      </vt:variant>
      <vt:variant>
        <vt:i4>5</vt:i4>
      </vt:variant>
      <vt:variant>
        <vt:lpwstr/>
      </vt:variant>
      <vt:variant>
        <vt:lpwstr>_Toc60747276</vt:lpwstr>
      </vt:variant>
      <vt:variant>
        <vt:i4>1310769</vt:i4>
      </vt:variant>
      <vt:variant>
        <vt:i4>2</vt:i4>
      </vt:variant>
      <vt:variant>
        <vt:i4>0</vt:i4>
      </vt:variant>
      <vt:variant>
        <vt:i4>5</vt:i4>
      </vt:variant>
      <vt:variant>
        <vt:lpwstr/>
      </vt:variant>
      <vt:variant>
        <vt:lpwstr>_Toc60747275</vt:lpwstr>
      </vt:variant>
      <vt:variant>
        <vt:i4>3604607</vt:i4>
      </vt:variant>
      <vt:variant>
        <vt:i4>24</vt:i4>
      </vt:variant>
      <vt:variant>
        <vt:i4>0</vt:i4>
      </vt:variant>
      <vt:variant>
        <vt:i4>5</vt:i4>
      </vt:variant>
      <vt:variant>
        <vt:lpwstr>http://www.caiso.com/Documents/Presentation-2020-2021TransmissionPlanningProcess-Nov172020.pdf</vt:lpwstr>
      </vt:variant>
      <vt:variant>
        <vt:lpwstr/>
      </vt:variant>
      <vt:variant>
        <vt:i4>3735649</vt:i4>
      </vt:variant>
      <vt:variant>
        <vt:i4>21</vt:i4>
      </vt:variant>
      <vt:variant>
        <vt:i4>0</vt:i4>
      </vt:variant>
      <vt:variant>
        <vt:i4>5</vt:i4>
      </vt:variant>
      <vt:variant>
        <vt:lpwstr>ftp://ftp.cpuc.ca.gov/energy/modeling/Inputs  Assumptions 2019-2020 CPUC IRP 2020-02-27.pdf</vt:lpwstr>
      </vt:variant>
      <vt:variant>
        <vt:lpwstr/>
      </vt:variant>
      <vt:variant>
        <vt:i4>6946930</vt:i4>
      </vt:variant>
      <vt:variant>
        <vt:i4>18</vt:i4>
      </vt:variant>
      <vt:variant>
        <vt:i4>0</vt:i4>
      </vt:variant>
      <vt:variant>
        <vt:i4>5</vt:i4>
      </vt:variant>
      <vt:variant>
        <vt:lpwstr>http://www.caiso.com/Documents/WhitePaper-TransmissionCapabilityEstimates-InputtoCPUCIntegratedResourcePlanPortfolioDevelopment.pdf</vt:lpwstr>
      </vt:variant>
      <vt:variant>
        <vt:lpwstr/>
      </vt:variant>
      <vt:variant>
        <vt:i4>1638489</vt:i4>
      </vt:variant>
      <vt:variant>
        <vt:i4>15</vt:i4>
      </vt:variant>
      <vt:variant>
        <vt:i4>0</vt:i4>
      </vt:variant>
      <vt:variant>
        <vt:i4>5</vt:i4>
      </vt:variant>
      <vt:variant>
        <vt:lpwstr>ftp://ftp.cpuc.ca.gov/energy/modeling/200827_MAG webinar_NREL.pdf</vt:lpwstr>
      </vt:variant>
      <vt:variant>
        <vt:lpwstr/>
      </vt:variant>
      <vt:variant>
        <vt:i4>4980742</vt:i4>
      </vt:variant>
      <vt:variant>
        <vt:i4>12</vt:i4>
      </vt:variant>
      <vt:variant>
        <vt:i4>0</vt:i4>
      </vt:variant>
      <vt:variant>
        <vt:i4>5</vt:i4>
      </vt:variant>
      <vt:variant>
        <vt:lpwstr>ftp://ftp.cpuc.ca.gov/energy/modeling/2020-08-Offshore_Wind-MAG-Slides-Energy_Division.pdf</vt:lpwstr>
      </vt:variant>
      <vt:variant>
        <vt:lpwstr/>
      </vt:variant>
      <vt:variant>
        <vt:i4>3145766</vt:i4>
      </vt:variant>
      <vt:variant>
        <vt:i4>9</vt:i4>
      </vt:variant>
      <vt:variant>
        <vt:i4>0</vt:i4>
      </vt:variant>
      <vt:variant>
        <vt:i4>5</vt:i4>
      </vt:variant>
      <vt:variant>
        <vt:lpwstr>https://www.energy.ca.gov/programs-and-topics/topics/energy-assessment/natural-gas-burner-tip-prices-california-and-western</vt:lpwstr>
      </vt:variant>
      <vt:variant>
        <vt:lpwstr/>
      </vt:variant>
      <vt:variant>
        <vt:i4>4653058</vt:i4>
      </vt:variant>
      <vt:variant>
        <vt:i4>6</vt:i4>
      </vt:variant>
      <vt:variant>
        <vt:i4>0</vt:i4>
      </vt:variant>
      <vt:variant>
        <vt:i4>5</vt:i4>
      </vt:variant>
      <vt:variant>
        <vt:lpwstr>https://ww2.energy.ca.gov/2019publications/CEC-500-2019-046/CEC-500-2019-046.pdf</vt:lpwstr>
      </vt:variant>
      <vt:variant>
        <vt:lpwstr/>
      </vt:variant>
      <vt:variant>
        <vt:i4>1310790</vt:i4>
      </vt:variant>
      <vt:variant>
        <vt:i4>3</vt:i4>
      </vt:variant>
      <vt:variant>
        <vt:i4>0</vt:i4>
      </vt:variant>
      <vt:variant>
        <vt:i4>5</vt:i4>
      </vt:variant>
      <vt:variant>
        <vt:lpwstr>https://docs.cpuc.ca.gov/PublishedDocs/Published/G000/M331/K772/331772681.PDF</vt:lpwstr>
      </vt:variant>
      <vt:variant>
        <vt:lpwstr/>
      </vt:variant>
      <vt:variant>
        <vt:i4>327746</vt:i4>
      </vt:variant>
      <vt:variant>
        <vt:i4>0</vt:i4>
      </vt:variant>
      <vt:variant>
        <vt:i4>0</vt:i4>
      </vt:variant>
      <vt:variant>
        <vt:i4>5</vt:i4>
      </vt:variant>
      <vt:variant>
        <vt:lpwstr>https://docs.cpuc.ca.gov/PublishedDocs/Efile/G000/M348/K816/348816247.PDF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Energy Staff</dc:creator>
  <cp:keywords/>
  <dc:description/>
  <cp:lastModifiedBy>Oluwafemi Sawyerr</cp:lastModifiedBy>
  <cp:revision>2</cp:revision>
  <cp:lastPrinted>2021-01-05T21:54:00Z</cp:lastPrinted>
  <dcterms:created xsi:type="dcterms:W3CDTF">2021-02-09T03:02:00Z</dcterms:created>
  <dcterms:modified xsi:type="dcterms:W3CDTF">2021-02-09T03:02:00Z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0x010100A5D627E02F5D41458CBEEF99BD60CE40</vt:lpwstr>
  </property>
</Properties>
</file>