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EE" w:rsidRPr="0084405D" w:rsidRDefault="009C0671" w:rsidP="00B42B0F">
      <w:pPr>
        <w:spacing w:before="0" w:after="120" w:line="264" w:lineRule="auto"/>
        <w:rPr>
          <w:rStyle w:val="Strong"/>
        </w:rPr>
      </w:pPr>
      <w:bookmarkStart w:id="0" w:name="_GoBack"/>
      <w:bookmarkEnd w:id="0"/>
      <w:r w:rsidRPr="0084405D">
        <w:rPr>
          <w:rStyle w:val="Strong"/>
        </w:rPr>
        <w:t xml:space="preserve">Program </w:t>
      </w:r>
      <w:r w:rsidR="00380D35" w:rsidRPr="0084405D">
        <w:rPr>
          <w:rStyle w:val="Strong"/>
        </w:rPr>
        <w:t xml:space="preserve">and Rate </w:t>
      </w:r>
      <w:r w:rsidRPr="0084405D">
        <w:rPr>
          <w:rStyle w:val="Strong"/>
        </w:rPr>
        <w:t>Description</w:t>
      </w:r>
    </w:p>
    <w:p w:rsidR="00B72C77" w:rsidRPr="0076544B" w:rsidRDefault="00ED3A5B" w:rsidP="0076544B">
      <w:pPr>
        <w:spacing w:line="264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Critical Peak </w:t>
      </w:r>
      <w:r w:rsidR="00437FA2" w:rsidRPr="0076544B">
        <w:rPr>
          <w:rFonts w:cs="Arial"/>
          <w:sz w:val="18"/>
          <w:szCs w:val="18"/>
        </w:rPr>
        <w:t>P</w:t>
      </w:r>
      <w:r w:rsidR="009C0671" w:rsidRPr="0076544B">
        <w:rPr>
          <w:rFonts w:cs="Arial"/>
          <w:sz w:val="18"/>
          <w:szCs w:val="18"/>
        </w:rPr>
        <w:t>ricing</w:t>
      </w:r>
      <w:r>
        <w:rPr>
          <w:rFonts w:cs="Arial"/>
          <w:sz w:val="18"/>
          <w:szCs w:val="18"/>
        </w:rPr>
        <w:t xml:space="preserve"> (CPP</w:t>
      </w:r>
      <w:r w:rsidR="005F02EE" w:rsidRPr="0076544B">
        <w:rPr>
          <w:rFonts w:cs="Arial"/>
          <w:sz w:val="18"/>
          <w:szCs w:val="18"/>
        </w:rPr>
        <w:t>)</w:t>
      </w:r>
      <w:r w:rsidR="009C0671" w:rsidRPr="0076544B">
        <w:rPr>
          <w:rFonts w:cs="Arial"/>
          <w:sz w:val="18"/>
          <w:szCs w:val="18"/>
        </w:rPr>
        <w:t xml:space="preserve"> </w:t>
      </w:r>
      <w:r w:rsidR="00B72C77" w:rsidRPr="0076544B">
        <w:rPr>
          <w:rFonts w:cs="Arial"/>
          <w:sz w:val="18"/>
          <w:szCs w:val="18"/>
        </w:rPr>
        <w:t>is</w:t>
      </w:r>
      <w:r w:rsidR="009B2F07">
        <w:rPr>
          <w:rFonts w:cs="Arial"/>
          <w:sz w:val="18"/>
          <w:szCs w:val="18"/>
        </w:rPr>
        <w:t xml:space="preserve"> the default rate for all</w:t>
      </w:r>
      <w:r>
        <w:rPr>
          <w:rFonts w:cs="Arial"/>
          <w:sz w:val="18"/>
          <w:szCs w:val="18"/>
        </w:rPr>
        <w:t xml:space="preserve"> large SDG&amp;E non-residential customers</w:t>
      </w:r>
      <w:r w:rsidR="000D0F58" w:rsidRPr="0076544B">
        <w:rPr>
          <w:rFonts w:cs="Arial"/>
          <w:sz w:val="18"/>
          <w:szCs w:val="18"/>
        </w:rPr>
        <w:t xml:space="preserve"> with </w:t>
      </w:r>
      <w:r w:rsidR="00533440" w:rsidRPr="0076544B">
        <w:rPr>
          <w:rFonts w:cs="Arial"/>
          <w:sz w:val="18"/>
          <w:szCs w:val="18"/>
        </w:rPr>
        <w:t xml:space="preserve">at least </w:t>
      </w:r>
      <w:r w:rsidR="000D0F58" w:rsidRPr="0076544B">
        <w:rPr>
          <w:rFonts w:cs="Arial"/>
          <w:sz w:val="18"/>
          <w:szCs w:val="18"/>
        </w:rPr>
        <w:t>12 month</w:t>
      </w:r>
      <w:r w:rsidR="002006E3" w:rsidRPr="0076544B">
        <w:rPr>
          <w:rFonts w:cs="Arial"/>
          <w:sz w:val="18"/>
          <w:szCs w:val="18"/>
        </w:rPr>
        <w:t>s</w:t>
      </w:r>
      <w:r w:rsidR="000D0F58" w:rsidRPr="0076544B">
        <w:rPr>
          <w:rFonts w:cs="Arial"/>
          <w:sz w:val="18"/>
          <w:szCs w:val="18"/>
        </w:rPr>
        <w:t xml:space="preserve"> of hourly </w:t>
      </w:r>
      <w:r w:rsidR="00533440" w:rsidRPr="0076544B">
        <w:rPr>
          <w:rFonts w:cs="Arial"/>
          <w:sz w:val="18"/>
          <w:szCs w:val="18"/>
        </w:rPr>
        <w:t xml:space="preserve">interval </w:t>
      </w:r>
      <w:r w:rsidR="000D0F58" w:rsidRPr="0076544B">
        <w:rPr>
          <w:rFonts w:cs="Arial"/>
          <w:sz w:val="18"/>
          <w:szCs w:val="18"/>
        </w:rPr>
        <w:t>data</w:t>
      </w:r>
      <w:r w:rsidR="005F02EE" w:rsidRPr="0076544B">
        <w:rPr>
          <w:rFonts w:cs="Arial"/>
          <w:sz w:val="18"/>
          <w:szCs w:val="18"/>
        </w:rPr>
        <w:t xml:space="preserve">. </w:t>
      </w:r>
      <w:r w:rsidR="00546D9C" w:rsidRPr="009B2F07">
        <w:rPr>
          <w:rFonts w:cs="Arial"/>
          <w:sz w:val="18"/>
          <w:szCs w:val="18"/>
        </w:rPr>
        <w:t>The first wave of s</w:t>
      </w:r>
      <w:r w:rsidR="00B72C77" w:rsidRPr="009B2F07">
        <w:rPr>
          <w:rFonts w:cs="Arial"/>
          <w:sz w:val="18"/>
          <w:szCs w:val="18"/>
        </w:rPr>
        <w:t>mall and medium business</w:t>
      </w:r>
      <w:r w:rsidR="005907FB" w:rsidRPr="009B2F07">
        <w:rPr>
          <w:rFonts w:cs="Arial"/>
          <w:sz w:val="18"/>
          <w:szCs w:val="18"/>
        </w:rPr>
        <w:t xml:space="preserve"> </w:t>
      </w:r>
      <w:r w:rsidR="00546D9C" w:rsidRPr="009B2F07">
        <w:rPr>
          <w:rFonts w:cs="Arial"/>
          <w:sz w:val="18"/>
          <w:szCs w:val="18"/>
        </w:rPr>
        <w:t xml:space="preserve">customers was defaulted </w:t>
      </w:r>
      <w:r w:rsidR="0076544B" w:rsidRPr="009B2F07">
        <w:rPr>
          <w:rFonts w:cs="Arial"/>
          <w:sz w:val="18"/>
          <w:szCs w:val="18"/>
        </w:rPr>
        <w:t xml:space="preserve">in </w:t>
      </w:r>
      <w:r w:rsidR="009B2F07" w:rsidRPr="009B2F07">
        <w:rPr>
          <w:rFonts w:cs="Arial"/>
          <w:sz w:val="18"/>
          <w:szCs w:val="18"/>
        </w:rPr>
        <w:t>early 2016</w:t>
      </w:r>
      <w:r w:rsidR="008433B6" w:rsidRPr="009B2F07">
        <w:rPr>
          <w:rFonts w:cs="Arial"/>
          <w:sz w:val="18"/>
          <w:szCs w:val="18"/>
        </w:rPr>
        <w:t>, but small and medium customers were also able to enroll on an opt-in basis at any time</w:t>
      </w:r>
      <w:r w:rsidR="00B72C77" w:rsidRPr="009B2F07">
        <w:rPr>
          <w:rFonts w:cs="Arial"/>
          <w:sz w:val="18"/>
          <w:szCs w:val="18"/>
        </w:rPr>
        <w:t>.</w:t>
      </w:r>
      <w:r w:rsidR="00E7244F" w:rsidRPr="009B2F0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Customers who become eligible for the tariff must opt out within 45 days or they must remain on the rate for at least 12 months</w:t>
      </w:r>
      <w:r w:rsidR="00B72C77" w:rsidRPr="0076544B">
        <w:rPr>
          <w:rFonts w:cs="Arial"/>
          <w:sz w:val="18"/>
          <w:szCs w:val="18"/>
        </w:rPr>
        <w:t>. In addition, customers can elect to insure all, part</w:t>
      </w:r>
      <w:r w:rsidR="003A5CBC" w:rsidRPr="0076544B">
        <w:rPr>
          <w:rFonts w:cs="Arial"/>
          <w:sz w:val="18"/>
          <w:szCs w:val="18"/>
        </w:rPr>
        <w:t>,</w:t>
      </w:r>
      <w:r w:rsidR="00B72C77" w:rsidRPr="0076544B">
        <w:rPr>
          <w:rFonts w:cs="Arial"/>
          <w:sz w:val="18"/>
          <w:szCs w:val="18"/>
        </w:rPr>
        <w:t xml:space="preserve"> or none of their electricity use against higher peak </w:t>
      </w:r>
      <w:r w:rsidR="00533440" w:rsidRPr="0076544B">
        <w:rPr>
          <w:rFonts w:cs="Arial"/>
          <w:sz w:val="18"/>
          <w:szCs w:val="18"/>
        </w:rPr>
        <w:t>period prices on PDP event day</w:t>
      </w:r>
      <w:r w:rsidR="003A5CBC" w:rsidRPr="0076544B">
        <w:rPr>
          <w:rFonts w:cs="Arial"/>
          <w:sz w:val="18"/>
          <w:szCs w:val="18"/>
        </w:rPr>
        <w:t>s</w:t>
      </w:r>
      <w:r w:rsidR="00533440" w:rsidRPr="0076544B">
        <w:rPr>
          <w:rFonts w:cs="Arial"/>
          <w:sz w:val="18"/>
          <w:szCs w:val="18"/>
        </w:rPr>
        <w:t xml:space="preserve"> with Capacity Reservation.</w:t>
      </w:r>
      <w:r w:rsidR="00B72C77" w:rsidRPr="0076544B">
        <w:rPr>
          <w:rFonts w:cs="Arial"/>
          <w:sz w:val="18"/>
          <w:szCs w:val="18"/>
        </w:rPr>
        <w:t xml:space="preserve"> </w:t>
      </w:r>
    </w:p>
    <w:p w:rsidR="000D0F58" w:rsidRPr="0076544B" w:rsidRDefault="00ED3A5B" w:rsidP="0076544B">
      <w:pPr>
        <w:spacing w:before="0" w:line="264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CPP</w:t>
      </w:r>
      <w:r w:rsidR="00B72C77" w:rsidRPr="0076544B">
        <w:rPr>
          <w:rFonts w:cs="Arial"/>
          <w:sz w:val="18"/>
          <w:szCs w:val="18"/>
        </w:rPr>
        <w:t xml:space="preserve"> c</w:t>
      </w:r>
      <w:r w:rsidR="000D0F58" w:rsidRPr="0076544B">
        <w:rPr>
          <w:rFonts w:cs="Arial"/>
          <w:sz w:val="18"/>
          <w:szCs w:val="18"/>
        </w:rPr>
        <w:t xml:space="preserve">ustomers experience a </w:t>
      </w:r>
      <w:r w:rsidR="00E0474A" w:rsidRPr="0076544B">
        <w:rPr>
          <w:rFonts w:cs="Arial"/>
          <w:sz w:val="18"/>
          <w:szCs w:val="18"/>
        </w:rPr>
        <w:t>higher peak price</w:t>
      </w:r>
      <w:r w:rsidR="006C44E1">
        <w:rPr>
          <w:rFonts w:cs="Arial"/>
          <w:sz w:val="18"/>
          <w:szCs w:val="18"/>
        </w:rPr>
        <w:t xml:space="preserve"> from 11 AM</w:t>
      </w:r>
      <w:r w:rsidR="00533440" w:rsidRPr="0076544B">
        <w:rPr>
          <w:rFonts w:cs="Arial"/>
          <w:sz w:val="18"/>
          <w:szCs w:val="18"/>
        </w:rPr>
        <w:t xml:space="preserve"> to </w:t>
      </w:r>
      <w:r w:rsidR="00E0474A" w:rsidRPr="0076544B">
        <w:rPr>
          <w:rFonts w:cs="Arial"/>
          <w:sz w:val="18"/>
          <w:szCs w:val="18"/>
        </w:rPr>
        <w:t xml:space="preserve">6 </w:t>
      </w:r>
      <w:r w:rsidR="00321D3F" w:rsidRPr="0076544B">
        <w:rPr>
          <w:rFonts w:cs="Arial"/>
          <w:sz w:val="18"/>
          <w:szCs w:val="18"/>
        </w:rPr>
        <w:t xml:space="preserve">PM </w:t>
      </w:r>
      <w:r w:rsidR="00E0474A" w:rsidRPr="0076544B">
        <w:rPr>
          <w:rFonts w:cs="Arial"/>
          <w:sz w:val="18"/>
          <w:szCs w:val="18"/>
        </w:rPr>
        <w:t>on</w:t>
      </w:r>
      <w:r w:rsidR="000D0F58" w:rsidRPr="0076544B">
        <w:rPr>
          <w:rFonts w:cs="Arial"/>
          <w:sz w:val="18"/>
          <w:szCs w:val="18"/>
        </w:rPr>
        <w:t xml:space="preserve"> </w:t>
      </w:r>
      <w:r w:rsidR="006C44E1">
        <w:rPr>
          <w:rFonts w:cs="Arial"/>
          <w:sz w:val="18"/>
          <w:szCs w:val="18"/>
        </w:rPr>
        <w:t xml:space="preserve">up to 18 </w:t>
      </w:r>
      <w:r w:rsidR="000D0F58" w:rsidRPr="0076544B">
        <w:rPr>
          <w:rFonts w:cs="Arial"/>
          <w:sz w:val="18"/>
          <w:szCs w:val="18"/>
        </w:rPr>
        <w:t xml:space="preserve">event days per year. In exchange, they </w:t>
      </w:r>
      <w:r w:rsidR="002006E3" w:rsidRPr="0076544B">
        <w:rPr>
          <w:rFonts w:cs="Arial"/>
          <w:sz w:val="18"/>
          <w:szCs w:val="18"/>
        </w:rPr>
        <w:t xml:space="preserve">are provided </w:t>
      </w:r>
      <w:r w:rsidR="00476EBB" w:rsidRPr="0076544B">
        <w:rPr>
          <w:rFonts w:cs="Arial"/>
          <w:sz w:val="18"/>
          <w:szCs w:val="18"/>
        </w:rPr>
        <w:t xml:space="preserve">energy </w:t>
      </w:r>
      <w:r w:rsidR="000D0F58" w:rsidRPr="0076544B">
        <w:rPr>
          <w:rFonts w:cs="Arial"/>
          <w:sz w:val="18"/>
          <w:szCs w:val="18"/>
        </w:rPr>
        <w:t xml:space="preserve">rate reductions during non-event days and reduced demand charges. </w:t>
      </w:r>
      <w:r w:rsidR="00533440" w:rsidRPr="0076544B">
        <w:rPr>
          <w:rFonts w:cs="Arial"/>
          <w:sz w:val="18"/>
          <w:szCs w:val="18"/>
        </w:rPr>
        <w:t>The</w:t>
      </w:r>
      <w:r w:rsidR="009F0BFA" w:rsidRPr="0076544B">
        <w:rPr>
          <w:rFonts w:cs="Arial"/>
          <w:sz w:val="18"/>
          <w:szCs w:val="18"/>
        </w:rPr>
        <w:t xml:space="preserve"> higher charges</w:t>
      </w:r>
      <w:r w:rsidR="00957AAA" w:rsidRPr="0076544B">
        <w:rPr>
          <w:rFonts w:cs="Arial"/>
          <w:sz w:val="18"/>
          <w:szCs w:val="18"/>
        </w:rPr>
        <w:t xml:space="preserve"> </w:t>
      </w:r>
      <w:r w:rsidR="000D0F58" w:rsidRPr="0076544B">
        <w:rPr>
          <w:rFonts w:cs="Arial"/>
          <w:sz w:val="18"/>
          <w:szCs w:val="18"/>
        </w:rPr>
        <w:t>reflect the cost of building additional peaking power plants to meet high demand levels.</w:t>
      </w:r>
      <w:r w:rsidR="00957AAA" w:rsidRPr="0076544B">
        <w:rPr>
          <w:rFonts w:cs="Arial"/>
          <w:sz w:val="18"/>
          <w:szCs w:val="18"/>
        </w:rPr>
        <w:t xml:space="preserve"> </w:t>
      </w:r>
      <w:r w:rsidR="000D0F58" w:rsidRPr="0076544B">
        <w:rPr>
          <w:rFonts w:cs="Arial"/>
          <w:sz w:val="18"/>
          <w:szCs w:val="18"/>
        </w:rPr>
        <w:t xml:space="preserve">By limiting </w:t>
      </w:r>
      <w:r w:rsidR="006C44E1">
        <w:rPr>
          <w:rFonts w:cs="Arial"/>
          <w:sz w:val="18"/>
          <w:szCs w:val="18"/>
        </w:rPr>
        <w:t>demand during CPP</w:t>
      </w:r>
      <w:r w:rsidR="001E37E0" w:rsidRPr="0076544B">
        <w:rPr>
          <w:rFonts w:cs="Arial"/>
          <w:sz w:val="18"/>
          <w:szCs w:val="18"/>
        </w:rPr>
        <w:t xml:space="preserve"> event periods</w:t>
      </w:r>
      <w:r w:rsidR="000D0F58" w:rsidRPr="0076544B">
        <w:rPr>
          <w:rFonts w:cs="Arial"/>
          <w:sz w:val="18"/>
          <w:szCs w:val="18"/>
        </w:rPr>
        <w:t xml:space="preserve">, participants can reduce their </w:t>
      </w:r>
      <w:r w:rsidR="00533440" w:rsidRPr="0076544B">
        <w:rPr>
          <w:rFonts w:cs="Arial"/>
          <w:sz w:val="18"/>
          <w:szCs w:val="18"/>
        </w:rPr>
        <w:t xml:space="preserve">electric </w:t>
      </w:r>
      <w:r w:rsidR="000D0F58" w:rsidRPr="0076544B">
        <w:rPr>
          <w:rFonts w:cs="Arial"/>
          <w:sz w:val="18"/>
          <w:szCs w:val="18"/>
        </w:rPr>
        <w:t xml:space="preserve">bill and help </w:t>
      </w:r>
      <w:r w:rsidR="002E71AD" w:rsidRPr="0076544B">
        <w:rPr>
          <w:rFonts w:cs="Arial"/>
          <w:sz w:val="18"/>
          <w:szCs w:val="18"/>
        </w:rPr>
        <w:t>reduce</w:t>
      </w:r>
      <w:r w:rsidR="000D0F58" w:rsidRPr="0076544B">
        <w:rPr>
          <w:rFonts w:cs="Arial"/>
          <w:sz w:val="18"/>
          <w:szCs w:val="18"/>
        </w:rPr>
        <w:t xml:space="preserve"> the need to build additional peaking power plants.    </w:t>
      </w:r>
    </w:p>
    <w:p w:rsidR="00925D1F" w:rsidRPr="0084405D" w:rsidRDefault="00D92FEE" w:rsidP="00925D1F">
      <w:pPr>
        <w:spacing w:after="120" w:line="264" w:lineRule="auto"/>
        <w:rPr>
          <w:rStyle w:val="Strong"/>
        </w:rPr>
      </w:pPr>
      <w:r>
        <w:rPr>
          <w:rStyle w:val="Strong"/>
        </w:rPr>
        <w:t>2014</w:t>
      </w:r>
      <w:r w:rsidR="008D4065" w:rsidRPr="0084405D">
        <w:rPr>
          <w:rStyle w:val="Strong"/>
        </w:rPr>
        <w:t xml:space="preserve"> </w:t>
      </w:r>
      <w:r w:rsidR="00925D1F" w:rsidRPr="0084405D">
        <w:rPr>
          <w:rStyle w:val="Strong"/>
        </w:rPr>
        <w:t>Peak Ele</w:t>
      </w:r>
      <w:r w:rsidR="006C44E1">
        <w:rPr>
          <w:rStyle w:val="Strong"/>
        </w:rPr>
        <w:t>ctricity Use Reductions from CPP</w:t>
      </w:r>
    </w:p>
    <w:p w:rsidR="008D4065" w:rsidRPr="0076544B" w:rsidRDefault="00436AA1" w:rsidP="0076544B">
      <w:pPr>
        <w:spacing w:line="264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 average, 1,142</w:t>
      </w:r>
      <w:r w:rsidR="00B42B0F" w:rsidRPr="0076544B">
        <w:rPr>
          <w:rFonts w:cs="Arial"/>
          <w:sz w:val="18"/>
          <w:szCs w:val="18"/>
        </w:rPr>
        <w:t xml:space="preserve"> service accounts enrolled on a default basis remained on </w:t>
      </w:r>
      <w:r>
        <w:rPr>
          <w:rFonts w:cs="Arial"/>
          <w:sz w:val="18"/>
          <w:szCs w:val="18"/>
        </w:rPr>
        <w:t>CPP</w:t>
      </w:r>
      <w:r w:rsidR="00D92FEE" w:rsidRPr="0076544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 2014</w:t>
      </w:r>
      <w:r w:rsidR="00B42B0F" w:rsidRPr="0076544B">
        <w:rPr>
          <w:rFonts w:cs="Arial"/>
          <w:sz w:val="18"/>
          <w:szCs w:val="18"/>
        </w:rPr>
        <w:t>.</w:t>
      </w:r>
      <w:r w:rsidR="00E7244F" w:rsidRPr="0076544B">
        <w:rPr>
          <w:rFonts w:cs="Arial"/>
          <w:sz w:val="18"/>
          <w:szCs w:val="18"/>
        </w:rPr>
        <w:t xml:space="preserve"> </w:t>
      </w:r>
      <w:r w:rsidR="00925D1F" w:rsidRPr="0076544B">
        <w:rPr>
          <w:rFonts w:cs="Arial"/>
          <w:sz w:val="18"/>
          <w:szCs w:val="18"/>
        </w:rPr>
        <w:t>These customers experienced</w:t>
      </w:r>
      <w:r w:rsidR="00D92FEE" w:rsidRPr="0076544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6</w:t>
      </w:r>
      <w:r w:rsidR="0076544B" w:rsidRPr="0076544B">
        <w:rPr>
          <w:rFonts w:cs="Arial"/>
          <w:sz w:val="18"/>
          <w:szCs w:val="18"/>
        </w:rPr>
        <w:t xml:space="preserve"> </w:t>
      </w:r>
      <w:r w:rsidR="001D0609" w:rsidRPr="0076544B">
        <w:rPr>
          <w:rFonts w:cs="Arial"/>
          <w:sz w:val="18"/>
          <w:szCs w:val="18"/>
        </w:rPr>
        <w:t>official</w:t>
      </w:r>
      <w:r w:rsidR="00925D1F" w:rsidRPr="0076544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CPP</w:t>
      </w:r>
      <w:r w:rsidR="00925D1F" w:rsidRPr="0076544B">
        <w:rPr>
          <w:rFonts w:cs="Arial"/>
          <w:sz w:val="18"/>
          <w:szCs w:val="18"/>
        </w:rPr>
        <w:t xml:space="preserve"> events in 201</w:t>
      </w:r>
      <w:r w:rsidR="00D92FEE" w:rsidRPr="0076544B">
        <w:rPr>
          <w:rFonts w:cs="Arial"/>
          <w:sz w:val="18"/>
          <w:szCs w:val="18"/>
        </w:rPr>
        <w:t>4</w:t>
      </w:r>
      <w:r w:rsidR="00925D1F" w:rsidRPr="0076544B">
        <w:rPr>
          <w:rFonts w:cs="Arial"/>
          <w:sz w:val="18"/>
          <w:szCs w:val="18"/>
        </w:rPr>
        <w:t xml:space="preserve">. The </w:t>
      </w:r>
      <w:r w:rsidR="00476EBB" w:rsidRPr="0076544B">
        <w:rPr>
          <w:rFonts w:cs="Arial"/>
          <w:sz w:val="18"/>
          <w:szCs w:val="18"/>
        </w:rPr>
        <w:t>load impacts</w:t>
      </w:r>
      <w:r w:rsidR="00925D1F" w:rsidRPr="0076544B">
        <w:rPr>
          <w:rFonts w:cs="Arial"/>
          <w:sz w:val="18"/>
          <w:szCs w:val="18"/>
        </w:rPr>
        <w:t xml:space="preserve"> and </w:t>
      </w:r>
      <w:r w:rsidR="002E71AD" w:rsidRPr="0076544B">
        <w:rPr>
          <w:rFonts w:cs="Arial"/>
          <w:sz w:val="18"/>
          <w:szCs w:val="18"/>
        </w:rPr>
        <w:t xml:space="preserve">weather </w:t>
      </w:r>
      <w:r w:rsidR="00925D1F" w:rsidRPr="0076544B">
        <w:rPr>
          <w:rFonts w:cs="Arial"/>
          <w:sz w:val="18"/>
          <w:szCs w:val="18"/>
        </w:rPr>
        <w:t>conditions for each individual event da</w:t>
      </w:r>
      <w:r>
        <w:rPr>
          <w:rFonts w:cs="Arial"/>
          <w:sz w:val="18"/>
          <w:szCs w:val="18"/>
        </w:rPr>
        <w:t>y are summarized in Table 1. CPP</w:t>
      </w:r>
      <w:r w:rsidR="00925D1F" w:rsidRPr="0076544B">
        <w:rPr>
          <w:rFonts w:cs="Arial"/>
          <w:sz w:val="18"/>
          <w:szCs w:val="18"/>
        </w:rPr>
        <w:t xml:space="preserve"> parti</w:t>
      </w:r>
      <w:r w:rsidR="00656959" w:rsidRPr="0076544B">
        <w:rPr>
          <w:rFonts w:cs="Arial"/>
          <w:sz w:val="18"/>
          <w:szCs w:val="18"/>
        </w:rPr>
        <w:t>cipants typically account</w:t>
      </w:r>
      <w:r w:rsidR="00476EBB" w:rsidRPr="0076544B">
        <w:rPr>
          <w:rFonts w:cs="Arial"/>
          <w:sz w:val="18"/>
          <w:szCs w:val="18"/>
        </w:rPr>
        <w:t>ed</w:t>
      </w:r>
      <w:r>
        <w:rPr>
          <w:rFonts w:cs="Arial"/>
          <w:sz w:val="18"/>
          <w:szCs w:val="18"/>
        </w:rPr>
        <w:t xml:space="preserve"> for 291</w:t>
      </w:r>
      <w:r w:rsidR="00925D1F" w:rsidRPr="0076544B">
        <w:rPr>
          <w:rFonts w:cs="Arial"/>
          <w:sz w:val="18"/>
          <w:szCs w:val="18"/>
        </w:rPr>
        <w:t xml:space="preserve"> MW of </w:t>
      </w:r>
      <w:r w:rsidR="00925D1F" w:rsidRPr="0076544B">
        <w:rPr>
          <w:rFonts w:cs="Arial"/>
          <w:sz w:val="18"/>
          <w:szCs w:val="18"/>
        </w:rPr>
        <w:lastRenderedPageBreak/>
        <w:t xml:space="preserve">load during </w:t>
      </w:r>
      <w:r>
        <w:rPr>
          <w:rFonts w:cs="Arial"/>
          <w:sz w:val="18"/>
          <w:szCs w:val="18"/>
        </w:rPr>
        <w:t>event day</w:t>
      </w:r>
      <w:r w:rsidR="00925D1F" w:rsidRPr="0076544B">
        <w:rPr>
          <w:rFonts w:cs="Arial"/>
          <w:sz w:val="18"/>
          <w:szCs w:val="18"/>
        </w:rPr>
        <w:t xml:space="preserve"> afternoon</w:t>
      </w:r>
      <w:r w:rsidR="003A5CBC" w:rsidRPr="0076544B">
        <w:rPr>
          <w:rFonts w:cs="Arial"/>
          <w:sz w:val="18"/>
          <w:szCs w:val="18"/>
        </w:rPr>
        <w:t>s</w:t>
      </w:r>
      <w:r w:rsidR="00D92FEE" w:rsidRPr="0076544B">
        <w:rPr>
          <w:rFonts w:cs="Arial"/>
          <w:sz w:val="18"/>
          <w:szCs w:val="18"/>
        </w:rPr>
        <w:t xml:space="preserve"> in 2014</w:t>
      </w:r>
      <w:r w:rsidR="00925D1F" w:rsidRPr="0076544B">
        <w:rPr>
          <w:rFonts w:cs="Arial"/>
          <w:sz w:val="18"/>
          <w:szCs w:val="18"/>
        </w:rPr>
        <w:t>. When PDP events were called, on average, they</w:t>
      </w:r>
      <w:r>
        <w:rPr>
          <w:rFonts w:cs="Arial"/>
          <w:sz w:val="18"/>
          <w:szCs w:val="18"/>
        </w:rPr>
        <w:t xml:space="preserve"> reduced demand by 8.8% across the 11 AM</w:t>
      </w:r>
      <w:r w:rsidR="00476EBB" w:rsidRPr="0076544B">
        <w:rPr>
          <w:rFonts w:cs="Arial"/>
          <w:sz w:val="18"/>
          <w:szCs w:val="18"/>
        </w:rPr>
        <w:t xml:space="preserve"> to </w:t>
      </w:r>
      <w:r w:rsidR="00656959" w:rsidRPr="0076544B">
        <w:rPr>
          <w:rFonts w:cs="Arial"/>
          <w:sz w:val="18"/>
          <w:szCs w:val="18"/>
        </w:rPr>
        <w:t xml:space="preserve">6 PM event </w:t>
      </w:r>
      <w:r>
        <w:rPr>
          <w:rFonts w:cs="Arial"/>
          <w:sz w:val="18"/>
          <w:szCs w:val="18"/>
        </w:rPr>
        <w:t>window, delivering 25.4</w:t>
      </w:r>
      <w:r w:rsidR="00925D1F" w:rsidRPr="0076544B">
        <w:rPr>
          <w:rFonts w:cs="Arial"/>
          <w:sz w:val="18"/>
          <w:szCs w:val="18"/>
        </w:rPr>
        <w:t xml:space="preserve"> MW of demand reduction. The load impacts were estimated using</w:t>
      </w:r>
      <w:r w:rsidR="00533440" w:rsidRPr="0076544B">
        <w:rPr>
          <w:rFonts w:cs="Arial"/>
          <w:sz w:val="18"/>
          <w:szCs w:val="18"/>
        </w:rPr>
        <w:t xml:space="preserve"> a combination of </w:t>
      </w:r>
      <w:r w:rsidR="00925D1F" w:rsidRPr="0076544B">
        <w:rPr>
          <w:rFonts w:cs="Arial"/>
          <w:sz w:val="18"/>
          <w:szCs w:val="18"/>
        </w:rPr>
        <w:t>difference-in-differences, a method that uses data from a control group and hot non-event days</w:t>
      </w:r>
      <w:r w:rsidR="00533440" w:rsidRPr="0076544B">
        <w:rPr>
          <w:rFonts w:cs="Arial"/>
          <w:sz w:val="18"/>
          <w:szCs w:val="18"/>
        </w:rPr>
        <w:t xml:space="preserve"> and individual customer regressions</w:t>
      </w:r>
      <w:r w:rsidR="00925D1F" w:rsidRPr="0076544B">
        <w:rPr>
          <w:rFonts w:cs="Arial"/>
          <w:sz w:val="18"/>
          <w:szCs w:val="18"/>
        </w:rPr>
        <w:t xml:space="preserve">. </w:t>
      </w:r>
      <w:r w:rsidR="003A5CBC" w:rsidRPr="0076544B">
        <w:rPr>
          <w:rFonts w:cs="Arial"/>
          <w:sz w:val="18"/>
          <w:szCs w:val="18"/>
        </w:rPr>
        <w:t xml:space="preserve"> </w:t>
      </w:r>
      <w:r w:rsidR="008D4065" w:rsidRPr="0076544B">
        <w:rPr>
          <w:rFonts w:cs="Arial"/>
          <w:sz w:val="18"/>
          <w:szCs w:val="18"/>
        </w:rPr>
        <w:t>Demand reduction estimates varied</w:t>
      </w:r>
      <w:r>
        <w:rPr>
          <w:rFonts w:cs="Arial"/>
          <w:sz w:val="18"/>
          <w:szCs w:val="18"/>
        </w:rPr>
        <w:t xml:space="preserve"> from 7.1</w:t>
      </w:r>
      <w:r w:rsidR="00981108" w:rsidRPr="0076544B">
        <w:rPr>
          <w:rFonts w:cs="Arial"/>
          <w:sz w:val="18"/>
          <w:szCs w:val="18"/>
        </w:rPr>
        <w:t>%</w:t>
      </w:r>
      <w:r>
        <w:rPr>
          <w:rFonts w:cs="Arial"/>
          <w:sz w:val="18"/>
          <w:szCs w:val="18"/>
        </w:rPr>
        <w:t xml:space="preserve"> (14.6</w:t>
      </w:r>
      <w:r w:rsidR="008D4065" w:rsidRPr="0076544B">
        <w:rPr>
          <w:rFonts w:cs="Arial"/>
          <w:sz w:val="18"/>
          <w:szCs w:val="18"/>
        </w:rPr>
        <w:t xml:space="preserve"> MW)</w:t>
      </w:r>
      <w:r>
        <w:rPr>
          <w:rFonts w:cs="Arial"/>
          <w:sz w:val="18"/>
          <w:szCs w:val="18"/>
        </w:rPr>
        <w:t xml:space="preserve"> to 11.7</w:t>
      </w:r>
      <w:r w:rsidR="00981108" w:rsidRPr="0076544B">
        <w:rPr>
          <w:rFonts w:cs="Arial"/>
          <w:sz w:val="18"/>
          <w:szCs w:val="18"/>
        </w:rPr>
        <w:t>%</w:t>
      </w:r>
      <w:r>
        <w:rPr>
          <w:rFonts w:cs="Arial"/>
          <w:sz w:val="18"/>
          <w:szCs w:val="18"/>
        </w:rPr>
        <w:t xml:space="preserve"> (33.7</w:t>
      </w:r>
      <w:r w:rsidR="008D4065" w:rsidRPr="0076544B">
        <w:rPr>
          <w:rFonts w:cs="Arial"/>
          <w:sz w:val="18"/>
          <w:szCs w:val="18"/>
        </w:rPr>
        <w:t xml:space="preserve"> MW) for individual event days</w:t>
      </w:r>
      <w:r w:rsidR="00981108" w:rsidRPr="0076544B">
        <w:rPr>
          <w:rFonts w:cs="Arial"/>
          <w:sz w:val="18"/>
          <w:szCs w:val="18"/>
        </w:rPr>
        <w:t xml:space="preserve">. </w:t>
      </w:r>
      <w:r w:rsidR="008D4065" w:rsidRPr="0076544B">
        <w:rPr>
          <w:rFonts w:cs="Arial"/>
          <w:sz w:val="18"/>
          <w:szCs w:val="18"/>
        </w:rPr>
        <w:t>Despite the differences</w:t>
      </w:r>
      <w:r w:rsidR="00981108" w:rsidRPr="0076544B">
        <w:rPr>
          <w:rFonts w:cs="Arial"/>
          <w:sz w:val="18"/>
          <w:szCs w:val="18"/>
        </w:rPr>
        <w:t xml:space="preserve">, </w:t>
      </w:r>
      <w:r w:rsidR="00476EBB" w:rsidRPr="0076544B">
        <w:rPr>
          <w:rFonts w:cs="Arial"/>
          <w:sz w:val="18"/>
          <w:szCs w:val="18"/>
        </w:rPr>
        <w:t>the average event day load impact</w:t>
      </w:r>
      <w:r w:rsidR="00045C5C" w:rsidRPr="0076544B">
        <w:rPr>
          <w:rFonts w:cs="Arial"/>
          <w:sz w:val="18"/>
          <w:szCs w:val="18"/>
        </w:rPr>
        <w:t xml:space="preserve"> is typically within the </w:t>
      </w:r>
      <w:r w:rsidR="00476EBB" w:rsidRPr="0076544B">
        <w:rPr>
          <w:rFonts w:cs="Arial"/>
          <w:sz w:val="18"/>
          <w:szCs w:val="18"/>
        </w:rPr>
        <w:t xml:space="preserve">coverage of the 90% </w:t>
      </w:r>
      <w:r w:rsidR="00045C5C" w:rsidRPr="0076544B">
        <w:rPr>
          <w:rFonts w:cs="Arial"/>
          <w:sz w:val="18"/>
          <w:szCs w:val="18"/>
        </w:rPr>
        <w:t xml:space="preserve">confidence interval </w:t>
      </w:r>
      <w:r w:rsidR="00476EBB" w:rsidRPr="0076544B">
        <w:rPr>
          <w:rFonts w:cs="Arial"/>
          <w:sz w:val="18"/>
          <w:szCs w:val="18"/>
        </w:rPr>
        <w:t>o</w:t>
      </w:r>
      <w:r w:rsidR="00045C5C" w:rsidRPr="0076544B">
        <w:rPr>
          <w:rFonts w:cs="Arial"/>
          <w:sz w:val="18"/>
          <w:szCs w:val="18"/>
        </w:rPr>
        <w:t>f the individual event</w:t>
      </w:r>
      <w:r w:rsidR="00476EBB" w:rsidRPr="0076544B">
        <w:rPr>
          <w:rFonts w:cs="Arial"/>
          <w:sz w:val="18"/>
          <w:szCs w:val="18"/>
        </w:rPr>
        <w:t xml:space="preserve"> load impacts</w:t>
      </w:r>
      <w:r w:rsidR="008D4065" w:rsidRPr="0076544B">
        <w:rPr>
          <w:rFonts w:cs="Arial"/>
          <w:sz w:val="18"/>
          <w:szCs w:val="18"/>
        </w:rPr>
        <w:t>. Figure 1 shows the percent demand reduction and 90% confidence bands for each event and the average event. The wide confidence bands</w:t>
      </w:r>
      <w:r w:rsidR="00981108" w:rsidRPr="0076544B">
        <w:rPr>
          <w:rFonts w:cs="Arial"/>
          <w:sz w:val="18"/>
          <w:szCs w:val="18"/>
        </w:rPr>
        <w:t xml:space="preserve"> reflect the challenge of detecting relatively small percentage changes in demand </w:t>
      </w:r>
      <w:r w:rsidR="008D4065" w:rsidRPr="0076544B">
        <w:rPr>
          <w:rFonts w:cs="Arial"/>
          <w:sz w:val="18"/>
          <w:szCs w:val="18"/>
        </w:rPr>
        <w:t>and distinguishing them</w:t>
      </w:r>
      <w:r w:rsidR="00981108" w:rsidRPr="0076544B">
        <w:rPr>
          <w:rFonts w:cs="Arial"/>
          <w:sz w:val="18"/>
          <w:szCs w:val="18"/>
        </w:rPr>
        <w:t xml:space="preserve"> from typical load variation.</w:t>
      </w:r>
    </w:p>
    <w:p w:rsidR="008D4065" w:rsidRPr="000D6DB2" w:rsidRDefault="00981108" w:rsidP="008D4065">
      <w:pPr>
        <w:keepNext/>
        <w:spacing w:before="0" w:after="0"/>
        <w:jc w:val="center"/>
        <w:rPr>
          <w:rFonts w:cs="Arial"/>
        </w:rPr>
      </w:pPr>
      <w:r w:rsidRPr="00981108">
        <w:rPr>
          <w:rFonts w:ascii="Verdana" w:hAnsi="Verdana"/>
          <w:sz w:val="18"/>
          <w:szCs w:val="18"/>
        </w:rPr>
        <w:t xml:space="preserve"> </w:t>
      </w:r>
      <w:r w:rsidR="008D4065" w:rsidRPr="000D6DB2">
        <w:rPr>
          <w:rFonts w:cs="Arial"/>
          <w:b/>
          <w:sz w:val="18"/>
          <w:szCs w:val="18"/>
        </w:rPr>
        <w:t>Figure 1</w:t>
      </w:r>
      <w:r w:rsidR="002414CA" w:rsidRPr="000D6DB2">
        <w:rPr>
          <w:rFonts w:cs="Arial"/>
          <w:b/>
          <w:sz w:val="18"/>
          <w:szCs w:val="18"/>
        </w:rPr>
        <w:t>: 2014</w:t>
      </w:r>
      <w:r w:rsidR="008D4065" w:rsidRPr="000D6DB2">
        <w:rPr>
          <w:rFonts w:cs="Arial"/>
          <w:b/>
          <w:sz w:val="18"/>
          <w:szCs w:val="18"/>
        </w:rPr>
        <w:t xml:space="preserve"> Estimated Percent Demand Reductions with Confidence Intervals</w:t>
      </w:r>
      <w:r w:rsidR="008D4065" w:rsidRPr="000D6DB2">
        <w:rPr>
          <w:rFonts w:cs="Arial"/>
        </w:rPr>
        <w:t xml:space="preserve"> </w:t>
      </w:r>
    </w:p>
    <w:p w:rsidR="00925D1F" w:rsidRDefault="004C6D20" w:rsidP="000D6DB2">
      <w:pPr>
        <w:spacing w:before="120" w:line="264" w:lineRule="auto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5B60AC6E" wp14:editId="26C3E176">
            <wp:extent cx="3200400" cy="1620032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2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1F" w:rsidRDefault="00925D1F" w:rsidP="00925D1F">
      <w:pPr>
        <w:rPr>
          <w:sz w:val="20"/>
          <w:szCs w:val="20"/>
        </w:rPr>
        <w:sectPr w:rsidR="00925D1F" w:rsidSect="007B690F">
          <w:headerReference w:type="default" r:id="rId10"/>
          <w:footerReference w:type="default" r:id="rId11"/>
          <w:type w:val="continuous"/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</w:p>
    <w:p w:rsidR="007B690F" w:rsidRDefault="007B690F" w:rsidP="007B690F">
      <w:pPr>
        <w:spacing w:before="0" w:after="120"/>
        <w:jc w:val="center"/>
        <w:rPr>
          <w:rFonts w:ascii="Verdana" w:hAnsi="Verdana"/>
          <w:b/>
          <w:sz w:val="18"/>
          <w:szCs w:val="18"/>
        </w:rPr>
      </w:pPr>
    </w:p>
    <w:p w:rsidR="007B690F" w:rsidRPr="000D6DB2" w:rsidRDefault="00E95C1E" w:rsidP="007B690F">
      <w:pPr>
        <w:spacing w:before="0" w:after="120"/>
        <w:jc w:val="center"/>
        <w:rPr>
          <w:rFonts w:cs="Arial"/>
          <w:b/>
          <w:sz w:val="18"/>
          <w:szCs w:val="18"/>
        </w:rPr>
      </w:pPr>
      <w:r w:rsidRPr="000D6DB2">
        <w:rPr>
          <w:rFonts w:cs="Arial"/>
          <w:b/>
          <w:sz w:val="18"/>
          <w:szCs w:val="18"/>
        </w:rPr>
        <w:t xml:space="preserve">Table </w:t>
      </w:r>
      <w:r w:rsidR="00C76744" w:rsidRPr="000D6DB2">
        <w:rPr>
          <w:rFonts w:cs="Arial"/>
          <w:b/>
          <w:sz w:val="18"/>
          <w:szCs w:val="18"/>
        </w:rPr>
        <w:t xml:space="preserve">1: Default </w:t>
      </w:r>
      <w:r w:rsidR="00085DC7" w:rsidRPr="000D6DB2">
        <w:rPr>
          <w:rFonts w:cs="Arial"/>
          <w:b/>
          <w:sz w:val="18"/>
          <w:szCs w:val="18"/>
        </w:rPr>
        <w:t>Peak Day Pricing</w:t>
      </w:r>
      <w:r w:rsidR="002743D0" w:rsidRPr="000D6DB2">
        <w:rPr>
          <w:rFonts w:cs="Arial"/>
          <w:b/>
          <w:sz w:val="18"/>
          <w:szCs w:val="18"/>
        </w:rPr>
        <w:t xml:space="preserve"> Average </w:t>
      </w:r>
      <w:r w:rsidR="00570FD0" w:rsidRPr="000D6DB2">
        <w:rPr>
          <w:rFonts w:cs="Arial"/>
          <w:b/>
          <w:sz w:val="18"/>
          <w:szCs w:val="18"/>
        </w:rPr>
        <w:t xml:space="preserve">Impacts for </w:t>
      </w:r>
      <w:r w:rsidR="002743D0" w:rsidRPr="000D6DB2">
        <w:rPr>
          <w:rFonts w:cs="Arial"/>
          <w:b/>
          <w:sz w:val="18"/>
          <w:szCs w:val="18"/>
        </w:rPr>
        <w:t>Event Period by Event Day</w:t>
      </w:r>
      <w:r w:rsidR="00C76744" w:rsidRPr="000D6DB2">
        <w:rPr>
          <w:rFonts w:cs="Arial"/>
          <w:b/>
          <w:sz w:val="18"/>
          <w:szCs w:val="18"/>
        </w:rPr>
        <w:t xml:space="preserve"> </w:t>
      </w:r>
    </w:p>
    <w:tbl>
      <w:tblPr>
        <w:tblW w:w="9240" w:type="dxa"/>
        <w:jc w:val="center"/>
        <w:tblInd w:w="93" w:type="dxa"/>
        <w:tblLook w:val="04A0" w:firstRow="1" w:lastRow="0" w:firstColumn="1" w:lastColumn="0" w:noHBand="0" w:noVBand="1"/>
      </w:tblPr>
      <w:tblGrid>
        <w:gridCol w:w="1106"/>
        <w:gridCol w:w="960"/>
        <w:gridCol w:w="1128"/>
        <w:gridCol w:w="1184"/>
        <w:gridCol w:w="1150"/>
        <w:gridCol w:w="960"/>
        <w:gridCol w:w="1206"/>
        <w:gridCol w:w="1194"/>
        <w:gridCol w:w="960"/>
      </w:tblGrid>
      <w:tr w:rsidR="00436AA1" w:rsidRPr="00436AA1" w:rsidTr="00436AA1">
        <w:trPr>
          <w:trHeight w:val="127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Event Date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Day of Week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Accounts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Avg. Customer Reference Load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Avg. Customer Load w/ DR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Impact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Aggregate Impact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% Reduction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70CD"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Avg. Temp.</w:t>
            </w:r>
          </w:p>
        </w:tc>
      </w:tr>
      <w:tr w:rsidR="00436AA1" w:rsidRPr="00436AA1" w:rsidTr="00436AA1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36AA1" w:rsidRPr="00436AA1" w:rsidRDefault="00436AA1" w:rsidP="00436AA1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36AA1" w:rsidRPr="00436AA1" w:rsidRDefault="00436AA1" w:rsidP="00436AA1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36AA1" w:rsidRPr="00436AA1" w:rsidRDefault="00436AA1" w:rsidP="00436AA1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70CD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(kW)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70CD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(kW)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70CD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(kW)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70CD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(MW)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70CD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D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FFFFFF"/>
                <w:spacing w:val="0"/>
                <w:sz w:val="20"/>
                <w:szCs w:val="20"/>
              </w:rPr>
              <w:t>°F</w:t>
            </w:r>
          </w:p>
        </w:tc>
      </w:tr>
      <w:tr w:rsidR="00436AA1" w:rsidRPr="00436AA1" w:rsidTr="00436A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2/7/2014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Fri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1,141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12.8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14.6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7.10%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60.4</w:t>
            </w:r>
          </w:p>
        </w:tc>
      </w:tr>
      <w:tr w:rsidR="00436AA1" w:rsidRPr="00436AA1" w:rsidTr="00436A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5/15/2014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1,142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24.3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8.80%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93.8</w:t>
            </w:r>
          </w:p>
        </w:tc>
      </w:tr>
      <w:tr w:rsidR="00436AA1" w:rsidRPr="00436AA1" w:rsidTr="00436A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7/31/2014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252.6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29.5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33.7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11.70%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79.9</w:t>
            </w:r>
          </w:p>
        </w:tc>
      </w:tr>
      <w:tr w:rsidR="00436AA1" w:rsidRPr="00436AA1" w:rsidTr="00436A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9/15/2014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282.1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26.3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8.20%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87.2</w:t>
            </w:r>
          </w:p>
        </w:tc>
      </w:tr>
      <w:tr w:rsidR="00436AA1" w:rsidRPr="00436AA1" w:rsidTr="00436A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9/16/2014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Tue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1,142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22.4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7.80%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91.3</w:t>
            </w:r>
          </w:p>
        </w:tc>
      </w:tr>
      <w:tr w:rsidR="00436AA1" w:rsidRPr="00436AA1" w:rsidTr="00436A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9/17/2014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Wed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1,141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24.6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28.1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8.70%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color w:val="000000"/>
                <w:spacing w:val="0"/>
                <w:sz w:val="20"/>
                <w:szCs w:val="20"/>
              </w:rPr>
              <w:t>83.7</w:t>
            </w:r>
          </w:p>
        </w:tc>
      </w:tr>
      <w:tr w:rsidR="00436AA1" w:rsidRPr="00436AA1" w:rsidTr="00436AA1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  <w:t>Avg. Event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  <w:t>1,142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  <w:t>254.4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  <w:t>232.2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  <w:t>22.3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  <w:t>25.4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  <w:t>8.80%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A1" w:rsidRPr="00436AA1" w:rsidRDefault="00436AA1" w:rsidP="00436AA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436AA1">
              <w:rPr>
                <w:rFonts w:cs="Arial"/>
                <w:b/>
                <w:bCs/>
                <w:color w:val="000000"/>
                <w:spacing w:val="0"/>
                <w:sz w:val="20"/>
                <w:szCs w:val="20"/>
              </w:rPr>
              <w:t>82.7</w:t>
            </w:r>
          </w:p>
        </w:tc>
      </w:tr>
    </w:tbl>
    <w:p w:rsidR="007B690F" w:rsidRDefault="007B690F" w:rsidP="007B690F">
      <w:pPr>
        <w:spacing w:before="0" w:after="120"/>
        <w:rPr>
          <w:sz w:val="20"/>
          <w:szCs w:val="20"/>
        </w:rPr>
        <w:sectPr w:rsidR="007B690F" w:rsidSect="002743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544B" w:rsidRDefault="0076544B" w:rsidP="0076544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br w:type="page"/>
      </w:r>
    </w:p>
    <w:p w:rsidR="0084405D" w:rsidRPr="0076544B" w:rsidRDefault="0084405D" w:rsidP="0084405D">
      <w:pPr>
        <w:rPr>
          <w:rStyle w:val="Strong"/>
          <w:rFonts w:cs="Arial"/>
        </w:rPr>
      </w:pPr>
      <w:r w:rsidRPr="0076544B">
        <w:rPr>
          <w:rStyle w:val="Strong"/>
          <w:rFonts w:cs="Arial"/>
        </w:rPr>
        <w:lastRenderedPageBreak/>
        <w:t>Other Key Findings in 201</w:t>
      </w:r>
      <w:r w:rsidR="009A365F">
        <w:rPr>
          <w:rStyle w:val="Strong"/>
          <w:rFonts w:cs="Arial"/>
        </w:rPr>
        <w:t>4</w:t>
      </w:r>
    </w:p>
    <w:p w:rsidR="00866B4E" w:rsidRDefault="00DA7909" w:rsidP="0084405D">
      <w:pPr>
        <w:numPr>
          <w:ilvl w:val="0"/>
          <w:numId w:val="5"/>
        </w:numPr>
        <w:tabs>
          <w:tab w:val="left" w:pos="180"/>
          <w:tab w:val="left" w:pos="630"/>
        </w:tabs>
        <w:ind w:left="180" w:hanging="180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SDG&amp;E called more events in 2014 than in 2013. </w:t>
      </w:r>
      <w:r>
        <w:rPr>
          <w:rFonts w:cs="Arial"/>
          <w:sz w:val="18"/>
          <w:szCs w:val="18"/>
        </w:rPr>
        <w:t>Six events were called in 2014 versus four in 2013. One of the events in 2014 was called in February.</w:t>
      </w:r>
    </w:p>
    <w:p w:rsidR="008A0B8A" w:rsidRPr="0076544B" w:rsidRDefault="008A0B8A" w:rsidP="0084405D">
      <w:pPr>
        <w:numPr>
          <w:ilvl w:val="0"/>
          <w:numId w:val="5"/>
        </w:numPr>
        <w:tabs>
          <w:tab w:val="left" w:pos="180"/>
          <w:tab w:val="left" w:pos="630"/>
        </w:tabs>
        <w:ind w:left="180" w:hanging="180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The differences between individual event day results and average event day results are not statistically significant.</w:t>
      </w:r>
      <w:r>
        <w:rPr>
          <w:rFonts w:cs="Arial"/>
          <w:sz w:val="18"/>
          <w:szCs w:val="18"/>
        </w:rPr>
        <w:t xml:space="preserve"> As with other utility results, day-to-day performance can vary, but most of the variation is explained by statistical uncertainty.</w:t>
      </w:r>
    </w:p>
    <w:p w:rsidR="0084405D" w:rsidRPr="0076544B" w:rsidRDefault="0084405D" w:rsidP="0076544B">
      <w:pPr>
        <w:numPr>
          <w:ilvl w:val="0"/>
          <w:numId w:val="5"/>
        </w:numPr>
        <w:tabs>
          <w:tab w:val="left" w:pos="180"/>
          <w:tab w:val="left" w:pos="630"/>
        </w:tabs>
        <w:ind w:left="180" w:hanging="180"/>
        <w:jc w:val="both"/>
        <w:rPr>
          <w:rFonts w:cs="Arial"/>
          <w:sz w:val="18"/>
          <w:szCs w:val="18"/>
        </w:rPr>
      </w:pPr>
      <w:r w:rsidRPr="0076544B">
        <w:rPr>
          <w:rFonts w:cs="Arial"/>
          <w:i/>
          <w:sz w:val="18"/>
          <w:szCs w:val="18"/>
        </w:rPr>
        <w:t>Demand reductions are concentrated in specific ind</w:t>
      </w:r>
      <w:r w:rsidR="00DA7909">
        <w:rPr>
          <w:rFonts w:cs="Arial"/>
          <w:i/>
          <w:sz w:val="18"/>
          <w:szCs w:val="18"/>
        </w:rPr>
        <w:t xml:space="preserve">ustry segments – Wholesale, </w:t>
      </w:r>
      <w:r w:rsidRPr="0076544B">
        <w:rPr>
          <w:rFonts w:cs="Arial"/>
          <w:i/>
          <w:sz w:val="18"/>
          <w:szCs w:val="18"/>
        </w:rPr>
        <w:t>Transport</w:t>
      </w:r>
      <w:r w:rsidR="00DA7909">
        <w:rPr>
          <w:rFonts w:cs="Arial"/>
          <w:i/>
          <w:sz w:val="18"/>
          <w:szCs w:val="18"/>
        </w:rPr>
        <w:t xml:space="preserve"> &amp; Other Utilities</w:t>
      </w:r>
      <w:r w:rsidRPr="0076544B">
        <w:rPr>
          <w:rFonts w:cs="Arial"/>
          <w:i/>
          <w:sz w:val="18"/>
          <w:szCs w:val="18"/>
        </w:rPr>
        <w:t xml:space="preserve"> and </w:t>
      </w:r>
      <w:r w:rsidR="00DA7909">
        <w:rPr>
          <w:rFonts w:cs="Arial"/>
          <w:i/>
          <w:sz w:val="18"/>
          <w:szCs w:val="18"/>
        </w:rPr>
        <w:t>Institutional/Government</w:t>
      </w:r>
      <w:r w:rsidRPr="0076544B">
        <w:rPr>
          <w:rFonts w:cs="Arial"/>
          <w:sz w:val="18"/>
          <w:szCs w:val="18"/>
        </w:rPr>
        <w:t xml:space="preserve">. For </w:t>
      </w:r>
      <w:r w:rsidR="00DA7909">
        <w:rPr>
          <w:rFonts w:cs="Arial"/>
          <w:sz w:val="18"/>
          <w:szCs w:val="18"/>
        </w:rPr>
        <w:t>SD</w:t>
      </w:r>
      <w:r w:rsidR="008A0B8A">
        <w:rPr>
          <w:rFonts w:cs="Arial"/>
          <w:sz w:val="18"/>
          <w:szCs w:val="18"/>
        </w:rPr>
        <w:t xml:space="preserve">G&amp;E, these </w:t>
      </w:r>
      <w:r w:rsidR="008A0B8A" w:rsidRPr="008A0B8A">
        <w:rPr>
          <w:sz w:val="18"/>
          <w:szCs w:val="18"/>
        </w:rPr>
        <w:t>customers make up 25% of program enrollment and 19.8% of program reference load, but account for 55.7% of the estimated demand reductions.  On a percentage basis, the highest-performing industry was agriculture, mining and construction, with average load reductions of 34.6%; however, there is still a large amount of uncertainty in the estimate as the sector is comprised of only 15 customers.  These customers accounted for just 1% of both program enrollment and reference load.</w:t>
      </w:r>
    </w:p>
    <w:p w:rsidR="0084405D" w:rsidRPr="0076544B" w:rsidRDefault="0084405D" w:rsidP="002E71AD">
      <w:pPr>
        <w:jc w:val="center"/>
        <w:rPr>
          <w:rFonts w:cs="Arial"/>
          <w:b/>
          <w:sz w:val="18"/>
          <w:szCs w:val="18"/>
        </w:rPr>
      </w:pPr>
      <w:r w:rsidRPr="0076544B">
        <w:rPr>
          <w:rFonts w:cs="Arial"/>
          <w:b/>
          <w:sz w:val="18"/>
          <w:szCs w:val="18"/>
        </w:rPr>
        <w:t xml:space="preserve">Figure 2: Distribution of Program Accounts, Load and Demand Reductions </w:t>
      </w:r>
      <w:proofErr w:type="gramStart"/>
      <w:r w:rsidRPr="0076544B">
        <w:rPr>
          <w:rFonts w:cs="Arial"/>
          <w:b/>
          <w:sz w:val="18"/>
          <w:szCs w:val="18"/>
        </w:rPr>
        <w:t>Across</w:t>
      </w:r>
      <w:proofErr w:type="gramEnd"/>
      <w:r w:rsidRPr="0076544B">
        <w:rPr>
          <w:rFonts w:cs="Arial"/>
          <w:b/>
          <w:sz w:val="18"/>
          <w:szCs w:val="18"/>
        </w:rPr>
        <w:t xml:space="preserve"> Industries</w:t>
      </w:r>
    </w:p>
    <w:p w:rsidR="008D4065" w:rsidRPr="008A0B8A" w:rsidRDefault="00DA7909" w:rsidP="008A0B8A">
      <w:pPr>
        <w:rPr>
          <w:rStyle w:val="Strong"/>
          <w:rFonts w:cs="Arial"/>
          <w:b w:val="0"/>
          <w:bCs w:val="0"/>
          <w:sz w:val="18"/>
          <w:szCs w:val="18"/>
        </w:rPr>
      </w:pPr>
      <w:r>
        <w:rPr>
          <w:noProof/>
        </w:rPr>
        <w:drawing>
          <wp:inline distT="0" distB="0" distL="0" distR="0" wp14:anchorId="0406E47F" wp14:editId="17789310">
            <wp:extent cx="3200400" cy="2045384"/>
            <wp:effectExtent l="0" t="0" r="0" b="0"/>
            <wp:docPr id="2065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544B">
        <w:rPr>
          <w:rStyle w:val="Strong"/>
          <w:rFonts w:cs="Arial"/>
        </w:rPr>
        <w:br w:type="column"/>
      </w:r>
      <w:r w:rsidR="008D4065" w:rsidRPr="0076544B">
        <w:rPr>
          <w:rStyle w:val="Strong"/>
          <w:rFonts w:cs="Arial"/>
        </w:rPr>
        <w:lastRenderedPageBreak/>
        <w:t>Project</w:t>
      </w:r>
      <w:r w:rsidR="0084405D" w:rsidRPr="0076544B">
        <w:rPr>
          <w:rStyle w:val="Strong"/>
          <w:rFonts w:cs="Arial"/>
        </w:rPr>
        <w:t>ed</w:t>
      </w:r>
      <w:r w:rsidR="008D4065" w:rsidRPr="0076544B">
        <w:rPr>
          <w:rStyle w:val="Strong"/>
          <w:rFonts w:cs="Arial"/>
        </w:rPr>
        <w:t xml:space="preserve"> </w:t>
      </w:r>
      <w:r w:rsidR="0084405D" w:rsidRPr="0076544B">
        <w:rPr>
          <w:rStyle w:val="Strong"/>
          <w:rFonts w:cs="Arial"/>
        </w:rPr>
        <w:t xml:space="preserve">Load Reduction Capability </w:t>
      </w:r>
      <w:r w:rsidR="00CC63C8">
        <w:rPr>
          <w:rStyle w:val="Strong"/>
          <w:rFonts w:cs="Arial"/>
        </w:rPr>
        <w:br/>
      </w:r>
      <w:r w:rsidR="0084405D" w:rsidRPr="0076544B">
        <w:rPr>
          <w:rStyle w:val="Strong"/>
          <w:rFonts w:cs="Arial"/>
        </w:rPr>
        <w:t>(Ex A</w:t>
      </w:r>
      <w:r w:rsidR="008D4065" w:rsidRPr="0076544B">
        <w:rPr>
          <w:rStyle w:val="Strong"/>
          <w:rFonts w:cs="Arial"/>
        </w:rPr>
        <w:t xml:space="preserve">nte </w:t>
      </w:r>
      <w:r w:rsidR="0084405D" w:rsidRPr="0076544B">
        <w:rPr>
          <w:rStyle w:val="Strong"/>
          <w:rFonts w:cs="Arial"/>
        </w:rPr>
        <w:t xml:space="preserve">Load </w:t>
      </w:r>
      <w:r w:rsidR="008D4065" w:rsidRPr="0076544B">
        <w:rPr>
          <w:rStyle w:val="Strong"/>
          <w:rFonts w:cs="Arial"/>
        </w:rPr>
        <w:t>Impacts)</w:t>
      </w:r>
    </w:p>
    <w:p w:rsidR="000D6DB2" w:rsidRPr="0076544B" w:rsidRDefault="008D4065" w:rsidP="000D6DB2">
      <w:pPr>
        <w:tabs>
          <w:tab w:val="left" w:pos="180"/>
          <w:tab w:val="left" w:pos="630"/>
        </w:tabs>
        <w:spacing w:before="120" w:after="120"/>
        <w:jc w:val="both"/>
        <w:rPr>
          <w:rFonts w:cs="Arial"/>
          <w:sz w:val="18"/>
          <w:szCs w:val="18"/>
        </w:rPr>
      </w:pPr>
      <w:r w:rsidRPr="0076544B">
        <w:rPr>
          <w:rFonts w:cs="Arial"/>
          <w:sz w:val="18"/>
          <w:szCs w:val="18"/>
        </w:rPr>
        <w:t xml:space="preserve">Ex ante load impacts describe the demand reduction capability </w:t>
      </w:r>
      <w:r w:rsidR="00B9434C" w:rsidRPr="0076544B">
        <w:rPr>
          <w:rFonts w:cs="Arial"/>
          <w:sz w:val="18"/>
          <w:szCs w:val="18"/>
        </w:rPr>
        <w:t xml:space="preserve">of a demand response resource </w:t>
      </w:r>
      <w:r w:rsidRPr="0076544B">
        <w:rPr>
          <w:rFonts w:cs="Arial"/>
          <w:sz w:val="18"/>
          <w:szCs w:val="18"/>
        </w:rPr>
        <w:t>under a standard set of 1-in-2 and 1-in-10 weather year conditions, assuming</w:t>
      </w:r>
      <w:r w:rsidR="000D6DB2">
        <w:rPr>
          <w:rFonts w:cs="Arial"/>
          <w:sz w:val="18"/>
          <w:szCs w:val="18"/>
        </w:rPr>
        <w:t xml:space="preserve"> all resources are dispatched. </w:t>
      </w:r>
      <w:r w:rsidR="000D6DB2" w:rsidRPr="0076544B">
        <w:rPr>
          <w:rFonts w:cs="Arial"/>
          <w:sz w:val="18"/>
          <w:szCs w:val="18"/>
        </w:rPr>
        <w:t>Ex ante load impacts for large customer</w:t>
      </w:r>
      <w:r w:rsidR="00BC0CB4">
        <w:rPr>
          <w:rFonts w:cs="Arial"/>
          <w:sz w:val="18"/>
          <w:szCs w:val="18"/>
        </w:rPr>
        <w:t>s are expected to grow from 25.2</w:t>
      </w:r>
      <w:r w:rsidR="000D6DB2" w:rsidRPr="0076544B">
        <w:rPr>
          <w:rFonts w:cs="Arial"/>
          <w:sz w:val="18"/>
          <w:szCs w:val="18"/>
        </w:rPr>
        <w:t xml:space="preserve"> MW in 2015 to </w:t>
      </w:r>
      <w:r w:rsidR="00BC0CB4">
        <w:rPr>
          <w:rFonts w:cs="Arial"/>
          <w:sz w:val="18"/>
          <w:szCs w:val="18"/>
        </w:rPr>
        <w:t>27.9 MW in 2025 under 1-in-2 year SDG&amp;E weather due to growth in the number of large customers</w:t>
      </w:r>
      <w:r w:rsidR="005646BD">
        <w:rPr>
          <w:rFonts w:cs="Arial"/>
          <w:sz w:val="18"/>
          <w:szCs w:val="18"/>
        </w:rPr>
        <w:t xml:space="preserve">. </w:t>
      </w:r>
      <w:r w:rsidR="005646BD" w:rsidRPr="0076544B">
        <w:rPr>
          <w:rFonts w:cs="Arial"/>
          <w:sz w:val="18"/>
          <w:szCs w:val="18"/>
        </w:rPr>
        <w:t>Ex ante load impacts for large customers are based on percent load reductions f</w:t>
      </w:r>
      <w:r w:rsidR="00BC0CB4">
        <w:rPr>
          <w:rFonts w:cs="Arial"/>
          <w:sz w:val="18"/>
          <w:szCs w:val="18"/>
        </w:rPr>
        <w:t>rom historical 2013 and 2014 CPP</w:t>
      </w:r>
      <w:r w:rsidR="005646BD" w:rsidRPr="0076544B">
        <w:rPr>
          <w:rFonts w:cs="Arial"/>
          <w:sz w:val="18"/>
          <w:szCs w:val="18"/>
        </w:rPr>
        <w:t xml:space="preserve"> events and assume that future percent load reductions will be similar to those experienced historically. </w:t>
      </w:r>
    </w:p>
    <w:p w:rsidR="008D4065" w:rsidRPr="0076544B" w:rsidRDefault="00BC0CB4" w:rsidP="0076544B">
      <w:pPr>
        <w:tabs>
          <w:tab w:val="left" w:pos="180"/>
          <w:tab w:val="left" w:pos="630"/>
        </w:tabs>
        <w:spacing w:before="120"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Medium</w:t>
      </w:r>
      <w:r w:rsidR="004E6D16" w:rsidRPr="0076544B">
        <w:rPr>
          <w:rFonts w:cs="Arial"/>
          <w:sz w:val="18"/>
          <w:szCs w:val="18"/>
        </w:rPr>
        <w:t xml:space="preserve"> </w:t>
      </w:r>
      <w:r w:rsidR="0084405D" w:rsidRPr="0076544B">
        <w:rPr>
          <w:rFonts w:cs="Arial"/>
          <w:sz w:val="18"/>
          <w:szCs w:val="18"/>
        </w:rPr>
        <w:t xml:space="preserve">non-residential </w:t>
      </w:r>
      <w:r w:rsidR="005646BD">
        <w:rPr>
          <w:rFonts w:cs="Arial"/>
          <w:sz w:val="18"/>
          <w:szCs w:val="18"/>
        </w:rPr>
        <w:t xml:space="preserve">customers </w:t>
      </w:r>
      <w:r>
        <w:rPr>
          <w:rFonts w:cs="Arial"/>
          <w:sz w:val="18"/>
          <w:szCs w:val="18"/>
        </w:rPr>
        <w:t>will be defaulted onto CPP in March 2016</w:t>
      </w:r>
      <w:r w:rsidR="004E6D16" w:rsidRPr="0076544B">
        <w:rPr>
          <w:rFonts w:cs="Arial"/>
          <w:sz w:val="18"/>
          <w:szCs w:val="18"/>
        </w:rPr>
        <w:t>.</w:t>
      </w:r>
      <w:r w:rsidR="001E37E0" w:rsidRPr="0076544B">
        <w:rPr>
          <w:rFonts w:cs="Arial"/>
          <w:sz w:val="18"/>
          <w:szCs w:val="18"/>
        </w:rPr>
        <w:t xml:space="preserve"> </w:t>
      </w:r>
      <w:r w:rsidR="004E6D16" w:rsidRPr="0076544B">
        <w:rPr>
          <w:rFonts w:cs="Arial"/>
          <w:sz w:val="18"/>
          <w:szCs w:val="18"/>
        </w:rPr>
        <w:t>Table 2 summarizes the forecasted enrollment and demand reductions for 1-in-2</w:t>
      </w:r>
      <w:r w:rsidR="00892237" w:rsidRPr="0076544B">
        <w:rPr>
          <w:rFonts w:cs="Arial"/>
          <w:sz w:val="18"/>
          <w:szCs w:val="18"/>
        </w:rPr>
        <w:t xml:space="preserve"> and 1-in-10</w:t>
      </w:r>
      <w:r w:rsidR="004E6D16" w:rsidRPr="0076544B">
        <w:rPr>
          <w:rFonts w:cs="Arial"/>
          <w:sz w:val="18"/>
          <w:szCs w:val="18"/>
        </w:rPr>
        <w:t xml:space="preserve"> p</w:t>
      </w:r>
      <w:r w:rsidR="00892237" w:rsidRPr="0076544B">
        <w:rPr>
          <w:rFonts w:cs="Arial"/>
          <w:sz w:val="18"/>
          <w:szCs w:val="18"/>
        </w:rPr>
        <w:t xml:space="preserve">eaking conditions for large as well as medium </w:t>
      </w:r>
      <w:r w:rsidR="004E6D16" w:rsidRPr="0076544B">
        <w:rPr>
          <w:rFonts w:cs="Arial"/>
          <w:sz w:val="18"/>
          <w:szCs w:val="18"/>
        </w:rPr>
        <w:t>accounts</w:t>
      </w:r>
      <w:r w:rsidR="00756383">
        <w:rPr>
          <w:rFonts w:cs="Arial"/>
          <w:sz w:val="18"/>
          <w:szCs w:val="18"/>
        </w:rPr>
        <w:t xml:space="preserve"> for both CAISO and SD</w:t>
      </w:r>
      <w:r w:rsidR="00A832F4" w:rsidRPr="0076544B">
        <w:rPr>
          <w:rFonts w:cs="Arial"/>
          <w:sz w:val="18"/>
          <w:szCs w:val="18"/>
        </w:rPr>
        <w:t>G&amp;E specific weather scenarios</w:t>
      </w:r>
      <w:r w:rsidR="004E6D16" w:rsidRPr="0076544B">
        <w:rPr>
          <w:rFonts w:cs="Arial"/>
          <w:sz w:val="18"/>
          <w:szCs w:val="18"/>
        </w:rPr>
        <w:t>.</w:t>
      </w:r>
      <w:r w:rsidR="005646BD">
        <w:rPr>
          <w:rFonts w:cs="Arial"/>
          <w:sz w:val="18"/>
          <w:szCs w:val="18"/>
        </w:rPr>
        <w:t xml:space="preserve"> </w:t>
      </w:r>
      <w:r w:rsidR="005646BD" w:rsidRPr="0076544B">
        <w:rPr>
          <w:rFonts w:cs="Arial"/>
          <w:sz w:val="18"/>
          <w:szCs w:val="18"/>
        </w:rPr>
        <w:t>Ex ante load impacts for</w:t>
      </w:r>
      <w:r w:rsidR="005646BD">
        <w:rPr>
          <w:rFonts w:cs="Arial"/>
          <w:sz w:val="18"/>
          <w:szCs w:val="18"/>
        </w:rPr>
        <w:t xml:space="preserve"> medium</w:t>
      </w:r>
      <w:r w:rsidR="005646BD" w:rsidRPr="0076544B">
        <w:rPr>
          <w:rFonts w:cs="Arial"/>
          <w:sz w:val="18"/>
          <w:szCs w:val="18"/>
        </w:rPr>
        <w:t xml:space="preserve"> customers are expected to grow from </w:t>
      </w:r>
      <w:r w:rsidR="00756383">
        <w:rPr>
          <w:rFonts w:cs="Arial"/>
          <w:sz w:val="18"/>
          <w:szCs w:val="18"/>
        </w:rPr>
        <w:t>8.4 MW in 2016</w:t>
      </w:r>
      <w:r w:rsidR="005646BD" w:rsidRPr="0076544B">
        <w:rPr>
          <w:rFonts w:cs="Arial"/>
          <w:sz w:val="18"/>
          <w:szCs w:val="18"/>
        </w:rPr>
        <w:t xml:space="preserve"> to </w:t>
      </w:r>
      <w:r w:rsidR="00756383">
        <w:rPr>
          <w:rFonts w:cs="Arial"/>
          <w:sz w:val="18"/>
          <w:szCs w:val="18"/>
        </w:rPr>
        <w:t>10.4 MW in 2025 under 1-in-2 year SD</w:t>
      </w:r>
      <w:r w:rsidR="005646BD" w:rsidRPr="0076544B">
        <w:rPr>
          <w:rFonts w:cs="Arial"/>
          <w:sz w:val="18"/>
          <w:szCs w:val="18"/>
        </w:rPr>
        <w:t>G&amp;E weather</w:t>
      </w:r>
      <w:r w:rsidR="005646BD">
        <w:rPr>
          <w:rFonts w:cs="Arial"/>
          <w:sz w:val="18"/>
          <w:szCs w:val="18"/>
        </w:rPr>
        <w:t xml:space="preserve">. </w:t>
      </w:r>
      <w:proofErr w:type="gramStart"/>
      <w:r w:rsidR="00756383">
        <w:rPr>
          <w:rFonts w:cs="Arial"/>
          <w:sz w:val="18"/>
          <w:szCs w:val="18"/>
        </w:rPr>
        <w:t>Default CPP</w:t>
      </w:r>
      <w:r w:rsidR="005646BD" w:rsidRPr="0076544B">
        <w:rPr>
          <w:rFonts w:cs="Arial"/>
          <w:sz w:val="18"/>
          <w:szCs w:val="18"/>
        </w:rPr>
        <w:t xml:space="preserve"> ex ante load impacts for medium non-residential customers are</w:t>
      </w:r>
      <w:proofErr w:type="gramEnd"/>
      <w:r w:rsidR="005646BD" w:rsidRPr="0076544B">
        <w:rPr>
          <w:rFonts w:cs="Arial"/>
          <w:sz w:val="18"/>
          <w:szCs w:val="18"/>
        </w:rPr>
        <w:t xml:space="preserve"> highly uncertain. There is very limited empirical data about how many med</w:t>
      </w:r>
      <w:r w:rsidR="00756383">
        <w:rPr>
          <w:rFonts w:cs="Arial"/>
          <w:sz w:val="18"/>
          <w:szCs w:val="18"/>
        </w:rPr>
        <w:t>ium customers will remain on CPP</w:t>
      </w:r>
      <w:r w:rsidR="005646BD" w:rsidRPr="0076544B">
        <w:rPr>
          <w:rFonts w:cs="Arial"/>
          <w:sz w:val="18"/>
          <w:szCs w:val="18"/>
        </w:rPr>
        <w:t xml:space="preserve"> or about the magnitude of demand reductions they will deliver.</w:t>
      </w:r>
      <w:r w:rsidR="003A5CBC" w:rsidRPr="0076544B">
        <w:rPr>
          <w:rFonts w:cs="Arial"/>
          <w:sz w:val="18"/>
          <w:szCs w:val="18"/>
        </w:rPr>
        <w:t xml:space="preserve"> </w:t>
      </w:r>
      <w:r w:rsidR="00A832F4" w:rsidRPr="0076544B">
        <w:rPr>
          <w:rFonts w:cs="Arial"/>
          <w:sz w:val="18"/>
          <w:szCs w:val="18"/>
        </w:rPr>
        <w:t>For medium customers, modest percent reductions are assumed, as no empirical evidence is available on defaulted SMB impacts.</w:t>
      </w:r>
    </w:p>
    <w:p w:rsidR="00A33692" w:rsidRPr="0076544B" w:rsidRDefault="00476EBB" w:rsidP="000D6DB2">
      <w:pPr>
        <w:tabs>
          <w:tab w:val="left" w:pos="180"/>
          <w:tab w:val="left" w:pos="630"/>
        </w:tabs>
        <w:spacing w:before="120" w:after="120"/>
        <w:jc w:val="center"/>
        <w:rPr>
          <w:rFonts w:cs="Arial"/>
          <w:b/>
          <w:sz w:val="18"/>
          <w:szCs w:val="18"/>
        </w:rPr>
      </w:pPr>
      <w:r w:rsidRPr="0076544B">
        <w:rPr>
          <w:rFonts w:cs="Arial"/>
          <w:b/>
          <w:sz w:val="18"/>
          <w:szCs w:val="18"/>
        </w:rPr>
        <w:t>Table 2: Ex A</w:t>
      </w:r>
      <w:r w:rsidR="004E6D16" w:rsidRPr="0076544B">
        <w:rPr>
          <w:rFonts w:cs="Arial"/>
          <w:b/>
          <w:sz w:val="18"/>
          <w:szCs w:val="18"/>
        </w:rPr>
        <w:t>nte Impacts and Enrollments fo</w:t>
      </w:r>
      <w:r w:rsidR="00CC63C8">
        <w:rPr>
          <w:rFonts w:cs="Arial"/>
          <w:b/>
          <w:sz w:val="18"/>
          <w:szCs w:val="18"/>
        </w:rPr>
        <w:t>r</w:t>
      </w:r>
      <w:r w:rsidR="004E6D16" w:rsidRPr="0076544B">
        <w:rPr>
          <w:rFonts w:cs="Arial"/>
          <w:b/>
          <w:sz w:val="18"/>
          <w:szCs w:val="18"/>
        </w:rPr>
        <w:t xml:space="preserve"> 1-in-2</w:t>
      </w:r>
      <w:r w:rsidR="00180283">
        <w:rPr>
          <w:rFonts w:cs="Arial"/>
          <w:b/>
          <w:sz w:val="18"/>
          <w:szCs w:val="18"/>
        </w:rPr>
        <w:t xml:space="preserve"> and 1-in-10 Year</w:t>
      </w:r>
      <w:r w:rsidR="004E6D16" w:rsidRPr="0076544B">
        <w:rPr>
          <w:rFonts w:cs="Arial"/>
          <w:b/>
          <w:sz w:val="18"/>
          <w:szCs w:val="18"/>
        </w:rPr>
        <w:t xml:space="preserve"> </w:t>
      </w:r>
      <w:r w:rsidR="00CC63C8">
        <w:rPr>
          <w:rFonts w:cs="Arial"/>
          <w:b/>
          <w:sz w:val="18"/>
          <w:szCs w:val="18"/>
        </w:rPr>
        <w:br/>
      </w:r>
      <w:r w:rsidR="004E6D16" w:rsidRPr="0076544B">
        <w:rPr>
          <w:rFonts w:cs="Arial"/>
          <w:b/>
          <w:sz w:val="18"/>
          <w:szCs w:val="18"/>
        </w:rPr>
        <w:t>August Monthly Peak</w:t>
      </w: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892"/>
        <w:gridCol w:w="848"/>
        <w:gridCol w:w="572"/>
        <w:gridCol w:w="857"/>
        <w:gridCol w:w="732"/>
        <w:gridCol w:w="857"/>
        <w:gridCol w:w="732"/>
      </w:tblGrid>
      <w:tr w:rsidR="00A33692" w:rsidRPr="00A33692" w:rsidTr="00A33692">
        <w:trPr>
          <w:trHeight w:val="47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Weather Scenario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Weather Year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Year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Enrolled Accts.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proofErr w:type="spellStart"/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Agg</w:t>
            </w:r>
            <w:proofErr w:type="spellEnd"/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. Load Impact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Enrolled Accts.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proofErr w:type="spellStart"/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Agg</w:t>
            </w:r>
            <w:proofErr w:type="spellEnd"/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. Load Impact</w:t>
            </w:r>
          </w:p>
        </w:tc>
      </w:tr>
      <w:tr w:rsidR="00A33692" w:rsidRPr="00A33692" w:rsidTr="00A33692">
        <w:trPr>
          <w:trHeight w:val="5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(MW  1</w:t>
            </w:r>
            <w:r w:rsidR="00BC0CB4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1 AM</w:t>
            </w: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-6 PM)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(MW  1</w:t>
            </w:r>
            <w:r w:rsidR="00BC0CB4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1 AM</w:t>
            </w: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-6 PM)</w:t>
            </w:r>
          </w:p>
        </w:tc>
      </w:tr>
      <w:tr w:rsidR="00A33692" w:rsidRPr="00A33692" w:rsidTr="00756383">
        <w:trPr>
          <w:trHeight w:val="22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Large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D0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</w:rPr>
              <w:t>Medium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SDG&amp;E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1-in-10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-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9.0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9.2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7,704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10.0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30.4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8,577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11.1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1-in-2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-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8.4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8.7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7,704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9.4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8,577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10.4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CAISO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1-in-10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-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8.7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9.0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7,704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9.7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8,577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10.8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1-in-2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-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8.6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8.9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7,704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9.6</w:t>
            </w:r>
          </w:p>
        </w:tc>
      </w:tr>
      <w:tr w:rsidR="00A33692" w:rsidRPr="00A33692" w:rsidTr="00A33692">
        <w:trPr>
          <w:trHeight w:val="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92" w:rsidRPr="00A33692" w:rsidRDefault="00A33692" w:rsidP="00A33692">
            <w:pPr>
              <w:spacing w:before="0" w:after="0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1,405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28.6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8,577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92" w:rsidRPr="00A33692" w:rsidRDefault="00A33692" w:rsidP="00A33692">
            <w:pPr>
              <w:spacing w:before="0" w:after="0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A33692">
              <w:rPr>
                <w:rFonts w:cs="Arial"/>
                <w:color w:val="000000"/>
                <w:spacing w:val="0"/>
                <w:sz w:val="16"/>
                <w:szCs w:val="16"/>
              </w:rPr>
              <w:t>10.7</w:t>
            </w:r>
          </w:p>
        </w:tc>
      </w:tr>
    </w:tbl>
    <w:p w:rsidR="00647D58" w:rsidRPr="0076544B" w:rsidRDefault="00647D58" w:rsidP="000D6DB2">
      <w:pPr>
        <w:tabs>
          <w:tab w:val="left" w:pos="180"/>
          <w:tab w:val="left" w:pos="630"/>
        </w:tabs>
        <w:spacing w:before="120" w:after="120"/>
        <w:jc w:val="center"/>
        <w:rPr>
          <w:rFonts w:cs="Arial"/>
          <w:b/>
          <w:sz w:val="18"/>
          <w:szCs w:val="18"/>
        </w:rPr>
      </w:pPr>
    </w:p>
    <w:p w:rsidR="004E6D16" w:rsidRPr="0076544B" w:rsidRDefault="004E6D16" w:rsidP="000D6DB2">
      <w:pPr>
        <w:tabs>
          <w:tab w:val="left" w:pos="180"/>
          <w:tab w:val="left" w:pos="630"/>
        </w:tabs>
        <w:spacing w:before="120" w:after="120"/>
        <w:jc w:val="center"/>
        <w:rPr>
          <w:rFonts w:cs="Arial"/>
          <w:b/>
          <w:sz w:val="18"/>
          <w:szCs w:val="18"/>
        </w:rPr>
      </w:pPr>
    </w:p>
    <w:p w:rsidR="008D4065" w:rsidRPr="0076544B" w:rsidRDefault="008D4065" w:rsidP="000D6DB2">
      <w:pPr>
        <w:tabs>
          <w:tab w:val="left" w:pos="180"/>
          <w:tab w:val="left" w:pos="630"/>
        </w:tabs>
        <w:spacing w:before="120" w:after="120"/>
        <w:jc w:val="both"/>
        <w:rPr>
          <w:rFonts w:cs="Arial"/>
          <w:sz w:val="18"/>
          <w:szCs w:val="18"/>
        </w:rPr>
      </w:pPr>
    </w:p>
    <w:sectPr w:rsidR="008D4065" w:rsidRPr="0076544B" w:rsidSect="007805BB">
      <w:headerReference w:type="default" r:id="rId13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DD" w:rsidRDefault="00E173DD" w:rsidP="00E00D45">
      <w:pPr>
        <w:spacing w:before="0" w:after="0"/>
      </w:pPr>
      <w:r>
        <w:separator/>
      </w:r>
    </w:p>
  </w:endnote>
  <w:endnote w:type="continuationSeparator" w:id="0">
    <w:p w:rsidR="00E173DD" w:rsidRDefault="00E173DD" w:rsidP="00E00D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F" w:rsidRDefault="0076544B" w:rsidP="002E71AD">
    <w:pPr>
      <w:pStyle w:val="Foot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DC41D" wp14:editId="15193659">
          <wp:simplePos x="0" y="0"/>
          <wp:positionH relativeFrom="column">
            <wp:posOffset>5010785</wp:posOffset>
          </wp:positionH>
          <wp:positionV relativeFrom="paragraph">
            <wp:posOffset>-88138</wp:posOffset>
          </wp:positionV>
          <wp:extent cx="1839595" cy="669290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38D">
      <w:fldChar w:fldCharType="begin"/>
    </w:r>
    <w:r w:rsidR="009B242C">
      <w:instrText xml:space="preserve"> PAGE   \* MERGEFORMAT </w:instrText>
    </w:r>
    <w:r w:rsidR="00D6238D">
      <w:fldChar w:fldCharType="separate"/>
    </w:r>
    <w:r w:rsidR="00CC6C14">
      <w:rPr>
        <w:noProof/>
      </w:rPr>
      <w:t>3</w:t>
    </w:r>
    <w:r w:rsidR="00D6238D">
      <w:rPr>
        <w:noProof/>
      </w:rPr>
      <w:fldChar w:fldCharType="end"/>
    </w:r>
    <w:r w:rsidR="003A5CBC">
      <w:rPr>
        <w:noProof/>
      </w:rPr>
      <w:tab/>
    </w:r>
    <w:r w:rsidR="003A5CBC">
      <w:rPr>
        <w:noProof/>
      </w:rPr>
      <w:tab/>
    </w:r>
  </w:p>
  <w:p w:rsidR="00E7244F" w:rsidRDefault="00E72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DD" w:rsidRDefault="00E173DD" w:rsidP="00E00D45">
      <w:pPr>
        <w:spacing w:before="0" w:after="0"/>
      </w:pPr>
      <w:r>
        <w:separator/>
      </w:r>
    </w:p>
  </w:footnote>
  <w:footnote w:type="continuationSeparator" w:id="0">
    <w:p w:rsidR="00E173DD" w:rsidRDefault="00E173DD" w:rsidP="00E00D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F" w:rsidRPr="00B42B0F" w:rsidRDefault="00546D9C" w:rsidP="00B42B0F">
    <w:pPr>
      <w:pStyle w:val="Header"/>
      <w:spacing w:after="240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2014</w:t>
    </w:r>
    <w:r w:rsidR="00ED3A5B">
      <w:rPr>
        <w:rFonts w:cs="Arial"/>
        <w:b/>
        <w:sz w:val="32"/>
        <w:szCs w:val="32"/>
      </w:rPr>
      <w:t xml:space="preserve"> SD</w:t>
    </w:r>
    <w:r w:rsidR="00E7244F" w:rsidRPr="00957AAA">
      <w:rPr>
        <w:rFonts w:cs="Arial"/>
        <w:b/>
        <w:sz w:val="32"/>
        <w:szCs w:val="32"/>
      </w:rPr>
      <w:t>G&amp;E Non-</w:t>
    </w:r>
    <w:r w:rsidR="00E7244F">
      <w:rPr>
        <w:rFonts w:cs="Arial"/>
        <w:b/>
        <w:sz w:val="32"/>
        <w:szCs w:val="32"/>
      </w:rPr>
      <w:t>r</w:t>
    </w:r>
    <w:r w:rsidR="00ED3A5B">
      <w:rPr>
        <w:rFonts w:cs="Arial"/>
        <w:b/>
        <w:sz w:val="32"/>
        <w:szCs w:val="32"/>
      </w:rPr>
      <w:t>esidential Critical Peak</w:t>
    </w:r>
    <w:r w:rsidR="00E7244F" w:rsidRPr="00957AAA">
      <w:rPr>
        <w:rFonts w:cs="Arial"/>
        <w:b/>
        <w:sz w:val="32"/>
        <w:szCs w:val="32"/>
      </w:rPr>
      <w:t xml:space="preserve"> Pricing Impact Evaluation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F" w:rsidRPr="00DB332B" w:rsidRDefault="00E7244F">
    <w:pPr>
      <w:pStyle w:val="Header"/>
      <w:rPr>
        <w:rFonts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93E"/>
    <w:multiLevelType w:val="hybridMultilevel"/>
    <w:tmpl w:val="2D324F66"/>
    <w:lvl w:ilvl="0" w:tplc="4A6091AE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812F8"/>
    <w:multiLevelType w:val="hybridMultilevel"/>
    <w:tmpl w:val="B5D08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674F0"/>
    <w:multiLevelType w:val="multilevel"/>
    <w:tmpl w:val="FE5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85EC4"/>
    <w:multiLevelType w:val="multilevel"/>
    <w:tmpl w:val="9DD8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A0DEE"/>
    <w:multiLevelType w:val="hybridMultilevel"/>
    <w:tmpl w:val="2FFAD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45"/>
    <w:rsid w:val="00000DA9"/>
    <w:rsid w:val="000170EF"/>
    <w:rsid w:val="0002131E"/>
    <w:rsid w:val="00045C5C"/>
    <w:rsid w:val="00050BF4"/>
    <w:rsid w:val="00051C1B"/>
    <w:rsid w:val="00085DC7"/>
    <w:rsid w:val="000C68F8"/>
    <w:rsid w:val="000D0F58"/>
    <w:rsid w:val="000D29FC"/>
    <w:rsid w:val="000D6DB2"/>
    <w:rsid w:val="000D77B8"/>
    <w:rsid w:val="000E4692"/>
    <w:rsid w:val="000F3946"/>
    <w:rsid w:val="001048F1"/>
    <w:rsid w:val="00140796"/>
    <w:rsid w:val="00180283"/>
    <w:rsid w:val="0019115C"/>
    <w:rsid w:val="001B01D0"/>
    <w:rsid w:val="001D0464"/>
    <w:rsid w:val="001D0609"/>
    <w:rsid w:val="001D5E08"/>
    <w:rsid w:val="001E37E0"/>
    <w:rsid w:val="001E5934"/>
    <w:rsid w:val="002006E3"/>
    <w:rsid w:val="00233D5C"/>
    <w:rsid w:val="002414CA"/>
    <w:rsid w:val="002743D0"/>
    <w:rsid w:val="00281859"/>
    <w:rsid w:val="002920AC"/>
    <w:rsid w:val="002C24A5"/>
    <w:rsid w:val="002C7770"/>
    <w:rsid w:val="002E71AD"/>
    <w:rsid w:val="003046C2"/>
    <w:rsid w:val="00321D3F"/>
    <w:rsid w:val="00380D35"/>
    <w:rsid w:val="00381AE5"/>
    <w:rsid w:val="00385CF7"/>
    <w:rsid w:val="003A5CBC"/>
    <w:rsid w:val="003C1122"/>
    <w:rsid w:val="003D620F"/>
    <w:rsid w:val="003F4076"/>
    <w:rsid w:val="00425DC8"/>
    <w:rsid w:val="00436AA1"/>
    <w:rsid w:val="00437FA2"/>
    <w:rsid w:val="00476EBB"/>
    <w:rsid w:val="00477C68"/>
    <w:rsid w:val="004820D8"/>
    <w:rsid w:val="004A0797"/>
    <w:rsid w:val="004A5E18"/>
    <w:rsid w:val="004B71FA"/>
    <w:rsid w:val="004C3DA9"/>
    <w:rsid w:val="004C6D20"/>
    <w:rsid w:val="004D367E"/>
    <w:rsid w:val="004D5B83"/>
    <w:rsid w:val="004E51D4"/>
    <w:rsid w:val="004E6D16"/>
    <w:rsid w:val="00533440"/>
    <w:rsid w:val="00546D9C"/>
    <w:rsid w:val="005646BD"/>
    <w:rsid w:val="00570FD0"/>
    <w:rsid w:val="0057270A"/>
    <w:rsid w:val="00577E2A"/>
    <w:rsid w:val="00581BAC"/>
    <w:rsid w:val="00583A32"/>
    <w:rsid w:val="005907FB"/>
    <w:rsid w:val="005A6F44"/>
    <w:rsid w:val="005C2BF9"/>
    <w:rsid w:val="005C69F0"/>
    <w:rsid w:val="005D2025"/>
    <w:rsid w:val="005D6C4A"/>
    <w:rsid w:val="005F02EE"/>
    <w:rsid w:val="005F420E"/>
    <w:rsid w:val="00605ACA"/>
    <w:rsid w:val="0062194D"/>
    <w:rsid w:val="00626593"/>
    <w:rsid w:val="00636239"/>
    <w:rsid w:val="0064218A"/>
    <w:rsid w:val="00647D58"/>
    <w:rsid w:val="006514E8"/>
    <w:rsid w:val="00656959"/>
    <w:rsid w:val="00673523"/>
    <w:rsid w:val="00697773"/>
    <w:rsid w:val="006C26C6"/>
    <w:rsid w:val="006C44E1"/>
    <w:rsid w:val="00716EF0"/>
    <w:rsid w:val="007374E1"/>
    <w:rsid w:val="00756383"/>
    <w:rsid w:val="0076544B"/>
    <w:rsid w:val="007805BB"/>
    <w:rsid w:val="00780ED5"/>
    <w:rsid w:val="007B690F"/>
    <w:rsid w:val="007C2F52"/>
    <w:rsid w:val="0083260D"/>
    <w:rsid w:val="008433B6"/>
    <w:rsid w:val="0084405D"/>
    <w:rsid w:val="00865395"/>
    <w:rsid w:val="00866B4E"/>
    <w:rsid w:val="00886B60"/>
    <w:rsid w:val="00892237"/>
    <w:rsid w:val="008A0B8A"/>
    <w:rsid w:val="008C08EC"/>
    <w:rsid w:val="008C4EAE"/>
    <w:rsid w:val="008D38A6"/>
    <w:rsid w:val="008D4065"/>
    <w:rsid w:val="008D63D4"/>
    <w:rsid w:val="0091383D"/>
    <w:rsid w:val="00913D9F"/>
    <w:rsid w:val="009144B8"/>
    <w:rsid w:val="00925D1F"/>
    <w:rsid w:val="00937C03"/>
    <w:rsid w:val="00957AAA"/>
    <w:rsid w:val="009677C2"/>
    <w:rsid w:val="00981108"/>
    <w:rsid w:val="00987574"/>
    <w:rsid w:val="00997D8F"/>
    <w:rsid w:val="009A365F"/>
    <w:rsid w:val="009B242C"/>
    <w:rsid w:val="009B2F07"/>
    <w:rsid w:val="009B5F9E"/>
    <w:rsid w:val="009C0671"/>
    <w:rsid w:val="009C5A7A"/>
    <w:rsid w:val="009D7329"/>
    <w:rsid w:val="009F0BFA"/>
    <w:rsid w:val="009F7121"/>
    <w:rsid w:val="00A26672"/>
    <w:rsid w:val="00A33692"/>
    <w:rsid w:val="00A44CE7"/>
    <w:rsid w:val="00A832F4"/>
    <w:rsid w:val="00AA218C"/>
    <w:rsid w:val="00AA7358"/>
    <w:rsid w:val="00AB3E3A"/>
    <w:rsid w:val="00AC09C1"/>
    <w:rsid w:val="00AD2C3E"/>
    <w:rsid w:val="00AD57C8"/>
    <w:rsid w:val="00AF288A"/>
    <w:rsid w:val="00B01FF8"/>
    <w:rsid w:val="00B2659A"/>
    <w:rsid w:val="00B421BC"/>
    <w:rsid w:val="00B42B0F"/>
    <w:rsid w:val="00B72C77"/>
    <w:rsid w:val="00B77D37"/>
    <w:rsid w:val="00B82992"/>
    <w:rsid w:val="00B9434C"/>
    <w:rsid w:val="00B94D9A"/>
    <w:rsid w:val="00BB3170"/>
    <w:rsid w:val="00BC07A0"/>
    <w:rsid w:val="00BC08B4"/>
    <w:rsid w:val="00BC0CB4"/>
    <w:rsid w:val="00BE14BD"/>
    <w:rsid w:val="00BE1E8A"/>
    <w:rsid w:val="00BE4582"/>
    <w:rsid w:val="00C11C83"/>
    <w:rsid w:val="00C1426E"/>
    <w:rsid w:val="00C46F54"/>
    <w:rsid w:val="00C61294"/>
    <w:rsid w:val="00C65AD4"/>
    <w:rsid w:val="00C666F6"/>
    <w:rsid w:val="00C76744"/>
    <w:rsid w:val="00C94E6D"/>
    <w:rsid w:val="00CA3722"/>
    <w:rsid w:val="00CB259A"/>
    <w:rsid w:val="00CB4FC3"/>
    <w:rsid w:val="00CB5394"/>
    <w:rsid w:val="00CC120C"/>
    <w:rsid w:val="00CC63C8"/>
    <w:rsid w:val="00CC6C14"/>
    <w:rsid w:val="00CE3CCB"/>
    <w:rsid w:val="00CE4887"/>
    <w:rsid w:val="00D12213"/>
    <w:rsid w:val="00D23AE5"/>
    <w:rsid w:val="00D374A4"/>
    <w:rsid w:val="00D47762"/>
    <w:rsid w:val="00D47BC2"/>
    <w:rsid w:val="00D6238D"/>
    <w:rsid w:val="00D92FEE"/>
    <w:rsid w:val="00D932FE"/>
    <w:rsid w:val="00DA5D2A"/>
    <w:rsid w:val="00DA7909"/>
    <w:rsid w:val="00DB332B"/>
    <w:rsid w:val="00DB7537"/>
    <w:rsid w:val="00DD08ED"/>
    <w:rsid w:val="00DD092D"/>
    <w:rsid w:val="00DD506A"/>
    <w:rsid w:val="00E00D45"/>
    <w:rsid w:val="00E0474A"/>
    <w:rsid w:val="00E173DD"/>
    <w:rsid w:val="00E37C1B"/>
    <w:rsid w:val="00E43D8D"/>
    <w:rsid w:val="00E460EA"/>
    <w:rsid w:val="00E677CA"/>
    <w:rsid w:val="00E7244F"/>
    <w:rsid w:val="00E771CB"/>
    <w:rsid w:val="00E8493B"/>
    <w:rsid w:val="00E95C1E"/>
    <w:rsid w:val="00EA2C6C"/>
    <w:rsid w:val="00EB6962"/>
    <w:rsid w:val="00EB6F48"/>
    <w:rsid w:val="00EC08AD"/>
    <w:rsid w:val="00EC2366"/>
    <w:rsid w:val="00ED3A5B"/>
    <w:rsid w:val="00ED7EDB"/>
    <w:rsid w:val="00EE001A"/>
    <w:rsid w:val="00EE1E2D"/>
    <w:rsid w:val="00EE2518"/>
    <w:rsid w:val="00EF0667"/>
    <w:rsid w:val="00F12FD2"/>
    <w:rsid w:val="00F25655"/>
    <w:rsid w:val="00F272CE"/>
    <w:rsid w:val="00F64208"/>
    <w:rsid w:val="00F64732"/>
    <w:rsid w:val="00F74853"/>
    <w:rsid w:val="00F80E3F"/>
    <w:rsid w:val="00FC0DD2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45"/>
    <w:pPr>
      <w:spacing w:before="240" w:after="240"/>
    </w:pPr>
    <w:rPr>
      <w:rFonts w:ascii="Arial" w:eastAsia="Times New Roman" w:hAnsi="Arial"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0D45"/>
    <w:pPr>
      <w:spacing w:before="0" w:after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0D45"/>
    <w:rPr>
      <w:rFonts w:ascii="Tahoma" w:hAnsi="Tahoma" w:cs="Tahoma"/>
      <w:spacing w:val="-2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00D45"/>
    <w:pPr>
      <w:tabs>
        <w:tab w:val="center" w:pos="4680"/>
        <w:tab w:val="right" w:pos="9360"/>
      </w:tabs>
      <w:spacing w:before="0" w:after="0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E00D45"/>
    <w:rPr>
      <w:rFonts w:ascii="Arial" w:hAnsi="Arial" w:cs="Times New Roman"/>
      <w:spacing w:val="-2"/>
    </w:rPr>
  </w:style>
  <w:style w:type="paragraph" w:styleId="Footer">
    <w:name w:val="footer"/>
    <w:basedOn w:val="Normal"/>
    <w:link w:val="FooterChar"/>
    <w:uiPriority w:val="99"/>
    <w:rsid w:val="00E00D45"/>
    <w:pPr>
      <w:tabs>
        <w:tab w:val="center" w:pos="4680"/>
        <w:tab w:val="right" w:pos="9360"/>
      </w:tabs>
      <w:spacing w:before="0" w:after="0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00D45"/>
    <w:rPr>
      <w:rFonts w:ascii="Arial" w:hAnsi="Arial" w:cs="Times New Roman"/>
      <w:spacing w:val="-2"/>
    </w:rPr>
  </w:style>
  <w:style w:type="paragraph" w:styleId="ListParagraph">
    <w:name w:val="List Paragraph"/>
    <w:basedOn w:val="Normal"/>
    <w:uiPriority w:val="99"/>
    <w:qFormat/>
    <w:rsid w:val="009B5F9E"/>
    <w:pPr>
      <w:ind w:left="720"/>
      <w:contextualSpacing/>
    </w:pPr>
  </w:style>
  <w:style w:type="character" w:styleId="CommentReference">
    <w:name w:val="annotation reference"/>
    <w:uiPriority w:val="99"/>
    <w:semiHidden/>
    <w:rsid w:val="002818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18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60E6"/>
    <w:rPr>
      <w:rFonts w:ascii="Arial" w:eastAsia="Times New Roman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8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60E6"/>
    <w:rPr>
      <w:rFonts w:ascii="Arial" w:eastAsia="Times New Roman" w:hAnsi="Arial"/>
      <w:b/>
      <w:bCs/>
      <w:spacing w:val="-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6C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character" w:styleId="FootnoteReference">
    <w:name w:val="footnote reference"/>
    <w:uiPriority w:val="99"/>
    <w:unhideWhenUsed/>
    <w:rsid w:val="0019115C"/>
    <w:rPr>
      <w:vertAlign w:val="superscript"/>
    </w:rPr>
  </w:style>
  <w:style w:type="paragraph" w:customStyle="1" w:styleId="Footnote">
    <w:name w:val="Footnote"/>
    <w:basedOn w:val="FootnoteText"/>
    <w:qFormat/>
    <w:rsid w:val="0019115C"/>
    <w:pPr>
      <w:spacing w:after="120"/>
    </w:pPr>
    <w:rPr>
      <w:rFonts w:ascii="Franklin Gothic Book" w:eastAsia="Calibri" w:hAnsi="Franklin Gothic Book"/>
      <w:spacing w:val="0"/>
      <w:sz w:val="18"/>
    </w:rPr>
  </w:style>
  <w:style w:type="paragraph" w:customStyle="1" w:styleId="TableHeader">
    <w:name w:val="Table Header"/>
    <w:qFormat/>
    <w:rsid w:val="0019115C"/>
    <w:pPr>
      <w:spacing w:before="100" w:after="100"/>
      <w:jc w:val="center"/>
    </w:pPr>
    <w:rPr>
      <w:rFonts w:ascii="Arial" w:hAnsi="Arial"/>
      <w:b/>
      <w:color w:val="FFFFFF"/>
      <w:szCs w:val="22"/>
    </w:rPr>
  </w:style>
  <w:style w:type="paragraph" w:customStyle="1" w:styleId="TableText">
    <w:name w:val="Table Text"/>
    <w:qFormat/>
    <w:rsid w:val="0019115C"/>
    <w:pPr>
      <w:spacing w:before="60" w:after="60"/>
    </w:pPr>
    <w:rPr>
      <w:rFonts w:ascii="Arial" w:hAnsi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15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115C"/>
    <w:rPr>
      <w:rFonts w:ascii="Arial" w:eastAsia="Times New Roman" w:hAnsi="Arial"/>
      <w:spacing w:val="-2"/>
    </w:rPr>
  </w:style>
  <w:style w:type="paragraph" w:customStyle="1" w:styleId="BodyParagraph">
    <w:name w:val="Body Paragraph"/>
    <w:link w:val="BodyParagraphChar"/>
    <w:uiPriority w:val="99"/>
    <w:qFormat/>
    <w:rsid w:val="008C08EC"/>
    <w:pPr>
      <w:spacing w:after="240" w:line="312" w:lineRule="auto"/>
    </w:pPr>
    <w:rPr>
      <w:rFonts w:ascii="Arial" w:hAnsi="Arial"/>
      <w:sz w:val="22"/>
      <w:szCs w:val="22"/>
    </w:rPr>
  </w:style>
  <w:style w:type="character" w:customStyle="1" w:styleId="BodyParagraphChar">
    <w:name w:val="Body Paragraph Char"/>
    <w:link w:val="BodyParagraph"/>
    <w:uiPriority w:val="99"/>
    <w:rsid w:val="00EB6962"/>
    <w:rPr>
      <w:rFonts w:ascii="Arial" w:hAnsi="Arial"/>
      <w:sz w:val="22"/>
      <w:szCs w:val="22"/>
      <w:lang w:bidi="ar-SA"/>
    </w:rPr>
  </w:style>
  <w:style w:type="paragraph" w:customStyle="1" w:styleId="Bullets">
    <w:name w:val="Bullets"/>
    <w:basedOn w:val="Normal"/>
    <w:uiPriority w:val="99"/>
    <w:qFormat/>
    <w:rsid w:val="00981108"/>
    <w:pPr>
      <w:numPr>
        <w:numId w:val="4"/>
      </w:numPr>
      <w:spacing w:before="0" w:after="120"/>
    </w:pPr>
    <w:rPr>
      <w:rFonts w:ascii="Verdana" w:hAnsi="Verdana" w:cs="Arial"/>
      <w:spacing w:val="0"/>
      <w:sz w:val="18"/>
      <w:szCs w:val="21"/>
    </w:rPr>
  </w:style>
  <w:style w:type="paragraph" w:styleId="Revision">
    <w:name w:val="Revision"/>
    <w:hidden/>
    <w:uiPriority w:val="99"/>
    <w:semiHidden/>
    <w:rsid w:val="00321D3F"/>
    <w:rPr>
      <w:rFonts w:ascii="Arial" w:eastAsia="Times New Roman" w:hAnsi="Arial"/>
      <w:spacing w:val="-2"/>
      <w:sz w:val="22"/>
      <w:szCs w:val="22"/>
    </w:rPr>
  </w:style>
  <w:style w:type="character" w:styleId="Emphasis">
    <w:name w:val="Emphasis"/>
    <w:basedOn w:val="DefaultParagraphFont"/>
    <w:qFormat/>
    <w:locked/>
    <w:rsid w:val="00925D1F"/>
    <w:rPr>
      <w:i/>
      <w:iCs/>
    </w:rPr>
  </w:style>
  <w:style w:type="character" w:styleId="Strong">
    <w:name w:val="Strong"/>
    <w:basedOn w:val="DefaultParagraphFont"/>
    <w:qFormat/>
    <w:locked/>
    <w:rsid w:val="00844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45"/>
    <w:pPr>
      <w:spacing w:before="240" w:after="240"/>
    </w:pPr>
    <w:rPr>
      <w:rFonts w:ascii="Arial" w:eastAsia="Times New Roman" w:hAnsi="Arial"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0D45"/>
    <w:pPr>
      <w:spacing w:before="0" w:after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0D45"/>
    <w:rPr>
      <w:rFonts w:ascii="Tahoma" w:hAnsi="Tahoma" w:cs="Tahoma"/>
      <w:spacing w:val="-2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00D45"/>
    <w:pPr>
      <w:tabs>
        <w:tab w:val="center" w:pos="4680"/>
        <w:tab w:val="right" w:pos="9360"/>
      </w:tabs>
      <w:spacing w:before="0" w:after="0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E00D45"/>
    <w:rPr>
      <w:rFonts w:ascii="Arial" w:hAnsi="Arial" w:cs="Times New Roman"/>
      <w:spacing w:val="-2"/>
    </w:rPr>
  </w:style>
  <w:style w:type="paragraph" w:styleId="Footer">
    <w:name w:val="footer"/>
    <w:basedOn w:val="Normal"/>
    <w:link w:val="FooterChar"/>
    <w:uiPriority w:val="99"/>
    <w:rsid w:val="00E00D45"/>
    <w:pPr>
      <w:tabs>
        <w:tab w:val="center" w:pos="4680"/>
        <w:tab w:val="right" w:pos="9360"/>
      </w:tabs>
      <w:spacing w:before="0" w:after="0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00D45"/>
    <w:rPr>
      <w:rFonts w:ascii="Arial" w:hAnsi="Arial" w:cs="Times New Roman"/>
      <w:spacing w:val="-2"/>
    </w:rPr>
  </w:style>
  <w:style w:type="paragraph" w:styleId="ListParagraph">
    <w:name w:val="List Paragraph"/>
    <w:basedOn w:val="Normal"/>
    <w:uiPriority w:val="99"/>
    <w:qFormat/>
    <w:rsid w:val="009B5F9E"/>
    <w:pPr>
      <w:ind w:left="720"/>
      <w:contextualSpacing/>
    </w:pPr>
  </w:style>
  <w:style w:type="character" w:styleId="CommentReference">
    <w:name w:val="annotation reference"/>
    <w:uiPriority w:val="99"/>
    <w:semiHidden/>
    <w:rsid w:val="002818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18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60E6"/>
    <w:rPr>
      <w:rFonts w:ascii="Arial" w:eastAsia="Times New Roman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8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60E6"/>
    <w:rPr>
      <w:rFonts w:ascii="Arial" w:eastAsia="Times New Roman" w:hAnsi="Arial"/>
      <w:b/>
      <w:bCs/>
      <w:spacing w:val="-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6C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character" w:styleId="FootnoteReference">
    <w:name w:val="footnote reference"/>
    <w:uiPriority w:val="99"/>
    <w:unhideWhenUsed/>
    <w:rsid w:val="0019115C"/>
    <w:rPr>
      <w:vertAlign w:val="superscript"/>
    </w:rPr>
  </w:style>
  <w:style w:type="paragraph" w:customStyle="1" w:styleId="Footnote">
    <w:name w:val="Footnote"/>
    <w:basedOn w:val="FootnoteText"/>
    <w:qFormat/>
    <w:rsid w:val="0019115C"/>
    <w:pPr>
      <w:spacing w:after="120"/>
    </w:pPr>
    <w:rPr>
      <w:rFonts w:ascii="Franklin Gothic Book" w:eastAsia="Calibri" w:hAnsi="Franklin Gothic Book"/>
      <w:spacing w:val="0"/>
      <w:sz w:val="18"/>
    </w:rPr>
  </w:style>
  <w:style w:type="paragraph" w:customStyle="1" w:styleId="TableHeader">
    <w:name w:val="Table Header"/>
    <w:qFormat/>
    <w:rsid w:val="0019115C"/>
    <w:pPr>
      <w:spacing w:before="100" w:after="100"/>
      <w:jc w:val="center"/>
    </w:pPr>
    <w:rPr>
      <w:rFonts w:ascii="Arial" w:hAnsi="Arial"/>
      <w:b/>
      <w:color w:val="FFFFFF"/>
      <w:szCs w:val="22"/>
    </w:rPr>
  </w:style>
  <w:style w:type="paragraph" w:customStyle="1" w:styleId="TableText">
    <w:name w:val="Table Text"/>
    <w:qFormat/>
    <w:rsid w:val="0019115C"/>
    <w:pPr>
      <w:spacing w:before="60" w:after="60"/>
    </w:pPr>
    <w:rPr>
      <w:rFonts w:ascii="Arial" w:hAnsi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15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115C"/>
    <w:rPr>
      <w:rFonts w:ascii="Arial" w:eastAsia="Times New Roman" w:hAnsi="Arial"/>
      <w:spacing w:val="-2"/>
    </w:rPr>
  </w:style>
  <w:style w:type="paragraph" w:customStyle="1" w:styleId="BodyParagraph">
    <w:name w:val="Body Paragraph"/>
    <w:link w:val="BodyParagraphChar"/>
    <w:uiPriority w:val="99"/>
    <w:qFormat/>
    <w:rsid w:val="008C08EC"/>
    <w:pPr>
      <w:spacing w:after="240" w:line="312" w:lineRule="auto"/>
    </w:pPr>
    <w:rPr>
      <w:rFonts w:ascii="Arial" w:hAnsi="Arial"/>
      <w:sz w:val="22"/>
      <w:szCs w:val="22"/>
    </w:rPr>
  </w:style>
  <w:style w:type="character" w:customStyle="1" w:styleId="BodyParagraphChar">
    <w:name w:val="Body Paragraph Char"/>
    <w:link w:val="BodyParagraph"/>
    <w:uiPriority w:val="99"/>
    <w:rsid w:val="00EB6962"/>
    <w:rPr>
      <w:rFonts w:ascii="Arial" w:hAnsi="Arial"/>
      <w:sz w:val="22"/>
      <w:szCs w:val="22"/>
      <w:lang w:bidi="ar-SA"/>
    </w:rPr>
  </w:style>
  <w:style w:type="paragraph" w:customStyle="1" w:styleId="Bullets">
    <w:name w:val="Bullets"/>
    <w:basedOn w:val="Normal"/>
    <w:uiPriority w:val="99"/>
    <w:qFormat/>
    <w:rsid w:val="00981108"/>
    <w:pPr>
      <w:numPr>
        <w:numId w:val="4"/>
      </w:numPr>
      <w:spacing w:before="0" w:after="120"/>
    </w:pPr>
    <w:rPr>
      <w:rFonts w:ascii="Verdana" w:hAnsi="Verdana" w:cs="Arial"/>
      <w:spacing w:val="0"/>
      <w:sz w:val="18"/>
      <w:szCs w:val="21"/>
    </w:rPr>
  </w:style>
  <w:style w:type="paragraph" w:styleId="Revision">
    <w:name w:val="Revision"/>
    <w:hidden/>
    <w:uiPriority w:val="99"/>
    <w:semiHidden/>
    <w:rsid w:val="00321D3F"/>
    <w:rPr>
      <w:rFonts w:ascii="Arial" w:eastAsia="Times New Roman" w:hAnsi="Arial"/>
      <w:spacing w:val="-2"/>
      <w:sz w:val="22"/>
      <w:szCs w:val="22"/>
    </w:rPr>
  </w:style>
  <w:style w:type="character" w:styleId="Emphasis">
    <w:name w:val="Emphasis"/>
    <w:basedOn w:val="DefaultParagraphFont"/>
    <w:qFormat/>
    <w:locked/>
    <w:rsid w:val="00925D1F"/>
    <w:rPr>
      <w:i/>
      <w:iCs/>
    </w:rPr>
  </w:style>
  <w:style w:type="character" w:styleId="Strong">
    <w:name w:val="Strong"/>
    <w:basedOn w:val="DefaultParagraphFont"/>
    <w:qFormat/>
    <w:locked/>
    <w:rsid w:val="00844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D3A692-5DB0-4581-95EF-715EFB10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Freeman, Sullivan &amp; Co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Bode</dc:creator>
  <cp:lastModifiedBy>Chow, Dorris</cp:lastModifiedBy>
  <cp:revision>2</cp:revision>
  <cp:lastPrinted>2014-04-29T17:20:00Z</cp:lastPrinted>
  <dcterms:created xsi:type="dcterms:W3CDTF">2015-05-07T18:10:00Z</dcterms:created>
  <dcterms:modified xsi:type="dcterms:W3CDTF">2015-05-07T18:10:00Z</dcterms:modified>
</cp:coreProperties>
</file>