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672"/>
      </w:tblGrid>
      <w:tr w:rsidR="00FD163B" w14:paraId="08AAC12B" w14:textId="77777777" w:rsidTr="25ED4B98">
        <w:tc>
          <w:tcPr>
            <w:tcW w:w="7672" w:type="dxa"/>
            <w:tcMar>
              <w:top w:w="216" w:type="dxa"/>
              <w:left w:w="115" w:type="dxa"/>
              <w:bottom w:w="216" w:type="dxa"/>
              <w:right w:w="115" w:type="dxa"/>
            </w:tcMar>
          </w:tcPr>
          <w:p w14:paraId="29E671DC" w14:textId="77777777" w:rsidR="00FD163B" w:rsidRPr="00965806" w:rsidRDefault="00FD163B" w:rsidP="00FD163B">
            <w:pPr>
              <w:pStyle w:val="NoSpacing"/>
              <w:rPr>
                <w:rFonts w:asciiTheme="minorHAnsi" w:eastAsia="Times New Roman" w:hAnsiTheme="minorHAnsi" w:cs="Times New Roman"/>
                <w:color w:val="315361" w:themeColor="text2"/>
              </w:rPr>
            </w:pPr>
            <w:bookmarkStart w:id="0" w:name="_Toc271574649"/>
            <w:bookmarkStart w:id="1" w:name="_Toc271575298"/>
            <w:r w:rsidRPr="008A6BDD">
              <w:rPr>
                <w:rFonts w:asciiTheme="minorHAnsi" w:eastAsia="Cambria,Times New Roman" w:hAnsiTheme="minorHAnsi" w:cs="Cambria,Times New Roman"/>
                <w:color w:val="315361" w:themeColor="text2"/>
                <w:sz w:val="28"/>
              </w:rPr>
              <w:t>Energy and Environmental Economics, Inc</w:t>
            </w:r>
          </w:p>
        </w:tc>
      </w:tr>
      <w:tr w:rsidR="00FD163B" w14:paraId="46BDAB88" w14:textId="77777777" w:rsidTr="25ED4B98">
        <w:tc>
          <w:tcPr>
            <w:tcW w:w="7672" w:type="dxa"/>
          </w:tcPr>
          <w:p w14:paraId="19C14F19" w14:textId="77777777" w:rsidR="00ED1495" w:rsidRPr="00965806" w:rsidRDefault="00FD163B" w:rsidP="00ED1495">
            <w:pPr>
              <w:pStyle w:val="NoSpacing"/>
              <w:rPr>
                <w:rFonts w:asciiTheme="minorHAnsi" w:eastAsia="Times New Roman" w:hAnsiTheme="minorHAnsi" w:cs="Times New Roman"/>
                <w:color w:val="315361" w:themeColor="text2"/>
                <w:sz w:val="80"/>
                <w:szCs w:val="80"/>
              </w:rPr>
            </w:pPr>
            <w:r w:rsidRPr="008A6BDD">
              <w:rPr>
                <w:rFonts w:asciiTheme="minorHAnsi" w:eastAsia="Cambria,Times New Roman" w:hAnsiTheme="minorHAnsi" w:cs="Cambria,Times New Roman"/>
                <w:color w:val="315361" w:themeColor="text2"/>
                <w:sz w:val="80"/>
                <w:szCs w:val="80"/>
              </w:rPr>
              <w:t xml:space="preserve">Avoided Costs </w:t>
            </w:r>
          </w:p>
          <w:p w14:paraId="28044451" w14:textId="67FD9A01" w:rsidR="00FD163B" w:rsidRPr="00965806" w:rsidRDefault="003604F4" w:rsidP="00B43108">
            <w:pPr>
              <w:pStyle w:val="NoSpacing"/>
              <w:rPr>
                <w:rFonts w:asciiTheme="minorHAnsi" w:eastAsia="Times New Roman" w:hAnsiTheme="minorHAnsi" w:cs="Times New Roman"/>
                <w:color w:val="315361" w:themeColor="text2"/>
                <w:sz w:val="80"/>
                <w:szCs w:val="80"/>
              </w:rPr>
            </w:pPr>
            <w:r>
              <w:rPr>
                <w:rFonts w:asciiTheme="minorHAnsi" w:eastAsia="Cambria,Times New Roman" w:hAnsiTheme="minorHAnsi" w:cs="Cambria,Times New Roman"/>
                <w:color w:val="315361" w:themeColor="text2"/>
                <w:sz w:val="80"/>
                <w:szCs w:val="80"/>
              </w:rPr>
              <w:t>2018</w:t>
            </w:r>
            <w:r w:rsidRPr="008A6BDD">
              <w:rPr>
                <w:rFonts w:asciiTheme="minorHAnsi" w:eastAsia="Cambria,Times New Roman" w:hAnsiTheme="minorHAnsi" w:cs="Cambria,Times New Roman"/>
                <w:color w:val="315361" w:themeColor="text2"/>
                <w:sz w:val="80"/>
                <w:szCs w:val="80"/>
              </w:rPr>
              <w:t xml:space="preserve"> </w:t>
            </w:r>
            <w:r w:rsidR="00FD163B" w:rsidRPr="008A6BDD">
              <w:rPr>
                <w:rFonts w:asciiTheme="minorHAnsi" w:eastAsia="Cambria,Times New Roman" w:hAnsiTheme="minorHAnsi" w:cs="Cambria,Times New Roman"/>
                <w:color w:val="315361" w:themeColor="text2"/>
                <w:sz w:val="80"/>
                <w:szCs w:val="80"/>
              </w:rPr>
              <w:t>Update</w:t>
            </w:r>
          </w:p>
        </w:tc>
      </w:tr>
      <w:tr w:rsidR="00FD163B" w14:paraId="0E554A98" w14:textId="77777777" w:rsidTr="25ED4B98">
        <w:tc>
          <w:tcPr>
            <w:tcW w:w="7672" w:type="dxa"/>
            <w:tcMar>
              <w:top w:w="216" w:type="dxa"/>
              <w:left w:w="115" w:type="dxa"/>
              <w:bottom w:w="216" w:type="dxa"/>
              <w:right w:w="115" w:type="dxa"/>
            </w:tcMar>
          </w:tcPr>
          <w:p w14:paraId="756A6944" w14:textId="77777777" w:rsidR="00FD163B" w:rsidRPr="00FD163B" w:rsidRDefault="00FD163B" w:rsidP="00FD163B">
            <w:pPr>
              <w:pStyle w:val="NoSpacing"/>
              <w:rPr>
                <w:rFonts w:ascii="Cambria" w:eastAsia="Times New Roman" w:hAnsi="Cambria" w:cs="Times New Roman"/>
              </w:rPr>
            </w:pPr>
          </w:p>
        </w:tc>
      </w:tr>
    </w:tbl>
    <w:p w14:paraId="791B6A7A" w14:textId="77777777" w:rsidR="00FD163B" w:rsidRDefault="00FD163B"/>
    <w:p w14:paraId="2BD0D28B" w14:textId="77777777" w:rsidR="00FD163B" w:rsidRDefault="00FD163B"/>
    <w:tbl>
      <w:tblPr>
        <w:tblpPr w:leftFromText="187" w:rightFromText="187" w:horzAnchor="margin" w:tblpXSpec="center" w:tblpYSpec="bottom"/>
        <w:tblW w:w="4000" w:type="pct"/>
        <w:tblLook w:val="04A0" w:firstRow="1" w:lastRow="0" w:firstColumn="1" w:lastColumn="0" w:noHBand="0" w:noVBand="1"/>
      </w:tblPr>
      <w:tblGrid>
        <w:gridCol w:w="7672"/>
      </w:tblGrid>
      <w:tr w:rsidR="00FD163B" w14:paraId="0EC498EA" w14:textId="77777777" w:rsidTr="25ED4B98">
        <w:tc>
          <w:tcPr>
            <w:tcW w:w="7672" w:type="dxa"/>
            <w:tcMar>
              <w:top w:w="216" w:type="dxa"/>
              <w:left w:w="115" w:type="dxa"/>
              <w:bottom w:w="216" w:type="dxa"/>
              <w:right w:w="115" w:type="dxa"/>
            </w:tcMar>
          </w:tcPr>
          <w:p w14:paraId="0529DAAB" w14:textId="34662357" w:rsidR="00FD163B" w:rsidRDefault="00124A40">
            <w:pPr>
              <w:pStyle w:val="NoSpacing"/>
            </w:pPr>
            <w:r>
              <w:t>Brian Horii</w:t>
            </w:r>
          </w:p>
          <w:p w14:paraId="7E0E8A6E" w14:textId="3EF40A77" w:rsidR="003604F4" w:rsidRDefault="003604F4">
            <w:pPr>
              <w:pStyle w:val="NoSpacing"/>
            </w:pPr>
            <w:r>
              <w:t>Eric Cutter</w:t>
            </w:r>
          </w:p>
          <w:p w14:paraId="19DA85AD" w14:textId="77777777" w:rsidR="00ED1495" w:rsidRPr="00FD163B" w:rsidRDefault="00ED1495">
            <w:pPr>
              <w:pStyle w:val="NoSpacing"/>
              <w:rPr>
                <w:color w:val="4F81BD"/>
              </w:rPr>
            </w:pPr>
          </w:p>
          <w:p w14:paraId="6F46EB7A" w14:textId="50E3276C" w:rsidR="00FD163B" w:rsidRPr="00FD163B" w:rsidRDefault="0051165A" w:rsidP="00FD163B">
            <w:pPr>
              <w:pStyle w:val="NoSpacing"/>
              <w:rPr>
                <w:color w:val="4F81BD"/>
              </w:rPr>
            </w:pPr>
            <w:r>
              <w:t xml:space="preserve">May </w:t>
            </w:r>
            <w:r w:rsidR="00E464C7">
              <w:t>1</w:t>
            </w:r>
            <w:r w:rsidR="0011637C">
              <w:t>4</w:t>
            </w:r>
            <w:r w:rsidR="00ED1495">
              <w:t>, 201</w:t>
            </w:r>
            <w:r w:rsidR="00181133">
              <w:t>8</w:t>
            </w:r>
          </w:p>
        </w:tc>
      </w:tr>
    </w:tbl>
    <w:p w14:paraId="272B0A92" w14:textId="77777777" w:rsidR="00FD163B" w:rsidRDefault="00FD163B"/>
    <w:p w14:paraId="39415A68" w14:textId="559F797A" w:rsidR="00664090" w:rsidRDefault="00664090" w:rsidP="008A6BDD">
      <w:pPr>
        <w:pStyle w:val="TOCHeading"/>
      </w:pPr>
    </w:p>
    <w:p w14:paraId="104631F8" w14:textId="77777777" w:rsidR="00664090" w:rsidRPr="00664090" w:rsidRDefault="00664090" w:rsidP="00664090">
      <w:pPr>
        <w:rPr>
          <w:lang w:val="x-none"/>
        </w:rPr>
      </w:pPr>
    </w:p>
    <w:p w14:paraId="0E7970A2" w14:textId="77777777" w:rsidR="00664090" w:rsidRPr="00664090" w:rsidRDefault="00664090" w:rsidP="00664090">
      <w:pPr>
        <w:rPr>
          <w:lang w:val="x-none"/>
        </w:rPr>
      </w:pPr>
    </w:p>
    <w:p w14:paraId="09C9E8E6" w14:textId="77777777" w:rsidR="00664090" w:rsidRPr="00664090" w:rsidRDefault="00664090" w:rsidP="00664090">
      <w:pPr>
        <w:rPr>
          <w:lang w:val="x-none"/>
        </w:rPr>
      </w:pPr>
    </w:p>
    <w:p w14:paraId="52E35145" w14:textId="77777777" w:rsidR="00664090" w:rsidRPr="00664090" w:rsidRDefault="00664090" w:rsidP="00664090">
      <w:pPr>
        <w:rPr>
          <w:lang w:val="x-none"/>
        </w:rPr>
      </w:pPr>
    </w:p>
    <w:p w14:paraId="385FF1D6" w14:textId="77777777" w:rsidR="00664090" w:rsidRPr="00664090" w:rsidRDefault="00664090" w:rsidP="00664090">
      <w:pPr>
        <w:rPr>
          <w:lang w:val="x-none"/>
        </w:rPr>
      </w:pPr>
    </w:p>
    <w:p w14:paraId="62040E51" w14:textId="073799DD" w:rsidR="00664090" w:rsidRDefault="00664090" w:rsidP="008A6BDD">
      <w:pPr>
        <w:pStyle w:val="TOCHeading"/>
      </w:pPr>
    </w:p>
    <w:p w14:paraId="7B166AE1" w14:textId="260F3167" w:rsidR="00664090" w:rsidRDefault="00664090" w:rsidP="00664090">
      <w:pPr>
        <w:rPr>
          <w:lang w:val="x-none"/>
        </w:rPr>
      </w:pPr>
    </w:p>
    <w:p w14:paraId="1E4C1AAB" w14:textId="77777777" w:rsidR="00186B05" w:rsidRDefault="00FD163B" w:rsidP="008A6BDD">
      <w:pPr>
        <w:pStyle w:val="TOCHeading"/>
      </w:pPr>
      <w:r w:rsidRPr="00664090">
        <w:br w:type="page"/>
      </w:r>
      <w:r w:rsidR="00186B05">
        <w:lastRenderedPageBreak/>
        <w:t>Table of Contents</w:t>
      </w:r>
    </w:p>
    <w:p w14:paraId="22CF350C" w14:textId="1B8763F9" w:rsidR="00FD431B" w:rsidRDefault="00186B05">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4055030" w:history="1">
        <w:r w:rsidR="00FD431B" w:rsidRPr="00CB4726">
          <w:rPr>
            <w:rStyle w:val="Hyperlink"/>
            <w:noProof/>
          </w:rPr>
          <w:t>Overview</w:t>
        </w:r>
        <w:r w:rsidR="00FD431B">
          <w:rPr>
            <w:noProof/>
            <w:webHidden/>
          </w:rPr>
          <w:tab/>
        </w:r>
        <w:r w:rsidR="00FD431B">
          <w:rPr>
            <w:noProof/>
            <w:webHidden/>
          </w:rPr>
          <w:fldChar w:fldCharType="begin"/>
        </w:r>
        <w:r w:rsidR="00FD431B">
          <w:rPr>
            <w:noProof/>
            <w:webHidden/>
          </w:rPr>
          <w:instrText xml:space="preserve"> PAGEREF _Toc514055030 \h </w:instrText>
        </w:r>
        <w:r w:rsidR="00FD431B">
          <w:rPr>
            <w:noProof/>
            <w:webHidden/>
          </w:rPr>
        </w:r>
        <w:r w:rsidR="00FD431B">
          <w:rPr>
            <w:noProof/>
            <w:webHidden/>
          </w:rPr>
          <w:fldChar w:fldCharType="separate"/>
        </w:r>
        <w:r w:rsidR="00FD431B">
          <w:rPr>
            <w:noProof/>
            <w:webHidden/>
          </w:rPr>
          <w:t>3</w:t>
        </w:r>
        <w:r w:rsidR="00FD431B">
          <w:rPr>
            <w:noProof/>
            <w:webHidden/>
          </w:rPr>
          <w:fldChar w:fldCharType="end"/>
        </w:r>
      </w:hyperlink>
    </w:p>
    <w:p w14:paraId="0232C722" w14:textId="3BD4D42F" w:rsidR="00FD431B" w:rsidRDefault="00B8765B">
      <w:pPr>
        <w:pStyle w:val="TOC2"/>
        <w:rPr>
          <w:rFonts w:asciiTheme="minorHAnsi" w:eastAsiaTheme="minorEastAsia" w:hAnsiTheme="minorHAnsi" w:cstheme="minorBidi"/>
          <w:noProof/>
          <w:sz w:val="22"/>
          <w:szCs w:val="22"/>
        </w:rPr>
      </w:pPr>
      <w:hyperlink w:anchor="_Toc514055031" w:history="1">
        <w:r w:rsidR="00FD431B" w:rsidRPr="00CB4726">
          <w:rPr>
            <w:rStyle w:val="Hyperlink"/>
            <w:noProof/>
          </w:rPr>
          <w:t>Summary of Results</w:t>
        </w:r>
        <w:r w:rsidR="00FD431B">
          <w:rPr>
            <w:noProof/>
            <w:webHidden/>
          </w:rPr>
          <w:tab/>
        </w:r>
        <w:r w:rsidR="00FD431B">
          <w:rPr>
            <w:noProof/>
            <w:webHidden/>
          </w:rPr>
          <w:fldChar w:fldCharType="begin"/>
        </w:r>
        <w:r w:rsidR="00FD431B">
          <w:rPr>
            <w:noProof/>
            <w:webHidden/>
          </w:rPr>
          <w:instrText xml:space="preserve"> PAGEREF _Toc514055031 \h </w:instrText>
        </w:r>
        <w:r w:rsidR="00FD431B">
          <w:rPr>
            <w:noProof/>
            <w:webHidden/>
          </w:rPr>
        </w:r>
        <w:r w:rsidR="00FD431B">
          <w:rPr>
            <w:noProof/>
            <w:webHidden/>
          </w:rPr>
          <w:fldChar w:fldCharType="separate"/>
        </w:r>
        <w:r w:rsidR="00FD431B">
          <w:rPr>
            <w:noProof/>
            <w:webHidden/>
          </w:rPr>
          <w:t>5</w:t>
        </w:r>
        <w:r w:rsidR="00FD431B">
          <w:rPr>
            <w:noProof/>
            <w:webHidden/>
          </w:rPr>
          <w:fldChar w:fldCharType="end"/>
        </w:r>
      </w:hyperlink>
    </w:p>
    <w:p w14:paraId="710E188C" w14:textId="5ED48683" w:rsidR="00FD431B" w:rsidRDefault="00B8765B">
      <w:pPr>
        <w:pStyle w:val="TOC1"/>
        <w:rPr>
          <w:rFonts w:asciiTheme="minorHAnsi" w:eastAsiaTheme="minorEastAsia" w:hAnsiTheme="minorHAnsi" w:cstheme="minorBidi"/>
          <w:noProof/>
          <w:sz w:val="22"/>
          <w:szCs w:val="22"/>
        </w:rPr>
      </w:pPr>
      <w:hyperlink w:anchor="_Toc514055032" w:history="1">
        <w:r w:rsidR="00FD431B" w:rsidRPr="00CB4726">
          <w:rPr>
            <w:rStyle w:val="Hyperlink"/>
            <w:noProof/>
          </w:rPr>
          <w:t>Natural Gas Avoided Cost Updates</w:t>
        </w:r>
        <w:r w:rsidR="00FD431B">
          <w:rPr>
            <w:noProof/>
            <w:webHidden/>
          </w:rPr>
          <w:tab/>
        </w:r>
        <w:r w:rsidR="00FD431B">
          <w:rPr>
            <w:noProof/>
            <w:webHidden/>
          </w:rPr>
          <w:fldChar w:fldCharType="begin"/>
        </w:r>
        <w:r w:rsidR="00FD431B">
          <w:rPr>
            <w:noProof/>
            <w:webHidden/>
          </w:rPr>
          <w:instrText xml:space="preserve"> PAGEREF _Toc514055032 \h </w:instrText>
        </w:r>
        <w:r w:rsidR="00FD431B">
          <w:rPr>
            <w:noProof/>
            <w:webHidden/>
          </w:rPr>
        </w:r>
        <w:r w:rsidR="00FD431B">
          <w:rPr>
            <w:noProof/>
            <w:webHidden/>
          </w:rPr>
          <w:fldChar w:fldCharType="separate"/>
        </w:r>
        <w:r w:rsidR="00FD431B">
          <w:rPr>
            <w:noProof/>
            <w:webHidden/>
          </w:rPr>
          <w:t>9</w:t>
        </w:r>
        <w:r w:rsidR="00FD431B">
          <w:rPr>
            <w:noProof/>
            <w:webHidden/>
          </w:rPr>
          <w:fldChar w:fldCharType="end"/>
        </w:r>
      </w:hyperlink>
    </w:p>
    <w:p w14:paraId="44D0B1B7" w14:textId="0653A4A4" w:rsidR="00FD431B" w:rsidRDefault="00B8765B">
      <w:pPr>
        <w:pStyle w:val="TOC1"/>
        <w:rPr>
          <w:rFonts w:asciiTheme="minorHAnsi" w:eastAsiaTheme="minorEastAsia" w:hAnsiTheme="minorHAnsi" w:cstheme="minorBidi"/>
          <w:noProof/>
          <w:sz w:val="22"/>
          <w:szCs w:val="22"/>
        </w:rPr>
      </w:pPr>
      <w:hyperlink w:anchor="_Toc514055033" w:history="1">
        <w:r w:rsidR="00FD431B" w:rsidRPr="00CB4726">
          <w:rPr>
            <w:rStyle w:val="Hyperlink"/>
            <w:noProof/>
          </w:rPr>
          <w:t>Overview of Electricity Avoided Cost Components</w:t>
        </w:r>
        <w:r w:rsidR="00FD431B">
          <w:rPr>
            <w:noProof/>
            <w:webHidden/>
          </w:rPr>
          <w:tab/>
        </w:r>
        <w:r w:rsidR="00FD431B">
          <w:rPr>
            <w:noProof/>
            <w:webHidden/>
          </w:rPr>
          <w:fldChar w:fldCharType="begin"/>
        </w:r>
        <w:r w:rsidR="00FD431B">
          <w:rPr>
            <w:noProof/>
            <w:webHidden/>
          </w:rPr>
          <w:instrText xml:space="preserve"> PAGEREF _Toc514055033 \h </w:instrText>
        </w:r>
        <w:r w:rsidR="00FD431B">
          <w:rPr>
            <w:noProof/>
            <w:webHidden/>
          </w:rPr>
        </w:r>
        <w:r w:rsidR="00FD431B">
          <w:rPr>
            <w:noProof/>
            <w:webHidden/>
          </w:rPr>
          <w:fldChar w:fldCharType="separate"/>
        </w:r>
        <w:r w:rsidR="00FD431B">
          <w:rPr>
            <w:noProof/>
            <w:webHidden/>
          </w:rPr>
          <w:t>12</w:t>
        </w:r>
        <w:r w:rsidR="00FD431B">
          <w:rPr>
            <w:noProof/>
            <w:webHidden/>
          </w:rPr>
          <w:fldChar w:fldCharType="end"/>
        </w:r>
      </w:hyperlink>
    </w:p>
    <w:p w14:paraId="153E97D1" w14:textId="1E53C2E5" w:rsidR="00FD431B" w:rsidRDefault="00B8765B">
      <w:pPr>
        <w:pStyle w:val="TOC2"/>
        <w:rPr>
          <w:rFonts w:asciiTheme="minorHAnsi" w:eastAsiaTheme="minorEastAsia" w:hAnsiTheme="minorHAnsi" w:cstheme="minorBidi"/>
          <w:noProof/>
          <w:sz w:val="22"/>
          <w:szCs w:val="22"/>
        </w:rPr>
      </w:pPr>
      <w:hyperlink w:anchor="_Toc514055034" w:history="1">
        <w:r w:rsidR="00FD431B" w:rsidRPr="00CB4726">
          <w:rPr>
            <w:rStyle w:val="Hyperlink"/>
            <w:noProof/>
          </w:rPr>
          <w:t>Generation Energy</w:t>
        </w:r>
        <w:r w:rsidR="00FD431B">
          <w:rPr>
            <w:noProof/>
            <w:webHidden/>
          </w:rPr>
          <w:tab/>
        </w:r>
        <w:r w:rsidR="00FD431B">
          <w:rPr>
            <w:noProof/>
            <w:webHidden/>
          </w:rPr>
          <w:fldChar w:fldCharType="begin"/>
        </w:r>
        <w:r w:rsidR="00FD431B">
          <w:rPr>
            <w:noProof/>
            <w:webHidden/>
          </w:rPr>
          <w:instrText xml:space="preserve"> PAGEREF _Toc514055034 \h </w:instrText>
        </w:r>
        <w:r w:rsidR="00FD431B">
          <w:rPr>
            <w:noProof/>
            <w:webHidden/>
          </w:rPr>
        </w:r>
        <w:r w:rsidR="00FD431B">
          <w:rPr>
            <w:noProof/>
            <w:webHidden/>
          </w:rPr>
          <w:fldChar w:fldCharType="separate"/>
        </w:r>
        <w:r w:rsidR="00FD431B">
          <w:rPr>
            <w:noProof/>
            <w:webHidden/>
          </w:rPr>
          <w:t>17</w:t>
        </w:r>
        <w:r w:rsidR="00FD431B">
          <w:rPr>
            <w:noProof/>
            <w:webHidden/>
          </w:rPr>
          <w:fldChar w:fldCharType="end"/>
        </w:r>
      </w:hyperlink>
    </w:p>
    <w:p w14:paraId="1D52FAB4" w14:textId="41704CF7" w:rsidR="00FD431B" w:rsidRDefault="00B8765B">
      <w:pPr>
        <w:pStyle w:val="TOC3"/>
        <w:rPr>
          <w:rFonts w:asciiTheme="minorHAnsi" w:eastAsiaTheme="minorEastAsia" w:hAnsiTheme="minorHAnsi" w:cstheme="minorBidi"/>
          <w:noProof/>
          <w:sz w:val="22"/>
          <w:szCs w:val="22"/>
        </w:rPr>
      </w:pPr>
      <w:hyperlink w:anchor="_Toc514055035" w:history="1">
        <w:r w:rsidR="00FD431B" w:rsidRPr="00CB4726">
          <w:rPr>
            <w:rStyle w:val="Hyperlink"/>
            <w:noProof/>
          </w:rPr>
          <w:t>Determination of energy market values</w:t>
        </w:r>
        <w:r w:rsidR="00FD431B">
          <w:rPr>
            <w:noProof/>
            <w:webHidden/>
          </w:rPr>
          <w:tab/>
        </w:r>
        <w:r w:rsidR="00FD431B">
          <w:rPr>
            <w:noProof/>
            <w:webHidden/>
          </w:rPr>
          <w:fldChar w:fldCharType="begin"/>
        </w:r>
        <w:r w:rsidR="00FD431B">
          <w:rPr>
            <w:noProof/>
            <w:webHidden/>
          </w:rPr>
          <w:instrText xml:space="preserve"> PAGEREF _Toc514055035 \h </w:instrText>
        </w:r>
        <w:r w:rsidR="00FD431B">
          <w:rPr>
            <w:noProof/>
            <w:webHidden/>
          </w:rPr>
        </w:r>
        <w:r w:rsidR="00FD431B">
          <w:rPr>
            <w:noProof/>
            <w:webHidden/>
          </w:rPr>
          <w:fldChar w:fldCharType="separate"/>
        </w:r>
        <w:r w:rsidR="00FD431B">
          <w:rPr>
            <w:noProof/>
            <w:webHidden/>
          </w:rPr>
          <w:t>17</w:t>
        </w:r>
        <w:r w:rsidR="00FD431B">
          <w:rPr>
            <w:noProof/>
            <w:webHidden/>
          </w:rPr>
          <w:fldChar w:fldCharType="end"/>
        </w:r>
      </w:hyperlink>
    </w:p>
    <w:p w14:paraId="136893B3" w14:textId="69C76019" w:rsidR="00FD431B" w:rsidRDefault="00B8765B">
      <w:pPr>
        <w:pStyle w:val="TOC3"/>
        <w:rPr>
          <w:rFonts w:asciiTheme="minorHAnsi" w:eastAsiaTheme="minorEastAsia" w:hAnsiTheme="minorHAnsi" w:cstheme="minorBidi"/>
          <w:noProof/>
          <w:sz w:val="22"/>
          <w:szCs w:val="22"/>
        </w:rPr>
      </w:pPr>
      <w:hyperlink w:anchor="_Toc514055036" w:history="1">
        <w:r w:rsidR="00FD431B" w:rsidRPr="00CB4726">
          <w:rPr>
            <w:rStyle w:val="Hyperlink"/>
            <w:noProof/>
          </w:rPr>
          <w:t>Hourly Shaping of Energy Costs</w:t>
        </w:r>
        <w:r w:rsidR="00FD431B">
          <w:rPr>
            <w:noProof/>
            <w:webHidden/>
          </w:rPr>
          <w:tab/>
        </w:r>
        <w:r w:rsidR="00FD431B">
          <w:rPr>
            <w:noProof/>
            <w:webHidden/>
          </w:rPr>
          <w:fldChar w:fldCharType="begin"/>
        </w:r>
        <w:r w:rsidR="00FD431B">
          <w:rPr>
            <w:noProof/>
            <w:webHidden/>
          </w:rPr>
          <w:instrText xml:space="preserve"> PAGEREF _Toc514055036 \h </w:instrText>
        </w:r>
        <w:r w:rsidR="00FD431B">
          <w:rPr>
            <w:noProof/>
            <w:webHidden/>
          </w:rPr>
        </w:r>
        <w:r w:rsidR="00FD431B">
          <w:rPr>
            <w:noProof/>
            <w:webHidden/>
          </w:rPr>
          <w:fldChar w:fldCharType="separate"/>
        </w:r>
        <w:r w:rsidR="00FD431B">
          <w:rPr>
            <w:noProof/>
            <w:webHidden/>
          </w:rPr>
          <w:t>20</w:t>
        </w:r>
        <w:r w:rsidR="00FD431B">
          <w:rPr>
            <w:noProof/>
            <w:webHidden/>
          </w:rPr>
          <w:fldChar w:fldCharType="end"/>
        </w:r>
      </w:hyperlink>
    </w:p>
    <w:p w14:paraId="2DF6F85E" w14:textId="0D2889F4" w:rsidR="00FD431B" w:rsidRDefault="00B8765B">
      <w:pPr>
        <w:pStyle w:val="TOC2"/>
        <w:rPr>
          <w:rFonts w:asciiTheme="minorHAnsi" w:eastAsiaTheme="minorEastAsia" w:hAnsiTheme="minorHAnsi" w:cstheme="minorBidi"/>
          <w:noProof/>
          <w:sz w:val="22"/>
          <w:szCs w:val="22"/>
        </w:rPr>
      </w:pPr>
      <w:hyperlink w:anchor="_Toc514055037" w:history="1">
        <w:r w:rsidR="00FD431B" w:rsidRPr="00CB4726">
          <w:rPr>
            <w:rStyle w:val="Hyperlink"/>
            <w:noProof/>
          </w:rPr>
          <w:t>Generation Capacity</w:t>
        </w:r>
        <w:r w:rsidR="00FD431B">
          <w:rPr>
            <w:noProof/>
            <w:webHidden/>
          </w:rPr>
          <w:tab/>
        </w:r>
        <w:r w:rsidR="00FD431B">
          <w:rPr>
            <w:noProof/>
            <w:webHidden/>
          </w:rPr>
          <w:fldChar w:fldCharType="begin"/>
        </w:r>
        <w:r w:rsidR="00FD431B">
          <w:rPr>
            <w:noProof/>
            <w:webHidden/>
          </w:rPr>
          <w:instrText xml:space="preserve"> PAGEREF _Toc514055037 \h </w:instrText>
        </w:r>
        <w:r w:rsidR="00FD431B">
          <w:rPr>
            <w:noProof/>
            <w:webHidden/>
          </w:rPr>
        </w:r>
        <w:r w:rsidR="00FD431B">
          <w:rPr>
            <w:noProof/>
            <w:webHidden/>
          </w:rPr>
          <w:fldChar w:fldCharType="separate"/>
        </w:r>
        <w:r w:rsidR="00FD431B">
          <w:rPr>
            <w:noProof/>
            <w:webHidden/>
          </w:rPr>
          <w:t>21</w:t>
        </w:r>
        <w:r w:rsidR="00FD431B">
          <w:rPr>
            <w:noProof/>
            <w:webHidden/>
          </w:rPr>
          <w:fldChar w:fldCharType="end"/>
        </w:r>
      </w:hyperlink>
    </w:p>
    <w:p w14:paraId="76A30CC8" w14:textId="71312F2B" w:rsidR="00FD431B" w:rsidRDefault="00B8765B">
      <w:pPr>
        <w:pStyle w:val="TOC3"/>
        <w:rPr>
          <w:rFonts w:asciiTheme="minorHAnsi" w:eastAsiaTheme="minorEastAsia" w:hAnsiTheme="minorHAnsi" w:cstheme="minorBidi"/>
          <w:noProof/>
          <w:sz w:val="22"/>
          <w:szCs w:val="22"/>
        </w:rPr>
      </w:pPr>
      <w:hyperlink w:anchor="_Toc514055038" w:history="1">
        <w:r w:rsidR="00FD431B" w:rsidRPr="00CB4726">
          <w:rPr>
            <w:rStyle w:val="Hyperlink"/>
            <w:noProof/>
          </w:rPr>
          <w:t>Generation resource balance year</w:t>
        </w:r>
        <w:r w:rsidR="00FD431B">
          <w:rPr>
            <w:noProof/>
            <w:webHidden/>
          </w:rPr>
          <w:tab/>
        </w:r>
        <w:r w:rsidR="00FD431B">
          <w:rPr>
            <w:noProof/>
            <w:webHidden/>
          </w:rPr>
          <w:fldChar w:fldCharType="begin"/>
        </w:r>
        <w:r w:rsidR="00FD431B">
          <w:rPr>
            <w:noProof/>
            <w:webHidden/>
          </w:rPr>
          <w:instrText xml:space="preserve"> PAGEREF _Toc514055038 \h </w:instrText>
        </w:r>
        <w:r w:rsidR="00FD431B">
          <w:rPr>
            <w:noProof/>
            <w:webHidden/>
          </w:rPr>
        </w:r>
        <w:r w:rsidR="00FD431B">
          <w:rPr>
            <w:noProof/>
            <w:webHidden/>
          </w:rPr>
          <w:fldChar w:fldCharType="separate"/>
        </w:r>
        <w:r w:rsidR="00FD431B">
          <w:rPr>
            <w:noProof/>
            <w:webHidden/>
          </w:rPr>
          <w:t>22</w:t>
        </w:r>
        <w:r w:rsidR="00FD431B">
          <w:rPr>
            <w:noProof/>
            <w:webHidden/>
          </w:rPr>
          <w:fldChar w:fldCharType="end"/>
        </w:r>
      </w:hyperlink>
    </w:p>
    <w:p w14:paraId="682E3E4E" w14:textId="0024A4DB" w:rsidR="00FD431B" w:rsidRDefault="00B8765B">
      <w:pPr>
        <w:pStyle w:val="TOC3"/>
        <w:rPr>
          <w:rFonts w:asciiTheme="minorHAnsi" w:eastAsiaTheme="minorEastAsia" w:hAnsiTheme="minorHAnsi" w:cstheme="minorBidi"/>
          <w:noProof/>
          <w:sz w:val="22"/>
          <w:szCs w:val="22"/>
        </w:rPr>
      </w:pPr>
      <w:hyperlink w:anchor="_Toc514055039" w:history="1">
        <w:r w:rsidR="00FD431B" w:rsidRPr="00CB4726">
          <w:rPr>
            <w:rStyle w:val="Hyperlink"/>
            <w:noProof/>
          </w:rPr>
          <w:t>CT dispatch</w:t>
        </w:r>
        <w:r w:rsidR="00FD431B">
          <w:rPr>
            <w:noProof/>
            <w:webHidden/>
          </w:rPr>
          <w:tab/>
        </w:r>
        <w:r w:rsidR="00FD431B">
          <w:rPr>
            <w:noProof/>
            <w:webHidden/>
          </w:rPr>
          <w:fldChar w:fldCharType="begin"/>
        </w:r>
        <w:r w:rsidR="00FD431B">
          <w:rPr>
            <w:noProof/>
            <w:webHidden/>
          </w:rPr>
          <w:instrText xml:space="preserve"> PAGEREF _Toc514055039 \h </w:instrText>
        </w:r>
        <w:r w:rsidR="00FD431B">
          <w:rPr>
            <w:noProof/>
            <w:webHidden/>
          </w:rPr>
        </w:r>
        <w:r w:rsidR="00FD431B">
          <w:rPr>
            <w:noProof/>
            <w:webHidden/>
          </w:rPr>
          <w:fldChar w:fldCharType="separate"/>
        </w:r>
        <w:r w:rsidR="00FD431B">
          <w:rPr>
            <w:noProof/>
            <w:webHidden/>
          </w:rPr>
          <w:t>22</w:t>
        </w:r>
        <w:r w:rsidR="00FD431B">
          <w:rPr>
            <w:noProof/>
            <w:webHidden/>
          </w:rPr>
          <w:fldChar w:fldCharType="end"/>
        </w:r>
      </w:hyperlink>
    </w:p>
    <w:p w14:paraId="511914AC" w14:textId="4DB0A141" w:rsidR="00FD431B" w:rsidRDefault="00B8765B">
      <w:pPr>
        <w:pStyle w:val="TOC3"/>
        <w:rPr>
          <w:rFonts w:asciiTheme="minorHAnsi" w:eastAsiaTheme="minorEastAsia" w:hAnsiTheme="minorHAnsi" w:cstheme="minorBidi"/>
          <w:noProof/>
          <w:sz w:val="22"/>
          <w:szCs w:val="22"/>
        </w:rPr>
      </w:pPr>
      <w:hyperlink w:anchor="_Toc514055040" w:history="1">
        <w:r w:rsidR="00FD431B" w:rsidRPr="00CB4726">
          <w:rPr>
            <w:rStyle w:val="Hyperlink"/>
            <w:noProof/>
          </w:rPr>
          <w:t>Temperature effect on unit performance</w:t>
        </w:r>
        <w:r w:rsidR="00FD431B">
          <w:rPr>
            <w:noProof/>
            <w:webHidden/>
          </w:rPr>
          <w:tab/>
        </w:r>
        <w:r w:rsidR="00FD431B">
          <w:rPr>
            <w:noProof/>
            <w:webHidden/>
          </w:rPr>
          <w:fldChar w:fldCharType="begin"/>
        </w:r>
        <w:r w:rsidR="00FD431B">
          <w:rPr>
            <w:noProof/>
            <w:webHidden/>
          </w:rPr>
          <w:instrText xml:space="preserve"> PAGEREF _Toc514055040 \h </w:instrText>
        </w:r>
        <w:r w:rsidR="00FD431B">
          <w:rPr>
            <w:noProof/>
            <w:webHidden/>
          </w:rPr>
        </w:r>
        <w:r w:rsidR="00FD431B">
          <w:rPr>
            <w:noProof/>
            <w:webHidden/>
          </w:rPr>
          <w:fldChar w:fldCharType="separate"/>
        </w:r>
        <w:r w:rsidR="00FD431B">
          <w:rPr>
            <w:noProof/>
            <w:webHidden/>
          </w:rPr>
          <w:t>24</w:t>
        </w:r>
        <w:r w:rsidR="00FD431B">
          <w:rPr>
            <w:noProof/>
            <w:webHidden/>
          </w:rPr>
          <w:fldChar w:fldCharType="end"/>
        </w:r>
      </w:hyperlink>
    </w:p>
    <w:p w14:paraId="4A3AD842" w14:textId="73B5EDF7" w:rsidR="00FD431B" w:rsidRDefault="00B8765B">
      <w:pPr>
        <w:pStyle w:val="TOC3"/>
        <w:rPr>
          <w:rFonts w:asciiTheme="minorHAnsi" w:eastAsiaTheme="minorEastAsia" w:hAnsiTheme="minorHAnsi" w:cstheme="minorBidi"/>
          <w:noProof/>
          <w:sz w:val="22"/>
          <w:szCs w:val="22"/>
        </w:rPr>
      </w:pPr>
      <w:hyperlink w:anchor="_Toc514055041" w:history="1">
        <w:r w:rsidR="00FD431B" w:rsidRPr="00CB4726">
          <w:rPr>
            <w:rStyle w:val="Hyperlink"/>
            <w:noProof/>
          </w:rPr>
          <w:t>Planning reserve margin and losses</w:t>
        </w:r>
        <w:r w:rsidR="00FD431B">
          <w:rPr>
            <w:noProof/>
            <w:webHidden/>
          </w:rPr>
          <w:tab/>
        </w:r>
        <w:r w:rsidR="00FD431B">
          <w:rPr>
            <w:noProof/>
            <w:webHidden/>
          </w:rPr>
          <w:fldChar w:fldCharType="begin"/>
        </w:r>
        <w:r w:rsidR="00FD431B">
          <w:rPr>
            <w:noProof/>
            <w:webHidden/>
          </w:rPr>
          <w:instrText xml:space="preserve"> PAGEREF _Toc514055041 \h </w:instrText>
        </w:r>
        <w:r w:rsidR="00FD431B">
          <w:rPr>
            <w:noProof/>
            <w:webHidden/>
          </w:rPr>
        </w:r>
        <w:r w:rsidR="00FD431B">
          <w:rPr>
            <w:noProof/>
            <w:webHidden/>
          </w:rPr>
          <w:fldChar w:fldCharType="separate"/>
        </w:r>
        <w:r w:rsidR="00FD431B">
          <w:rPr>
            <w:noProof/>
            <w:webHidden/>
          </w:rPr>
          <w:t>27</w:t>
        </w:r>
        <w:r w:rsidR="00FD431B">
          <w:rPr>
            <w:noProof/>
            <w:webHidden/>
          </w:rPr>
          <w:fldChar w:fldCharType="end"/>
        </w:r>
      </w:hyperlink>
    </w:p>
    <w:p w14:paraId="4E874AA5" w14:textId="44E3A6EC" w:rsidR="00FD431B" w:rsidRDefault="00B8765B">
      <w:pPr>
        <w:pStyle w:val="TOC3"/>
        <w:rPr>
          <w:rFonts w:asciiTheme="minorHAnsi" w:eastAsiaTheme="minorEastAsia" w:hAnsiTheme="minorHAnsi" w:cstheme="minorBidi"/>
          <w:noProof/>
          <w:sz w:val="22"/>
          <w:szCs w:val="22"/>
        </w:rPr>
      </w:pPr>
      <w:hyperlink w:anchor="_Toc514055042" w:history="1">
        <w:r w:rsidR="00FD431B" w:rsidRPr="00CB4726">
          <w:rPr>
            <w:rStyle w:val="Hyperlink"/>
            <w:noProof/>
          </w:rPr>
          <w:t>Hourly allocation of capacity value</w:t>
        </w:r>
        <w:r w:rsidR="00FD431B">
          <w:rPr>
            <w:noProof/>
            <w:webHidden/>
          </w:rPr>
          <w:tab/>
        </w:r>
        <w:r w:rsidR="00FD431B">
          <w:rPr>
            <w:noProof/>
            <w:webHidden/>
          </w:rPr>
          <w:fldChar w:fldCharType="begin"/>
        </w:r>
        <w:r w:rsidR="00FD431B">
          <w:rPr>
            <w:noProof/>
            <w:webHidden/>
          </w:rPr>
          <w:instrText xml:space="preserve"> PAGEREF _Toc514055042 \h </w:instrText>
        </w:r>
        <w:r w:rsidR="00FD431B">
          <w:rPr>
            <w:noProof/>
            <w:webHidden/>
          </w:rPr>
        </w:r>
        <w:r w:rsidR="00FD431B">
          <w:rPr>
            <w:noProof/>
            <w:webHidden/>
          </w:rPr>
          <w:fldChar w:fldCharType="separate"/>
        </w:r>
        <w:r w:rsidR="00FD431B">
          <w:rPr>
            <w:noProof/>
            <w:webHidden/>
          </w:rPr>
          <w:t>27</w:t>
        </w:r>
        <w:r w:rsidR="00FD431B">
          <w:rPr>
            <w:noProof/>
            <w:webHidden/>
          </w:rPr>
          <w:fldChar w:fldCharType="end"/>
        </w:r>
      </w:hyperlink>
    </w:p>
    <w:p w14:paraId="374780A5" w14:textId="15011F73" w:rsidR="00FD431B" w:rsidRDefault="00B8765B">
      <w:pPr>
        <w:pStyle w:val="TOC2"/>
        <w:rPr>
          <w:rFonts w:asciiTheme="minorHAnsi" w:eastAsiaTheme="minorEastAsia" w:hAnsiTheme="minorHAnsi" w:cstheme="minorBidi"/>
          <w:noProof/>
          <w:sz w:val="22"/>
          <w:szCs w:val="22"/>
        </w:rPr>
      </w:pPr>
      <w:hyperlink w:anchor="_Toc514055043" w:history="1">
        <w:r w:rsidR="00FD431B" w:rsidRPr="00CB4726">
          <w:rPr>
            <w:rStyle w:val="Hyperlink"/>
            <w:noProof/>
          </w:rPr>
          <w:t>Ancillary Services (AS)</w:t>
        </w:r>
        <w:r w:rsidR="00FD431B">
          <w:rPr>
            <w:noProof/>
            <w:webHidden/>
          </w:rPr>
          <w:tab/>
        </w:r>
        <w:r w:rsidR="00FD431B">
          <w:rPr>
            <w:noProof/>
            <w:webHidden/>
          </w:rPr>
          <w:fldChar w:fldCharType="begin"/>
        </w:r>
        <w:r w:rsidR="00FD431B">
          <w:rPr>
            <w:noProof/>
            <w:webHidden/>
          </w:rPr>
          <w:instrText xml:space="preserve"> PAGEREF _Toc514055043 \h </w:instrText>
        </w:r>
        <w:r w:rsidR="00FD431B">
          <w:rPr>
            <w:noProof/>
            <w:webHidden/>
          </w:rPr>
        </w:r>
        <w:r w:rsidR="00FD431B">
          <w:rPr>
            <w:noProof/>
            <w:webHidden/>
          </w:rPr>
          <w:fldChar w:fldCharType="separate"/>
        </w:r>
        <w:r w:rsidR="00FD431B">
          <w:rPr>
            <w:noProof/>
            <w:webHidden/>
          </w:rPr>
          <w:t>29</w:t>
        </w:r>
        <w:r w:rsidR="00FD431B">
          <w:rPr>
            <w:noProof/>
            <w:webHidden/>
          </w:rPr>
          <w:fldChar w:fldCharType="end"/>
        </w:r>
      </w:hyperlink>
    </w:p>
    <w:p w14:paraId="4D1F1893" w14:textId="488580C1" w:rsidR="00FD431B" w:rsidRDefault="00B8765B">
      <w:pPr>
        <w:pStyle w:val="TOC2"/>
        <w:rPr>
          <w:rFonts w:asciiTheme="minorHAnsi" w:eastAsiaTheme="minorEastAsia" w:hAnsiTheme="minorHAnsi" w:cstheme="minorBidi"/>
          <w:noProof/>
          <w:sz w:val="22"/>
          <w:szCs w:val="22"/>
        </w:rPr>
      </w:pPr>
      <w:hyperlink w:anchor="_Toc514055044" w:history="1">
        <w:r w:rsidR="00FD431B" w:rsidRPr="00CB4726">
          <w:rPr>
            <w:rStyle w:val="Hyperlink"/>
            <w:noProof/>
          </w:rPr>
          <w:t>T&amp;D Capacity</w:t>
        </w:r>
        <w:r w:rsidR="00FD431B">
          <w:rPr>
            <w:noProof/>
            <w:webHidden/>
          </w:rPr>
          <w:tab/>
        </w:r>
        <w:r w:rsidR="00FD431B">
          <w:rPr>
            <w:noProof/>
            <w:webHidden/>
          </w:rPr>
          <w:fldChar w:fldCharType="begin"/>
        </w:r>
        <w:r w:rsidR="00FD431B">
          <w:rPr>
            <w:noProof/>
            <w:webHidden/>
          </w:rPr>
          <w:instrText xml:space="preserve"> PAGEREF _Toc514055044 \h </w:instrText>
        </w:r>
        <w:r w:rsidR="00FD431B">
          <w:rPr>
            <w:noProof/>
            <w:webHidden/>
          </w:rPr>
        </w:r>
        <w:r w:rsidR="00FD431B">
          <w:rPr>
            <w:noProof/>
            <w:webHidden/>
          </w:rPr>
          <w:fldChar w:fldCharType="separate"/>
        </w:r>
        <w:r w:rsidR="00FD431B">
          <w:rPr>
            <w:noProof/>
            <w:webHidden/>
          </w:rPr>
          <w:t>29</w:t>
        </w:r>
        <w:r w:rsidR="00FD431B">
          <w:rPr>
            <w:noProof/>
            <w:webHidden/>
          </w:rPr>
          <w:fldChar w:fldCharType="end"/>
        </w:r>
      </w:hyperlink>
    </w:p>
    <w:p w14:paraId="3CFEA90D" w14:textId="4FE84961" w:rsidR="00FD431B" w:rsidRDefault="00B8765B">
      <w:pPr>
        <w:pStyle w:val="TOC3"/>
        <w:rPr>
          <w:rFonts w:asciiTheme="minorHAnsi" w:eastAsiaTheme="minorEastAsia" w:hAnsiTheme="minorHAnsi" w:cstheme="minorBidi"/>
          <w:noProof/>
          <w:sz w:val="22"/>
          <w:szCs w:val="22"/>
        </w:rPr>
      </w:pPr>
      <w:hyperlink w:anchor="_Toc514055045" w:history="1">
        <w:r w:rsidR="00FD431B" w:rsidRPr="00CB4726">
          <w:rPr>
            <w:rStyle w:val="Hyperlink"/>
            <w:noProof/>
          </w:rPr>
          <w:t>Hourly allocation of T&amp;D capacity cost</w:t>
        </w:r>
        <w:r w:rsidR="00FD431B">
          <w:rPr>
            <w:noProof/>
            <w:webHidden/>
          </w:rPr>
          <w:tab/>
        </w:r>
        <w:r w:rsidR="00FD431B">
          <w:rPr>
            <w:noProof/>
            <w:webHidden/>
          </w:rPr>
          <w:fldChar w:fldCharType="begin"/>
        </w:r>
        <w:r w:rsidR="00FD431B">
          <w:rPr>
            <w:noProof/>
            <w:webHidden/>
          </w:rPr>
          <w:instrText xml:space="preserve"> PAGEREF _Toc514055045 \h </w:instrText>
        </w:r>
        <w:r w:rsidR="00FD431B">
          <w:rPr>
            <w:noProof/>
            <w:webHidden/>
          </w:rPr>
        </w:r>
        <w:r w:rsidR="00FD431B">
          <w:rPr>
            <w:noProof/>
            <w:webHidden/>
          </w:rPr>
          <w:fldChar w:fldCharType="separate"/>
        </w:r>
        <w:r w:rsidR="00FD431B">
          <w:rPr>
            <w:noProof/>
            <w:webHidden/>
          </w:rPr>
          <w:t>32</w:t>
        </w:r>
        <w:r w:rsidR="00FD431B">
          <w:rPr>
            <w:noProof/>
            <w:webHidden/>
          </w:rPr>
          <w:fldChar w:fldCharType="end"/>
        </w:r>
      </w:hyperlink>
    </w:p>
    <w:p w14:paraId="10A835E9" w14:textId="54BB4E27" w:rsidR="00FD431B" w:rsidRDefault="00B8765B">
      <w:pPr>
        <w:pStyle w:val="TOC2"/>
        <w:rPr>
          <w:rFonts w:asciiTheme="minorHAnsi" w:eastAsiaTheme="minorEastAsia" w:hAnsiTheme="minorHAnsi" w:cstheme="minorBidi"/>
          <w:noProof/>
          <w:sz w:val="22"/>
          <w:szCs w:val="22"/>
        </w:rPr>
      </w:pPr>
      <w:hyperlink w:anchor="_Toc514055046" w:history="1">
        <w:r w:rsidR="00FD431B" w:rsidRPr="00CB4726">
          <w:rPr>
            <w:rStyle w:val="Hyperlink"/>
            <w:noProof/>
          </w:rPr>
          <w:t>CO2 Monetized and GHG Adder Values</w:t>
        </w:r>
        <w:r w:rsidR="00FD431B">
          <w:rPr>
            <w:noProof/>
            <w:webHidden/>
          </w:rPr>
          <w:tab/>
        </w:r>
        <w:r w:rsidR="00FD431B">
          <w:rPr>
            <w:noProof/>
            <w:webHidden/>
          </w:rPr>
          <w:fldChar w:fldCharType="begin"/>
        </w:r>
        <w:r w:rsidR="00FD431B">
          <w:rPr>
            <w:noProof/>
            <w:webHidden/>
          </w:rPr>
          <w:instrText xml:space="preserve"> PAGEREF _Toc514055046 \h </w:instrText>
        </w:r>
        <w:r w:rsidR="00FD431B">
          <w:rPr>
            <w:noProof/>
            <w:webHidden/>
          </w:rPr>
        </w:r>
        <w:r w:rsidR="00FD431B">
          <w:rPr>
            <w:noProof/>
            <w:webHidden/>
          </w:rPr>
          <w:fldChar w:fldCharType="separate"/>
        </w:r>
        <w:r w:rsidR="00FD431B">
          <w:rPr>
            <w:noProof/>
            <w:webHidden/>
          </w:rPr>
          <w:t>36</w:t>
        </w:r>
        <w:r w:rsidR="00FD431B">
          <w:rPr>
            <w:noProof/>
            <w:webHidden/>
          </w:rPr>
          <w:fldChar w:fldCharType="end"/>
        </w:r>
      </w:hyperlink>
    </w:p>
    <w:p w14:paraId="2028EB7C" w14:textId="019FBAC6" w:rsidR="00FD431B" w:rsidRDefault="00B8765B">
      <w:pPr>
        <w:pStyle w:val="TOC3"/>
        <w:rPr>
          <w:rFonts w:asciiTheme="minorHAnsi" w:eastAsiaTheme="minorEastAsia" w:hAnsiTheme="minorHAnsi" w:cstheme="minorBidi"/>
          <w:noProof/>
          <w:sz w:val="22"/>
          <w:szCs w:val="22"/>
        </w:rPr>
      </w:pPr>
      <w:hyperlink w:anchor="_Toc514055047" w:history="1">
        <w:r w:rsidR="00FD431B" w:rsidRPr="00CB4726">
          <w:rPr>
            <w:rStyle w:val="Hyperlink"/>
            <w:noProof/>
          </w:rPr>
          <w:t>Monetized Carbon (cap and trade)</w:t>
        </w:r>
        <w:r w:rsidR="00FD431B">
          <w:rPr>
            <w:noProof/>
            <w:webHidden/>
          </w:rPr>
          <w:tab/>
        </w:r>
        <w:r w:rsidR="00FD431B">
          <w:rPr>
            <w:noProof/>
            <w:webHidden/>
          </w:rPr>
          <w:fldChar w:fldCharType="begin"/>
        </w:r>
        <w:r w:rsidR="00FD431B">
          <w:rPr>
            <w:noProof/>
            <w:webHidden/>
          </w:rPr>
          <w:instrText xml:space="preserve"> PAGEREF _Toc514055047 \h </w:instrText>
        </w:r>
        <w:r w:rsidR="00FD431B">
          <w:rPr>
            <w:noProof/>
            <w:webHidden/>
          </w:rPr>
        </w:r>
        <w:r w:rsidR="00FD431B">
          <w:rPr>
            <w:noProof/>
            <w:webHidden/>
          </w:rPr>
          <w:fldChar w:fldCharType="separate"/>
        </w:r>
        <w:r w:rsidR="00FD431B">
          <w:rPr>
            <w:noProof/>
            <w:webHidden/>
          </w:rPr>
          <w:t>36</w:t>
        </w:r>
        <w:r w:rsidR="00FD431B">
          <w:rPr>
            <w:noProof/>
            <w:webHidden/>
          </w:rPr>
          <w:fldChar w:fldCharType="end"/>
        </w:r>
      </w:hyperlink>
    </w:p>
    <w:p w14:paraId="5CDEC498" w14:textId="42582866" w:rsidR="00FD431B" w:rsidRDefault="00B8765B">
      <w:pPr>
        <w:pStyle w:val="TOC3"/>
        <w:rPr>
          <w:rFonts w:asciiTheme="minorHAnsi" w:eastAsiaTheme="minorEastAsia" w:hAnsiTheme="minorHAnsi" w:cstheme="minorBidi"/>
          <w:noProof/>
          <w:sz w:val="22"/>
          <w:szCs w:val="22"/>
        </w:rPr>
      </w:pPr>
      <w:hyperlink w:anchor="_Toc514055048" w:history="1">
        <w:r w:rsidR="00FD431B" w:rsidRPr="00CB4726">
          <w:rPr>
            <w:rStyle w:val="Hyperlink"/>
            <w:noProof/>
          </w:rPr>
          <w:t>GHG Adder</w:t>
        </w:r>
        <w:r w:rsidR="00FD431B">
          <w:rPr>
            <w:noProof/>
            <w:webHidden/>
          </w:rPr>
          <w:tab/>
        </w:r>
        <w:r w:rsidR="00FD431B">
          <w:rPr>
            <w:noProof/>
            <w:webHidden/>
          </w:rPr>
          <w:fldChar w:fldCharType="begin"/>
        </w:r>
        <w:r w:rsidR="00FD431B">
          <w:rPr>
            <w:noProof/>
            <w:webHidden/>
          </w:rPr>
          <w:instrText xml:space="preserve"> PAGEREF _Toc514055048 \h </w:instrText>
        </w:r>
        <w:r w:rsidR="00FD431B">
          <w:rPr>
            <w:noProof/>
            <w:webHidden/>
          </w:rPr>
        </w:r>
        <w:r w:rsidR="00FD431B">
          <w:rPr>
            <w:noProof/>
            <w:webHidden/>
          </w:rPr>
          <w:fldChar w:fldCharType="separate"/>
        </w:r>
        <w:r w:rsidR="00FD431B">
          <w:rPr>
            <w:noProof/>
            <w:webHidden/>
          </w:rPr>
          <w:t>39</w:t>
        </w:r>
        <w:r w:rsidR="00FD431B">
          <w:rPr>
            <w:noProof/>
            <w:webHidden/>
          </w:rPr>
          <w:fldChar w:fldCharType="end"/>
        </w:r>
      </w:hyperlink>
    </w:p>
    <w:p w14:paraId="6928DF2C" w14:textId="6EED1BCA" w:rsidR="00FD431B" w:rsidRDefault="00B8765B">
      <w:pPr>
        <w:pStyle w:val="TOC2"/>
        <w:rPr>
          <w:rFonts w:asciiTheme="minorHAnsi" w:eastAsiaTheme="minorEastAsia" w:hAnsiTheme="minorHAnsi" w:cstheme="minorBidi"/>
          <w:noProof/>
          <w:sz w:val="22"/>
          <w:szCs w:val="22"/>
        </w:rPr>
      </w:pPr>
      <w:hyperlink w:anchor="_Toc514055049" w:history="1">
        <w:r w:rsidR="00FD431B" w:rsidRPr="00CB4726">
          <w:rPr>
            <w:rStyle w:val="Hyperlink"/>
            <w:noProof/>
          </w:rPr>
          <w:t>Avoided RPS Cost</w:t>
        </w:r>
        <w:r w:rsidR="00FD431B">
          <w:rPr>
            <w:noProof/>
            <w:webHidden/>
          </w:rPr>
          <w:tab/>
        </w:r>
        <w:r w:rsidR="00FD431B">
          <w:rPr>
            <w:noProof/>
            <w:webHidden/>
          </w:rPr>
          <w:fldChar w:fldCharType="begin"/>
        </w:r>
        <w:r w:rsidR="00FD431B">
          <w:rPr>
            <w:noProof/>
            <w:webHidden/>
          </w:rPr>
          <w:instrText xml:space="preserve"> PAGEREF _Toc514055049 \h </w:instrText>
        </w:r>
        <w:r w:rsidR="00FD431B">
          <w:rPr>
            <w:noProof/>
            <w:webHidden/>
          </w:rPr>
        </w:r>
        <w:r w:rsidR="00FD431B">
          <w:rPr>
            <w:noProof/>
            <w:webHidden/>
          </w:rPr>
          <w:fldChar w:fldCharType="separate"/>
        </w:r>
        <w:r w:rsidR="00FD431B">
          <w:rPr>
            <w:noProof/>
            <w:webHidden/>
          </w:rPr>
          <w:t>41</w:t>
        </w:r>
        <w:r w:rsidR="00FD431B">
          <w:rPr>
            <w:noProof/>
            <w:webHidden/>
          </w:rPr>
          <w:fldChar w:fldCharType="end"/>
        </w:r>
      </w:hyperlink>
    </w:p>
    <w:p w14:paraId="600680A9" w14:textId="1E86635C" w:rsidR="00FD431B" w:rsidRDefault="00B8765B">
      <w:pPr>
        <w:pStyle w:val="TOC2"/>
        <w:rPr>
          <w:rFonts w:asciiTheme="minorHAnsi" w:eastAsiaTheme="minorEastAsia" w:hAnsiTheme="minorHAnsi" w:cstheme="minorBidi"/>
          <w:noProof/>
          <w:sz w:val="22"/>
          <w:szCs w:val="22"/>
        </w:rPr>
      </w:pPr>
      <w:hyperlink w:anchor="_Toc514055050" w:history="1">
        <w:r w:rsidR="00FD431B" w:rsidRPr="00CB4726">
          <w:rPr>
            <w:rStyle w:val="Hyperlink"/>
            <w:noProof/>
          </w:rPr>
          <w:t>Components Not Included</w:t>
        </w:r>
        <w:r w:rsidR="00FD431B">
          <w:rPr>
            <w:noProof/>
            <w:webHidden/>
          </w:rPr>
          <w:tab/>
        </w:r>
        <w:r w:rsidR="00FD431B">
          <w:rPr>
            <w:noProof/>
            <w:webHidden/>
          </w:rPr>
          <w:fldChar w:fldCharType="begin"/>
        </w:r>
        <w:r w:rsidR="00FD431B">
          <w:rPr>
            <w:noProof/>
            <w:webHidden/>
          </w:rPr>
          <w:instrText xml:space="preserve"> PAGEREF _Toc514055050 \h </w:instrText>
        </w:r>
        <w:r w:rsidR="00FD431B">
          <w:rPr>
            <w:noProof/>
            <w:webHidden/>
          </w:rPr>
        </w:r>
        <w:r w:rsidR="00FD431B">
          <w:rPr>
            <w:noProof/>
            <w:webHidden/>
          </w:rPr>
          <w:fldChar w:fldCharType="separate"/>
        </w:r>
        <w:r w:rsidR="00FD431B">
          <w:rPr>
            <w:noProof/>
            <w:webHidden/>
          </w:rPr>
          <w:t>42</w:t>
        </w:r>
        <w:r w:rsidR="00FD431B">
          <w:rPr>
            <w:noProof/>
            <w:webHidden/>
          </w:rPr>
          <w:fldChar w:fldCharType="end"/>
        </w:r>
      </w:hyperlink>
    </w:p>
    <w:p w14:paraId="7482BFE3" w14:textId="6F2CC5C2" w:rsidR="00FD431B" w:rsidRDefault="00B8765B">
      <w:pPr>
        <w:pStyle w:val="TOC1"/>
        <w:rPr>
          <w:rFonts w:asciiTheme="minorHAnsi" w:eastAsiaTheme="minorEastAsia" w:hAnsiTheme="minorHAnsi" w:cstheme="minorBidi"/>
          <w:noProof/>
          <w:sz w:val="22"/>
          <w:szCs w:val="22"/>
        </w:rPr>
      </w:pPr>
      <w:hyperlink w:anchor="_Toc514055051" w:history="1">
        <w:r w:rsidR="00FD431B" w:rsidRPr="00CB4726">
          <w:rPr>
            <w:rStyle w:val="Hyperlink"/>
            <w:noProof/>
          </w:rPr>
          <w:t>Appendix: Key Data Sources and Specific Methodology</w:t>
        </w:r>
        <w:r w:rsidR="00FD431B">
          <w:rPr>
            <w:noProof/>
            <w:webHidden/>
          </w:rPr>
          <w:tab/>
        </w:r>
        <w:r w:rsidR="00FD431B">
          <w:rPr>
            <w:noProof/>
            <w:webHidden/>
          </w:rPr>
          <w:fldChar w:fldCharType="begin"/>
        </w:r>
        <w:r w:rsidR="00FD431B">
          <w:rPr>
            <w:noProof/>
            <w:webHidden/>
          </w:rPr>
          <w:instrText xml:space="preserve"> PAGEREF _Toc514055051 \h </w:instrText>
        </w:r>
        <w:r w:rsidR="00FD431B">
          <w:rPr>
            <w:noProof/>
            <w:webHidden/>
          </w:rPr>
        </w:r>
        <w:r w:rsidR="00FD431B">
          <w:rPr>
            <w:noProof/>
            <w:webHidden/>
          </w:rPr>
          <w:fldChar w:fldCharType="separate"/>
        </w:r>
        <w:r w:rsidR="00FD431B">
          <w:rPr>
            <w:noProof/>
            <w:webHidden/>
          </w:rPr>
          <w:t>44</w:t>
        </w:r>
        <w:r w:rsidR="00FD431B">
          <w:rPr>
            <w:noProof/>
            <w:webHidden/>
          </w:rPr>
          <w:fldChar w:fldCharType="end"/>
        </w:r>
      </w:hyperlink>
    </w:p>
    <w:p w14:paraId="57086844" w14:textId="769C51E9" w:rsidR="00FD431B" w:rsidRDefault="00B8765B">
      <w:pPr>
        <w:pStyle w:val="TOC2"/>
        <w:rPr>
          <w:rFonts w:asciiTheme="minorHAnsi" w:eastAsiaTheme="minorEastAsia" w:hAnsiTheme="minorHAnsi" w:cstheme="minorBidi"/>
          <w:noProof/>
          <w:sz w:val="22"/>
          <w:szCs w:val="22"/>
        </w:rPr>
      </w:pPr>
      <w:hyperlink w:anchor="_Toc514055052" w:history="1">
        <w:r w:rsidR="00FD431B" w:rsidRPr="00CB4726">
          <w:rPr>
            <w:rStyle w:val="Hyperlink"/>
            <w:noProof/>
          </w:rPr>
          <w:t>Power plant cost assumptions</w:t>
        </w:r>
        <w:r w:rsidR="00FD431B">
          <w:rPr>
            <w:noProof/>
            <w:webHidden/>
          </w:rPr>
          <w:tab/>
        </w:r>
        <w:r w:rsidR="00FD431B">
          <w:rPr>
            <w:noProof/>
            <w:webHidden/>
          </w:rPr>
          <w:fldChar w:fldCharType="begin"/>
        </w:r>
        <w:r w:rsidR="00FD431B">
          <w:rPr>
            <w:noProof/>
            <w:webHidden/>
          </w:rPr>
          <w:instrText xml:space="preserve"> PAGEREF _Toc514055052 \h </w:instrText>
        </w:r>
        <w:r w:rsidR="00FD431B">
          <w:rPr>
            <w:noProof/>
            <w:webHidden/>
          </w:rPr>
        </w:r>
        <w:r w:rsidR="00FD431B">
          <w:rPr>
            <w:noProof/>
            <w:webHidden/>
          </w:rPr>
          <w:fldChar w:fldCharType="separate"/>
        </w:r>
        <w:r w:rsidR="00FD431B">
          <w:rPr>
            <w:noProof/>
            <w:webHidden/>
          </w:rPr>
          <w:t>44</w:t>
        </w:r>
        <w:r w:rsidR="00FD431B">
          <w:rPr>
            <w:noProof/>
            <w:webHidden/>
          </w:rPr>
          <w:fldChar w:fldCharType="end"/>
        </w:r>
      </w:hyperlink>
    </w:p>
    <w:p w14:paraId="7894DBD5" w14:textId="017F1283" w:rsidR="00FD431B" w:rsidRDefault="00B8765B">
      <w:pPr>
        <w:pStyle w:val="TOC2"/>
        <w:rPr>
          <w:rFonts w:asciiTheme="minorHAnsi" w:eastAsiaTheme="minorEastAsia" w:hAnsiTheme="minorHAnsi" w:cstheme="minorBidi"/>
          <w:noProof/>
          <w:sz w:val="22"/>
          <w:szCs w:val="22"/>
        </w:rPr>
      </w:pPr>
      <w:hyperlink w:anchor="_Toc514055053" w:history="1">
        <w:r w:rsidR="00FD431B" w:rsidRPr="00CB4726">
          <w:rPr>
            <w:rStyle w:val="Hyperlink"/>
            <w:noProof/>
          </w:rPr>
          <w:t>Generation Loss Factors</w:t>
        </w:r>
        <w:r w:rsidR="00FD431B">
          <w:rPr>
            <w:noProof/>
            <w:webHidden/>
          </w:rPr>
          <w:tab/>
        </w:r>
        <w:r w:rsidR="00FD431B">
          <w:rPr>
            <w:noProof/>
            <w:webHidden/>
          </w:rPr>
          <w:fldChar w:fldCharType="begin"/>
        </w:r>
        <w:r w:rsidR="00FD431B">
          <w:rPr>
            <w:noProof/>
            <w:webHidden/>
          </w:rPr>
          <w:instrText xml:space="preserve"> PAGEREF _Toc514055053 \h </w:instrText>
        </w:r>
        <w:r w:rsidR="00FD431B">
          <w:rPr>
            <w:noProof/>
            <w:webHidden/>
          </w:rPr>
        </w:r>
        <w:r w:rsidR="00FD431B">
          <w:rPr>
            <w:noProof/>
            <w:webHidden/>
          </w:rPr>
          <w:fldChar w:fldCharType="separate"/>
        </w:r>
        <w:r w:rsidR="00FD431B">
          <w:rPr>
            <w:noProof/>
            <w:webHidden/>
          </w:rPr>
          <w:t>45</w:t>
        </w:r>
        <w:r w:rsidR="00FD431B">
          <w:rPr>
            <w:noProof/>
            <w:webHidden/>
          </w:rPr>
          <w:fldChar w:fldCharType="end"/>
        </w:r>
      </w:hyperlink>
    </w:p>
    <w:p w14:paraId="01C26023" w14:textId="63FC3351" w:rsidR="00FD431B" w:rsidRDefault="00B8765B">
      <w:pPr>
        <w:pStyle w:val="TOC2"/>
        <w:rPr>
          <w:rFonts w:asciiTheme="minorHAnsi" w:eastAsiaTheme="minorEastAsia" w:hAnsiTheme="minorHAnsi" w:cstheme="minorBidi"/>
          <w:noProof/>
          <w:sz w:val="22"/>
          <w:szCs w:val="22"/>
        </w:rPr>
      </w:pPr>
      <w:hyperlink w:anchor="_Toc514055054" w:history="1">
        <w:r w:rsidR="00FD431B" w:rsidRPr="00CB4726">
          <w:rPr>
            <w:rStyle w:val="Hyperlink"/>
            <w:noProof/>
          </w:rPr>
          <w:t>Climate Zones</w:t>
        </w:r>
        <w:r w:rsidR="00FD431B">
          <w:rPr>
            <w:noProof/>
            <w:webHidden/>
          </w:rPr>
          <w:tab/>
        </w:r>
        <w:r w:rsidR="00FD431B">
          <w:rPr>
            <w:noProof/>
            <w:webHidden/>
          </w:rPr>
          <w:fldChar w:fldCharType="begin"/>
        </w:r>
        <w:r w:rsidR="00FD431B">
          <w:rPr>
            <w:noProof/>
            <w:webHidden/>
          </w:rPr>
          <w:instrText xml:space="preserve"> PAGEREF _Toc514055054 \h </w:instrText>
        </w:r>
        <w:r w:rsidR="00FD431B">
          <w:rPr>
            <w:noProof/>
            <w:webHidden/>
          </w:rPr>
        </w:r>
        <w:r w:rsidR="00FD431B">
          <w:rPr>
            <w:noProof/>
            <w:webHidden/>
          </w:rPr>
          <w:fldChar w:fldCharType="separate"/>
        </w:r>
        <w:r w:rsidR="00FD431B">
          <w:rPr>
            <w:noProof/>
            <w:webHidden/>
          </w:rPr>
          <w:t>47</w:t>
        </w:r>
        <w:r w:rsidR="00FD431B">
          <w:rPr>
            <w:noProof/>
            <w:webHidden/>
          </w:rPr>
          <w:fldChar w:fldCharType="end"/>
        </w:r>
      </w:hyperlink>
    </w:p>
    <w:p w14:paraId="18EEC59B" w14:textId="1BE8F40F" w:rsidR="00FD431B" w:rsidRDefault="00B8765B">
      <w:pPr>
        <w:pStyle w:val="TOC2"/>
        <w:rPr>
          <w:rFonts w:asciiTheme="minorHAnsi" w:eastAsiaTheme="minorEastAsia" w:hAnsiTheme="minorHAnsi" w:cstheme="minorBidi"/>
          <w:noProof/>
          <w:sz w:val="22"/>
          <w:szCs w:val="22"/>
        </w:rPr>
      </w:pPr>
      <w:hyperlink w:anchor="_Toc514055055" w:history="1">
        <w:r w:rsidR="00FD431B" w:rsidRPr="00CB4726">
          <w:rPr>
            <w:rStyle w:val="Hyperlink"/>
            <w:noProof/>
          </w:rPr>
          <w:t>T&amp;D Allocation Factors</w:t>
        </w:r>
        <w:r w:rsidR="00FD431B">
          <w:rPr>
            <w:noProof/>
            <w:webHidden/>
          </w:rPr>
          <w:tab/>
        </w:r>
        <w:r w:rsidR="00FD431B">
          <w:rPr>
            <w:noProof/>
            <w:webHidden/>
          </w:rPr>
          <w:fldChar w:fldCharType="begin"/>
        </w:r>
        <w:r w:rsidR="00FD431B">
          <w:rPr>
            <w:noProof/>
            <w:webHidden/>
          </w:rPr>
          <w:instrText xml:space="preserve"> PAGEREF _Toc514055055 \h </w:instrText>
        </w:r>
        <w:r w:rsidR="00FD431B">
          <w:rPr>
            <w:noProof/>
            <w:webHidden/>
          </w:rPr>
        </w:r>
        <w:r w:rsidR="00FD431B">
          <w:rPr>
            <w:noProof/>
            <w:webHidden/>
          </w:rPr>
          <w:fldChar w:fldCharType="separate"/>
        </w:r>
        <w:r w:rsidR="00FD431B">
          <w:rPr>
            <w:noProof/>
            <w:webHidden/>
          </w:rPr>
          <w:t>48</w:t>
        </w:r>
        <w:r w:rsidR="00FD431B">
          <w:rPr>
            <w:noProof/>
            <w:webHidden/>
          </w:rPr>
          <w:fldChar w:fldCharType="end"/>
        </w:r>
      </w:hyperlink>
    </w:p>
    <w:p w14:paraId="1B1F8934" w14:textId="37A5C4C5" w:rsidR="00FD431B" w:rsidRDefault="00B8765B">
      <w:pPr>
        <w:pStyle w:val="TOC2"/>
        <w:rPr>
          <w:rFonts w:asciiTheme="minorHAnsi" w:eastAsiaTheme="minorEastAsia" w:hAnsiTheme="minorHAnsi" w:cstheme="minorBidi"/>
          <w:noProof/>
          <w:sz w:val="22"/>
          <w:szCs w:val="22"/>
        </w:rPr>
      </w:pPr>
      <w:hyperlink w:anchor="_Toc514055056" w:history="1">
        <w:r w:rsidR="00FD431B" w:rsidRPr="00CB4726">
          <w:rPr>
            <w:rStyle w:val="Hyperlink"/>
            <w:noProof/>
          </w:rPr>
          <w:t>Distribution Load Simulation Regression Model</w:t>
        </w:r>
        <w:r w:rsidR="00FD431B" w:rsidRPr="00CB4726">
          <w:rPr>
            <w:rStyle w:val="Hyperlink"/>
            <w:i/>
            <w:noProof/>
          </w:rPr>
          <w:t xml:space="preserve"> Specifications</w:t>
        </w:r>
        <w:r w:rsidR="00FD431B">
          <w:rPr>
            <w:noProof/>
            <w:webHidden/>
          </w:rPr>
          <w:tab/>
        </w:r>
        <w:r w:rsidR="00FD431B">
          <w:rPr>
            <w:noProof/>
            <w:webHidden/>
          </w:rPr>
          <w:fldChar w:fldCharType="begin"/>
        </w:r>
        <w:r w:rsidR="00FD431B">
          <w:rPr>
            <w:noProof/>
            <w:webHidden/>
          </w:rPr>
          <w:instrText xml:space="preserve"> PAGEREF _Toc514055056 \h </w:instrText>
        </w:r>
        <w:r w:rsidR="00FD431B">
          <w:rPr>
            <w:noProof/>
            <w:webHidden/>
          </w:rPr>
        </w:r>
        <w:r w:rsidR="00FD431B">
          <w:rPr>
            <w:noProof/>
            <w:webHidden/>
          </w:rPr>
          <w:fldChar w:fldCharType="separate"/>
        </w:r>
        <w:r w:rsidR="00FD431B">
          <w:rPr>
            <w:noProof/>
            <w:webHidden/>
          </w:rPr>
          <w:t>59</w:t>
        </w:r>
        <w:r w:rsidR="00FD431B">
          <w:rPr>
            <w:noProof/>
            <w:webHidden/>
          </w:rPr>
          <w:fldChar w:fldCharType="end"/>
        </w:r>
      </w:hyperlink>
    </w:p>
    <w:p w14:paraId="23DF5BB8" w14:textId="028FD866" w:rsidR="00FD431B" w:rsidRDefault="00B8765B">
      <w:pPr>
        <w:pStyle w:val="TOC1"/>
        <w:rPr>
          <w:rFonts w:asciiTheme="minorHAnsi" w:eastAsiaTheme="minorEastAsia" w:hAnsiTheme="minorHAnsi" w:cstheme="minorBidi"/>
          <w:noProof/>
          <w:sz w:val="22"/>
          <w:szCs w:val="22"/>
        </w:rPr>
      </w:pPr>
      <w:hyperlink w:anchor="_Toc514055057" w:history="1">
        <w:r w:rsidR="00FD431B" w:rsidRPr="00CB4726">
          <w:rPr>
            <w:rStyle w:val="Hyperlink"/>
            <w:noProof/>
          </w:rPr>
          <w:t>User Quick Guide   ACC 2018 v1d</w:t>
        </w:r>
        <w:r w:rsidR="00FD431B">
          <w:rPr>
            <w:noProof/>
            <w:webHidden/>
          </w:rPr>
          <w:tab/>
        </w:r>
        <w:r w:rsidR="00FD431B">
          <w:rPr>
            <w:noProof/>
            <w:webHidden/>
          </w:rPr>
          <w:fldChar w:fldCharType="begin"/>
        </w:r>
        <w:r w:rsidR="00FD431B">
          <w:rPr>
            <w:noProof/>
            <w:webHidden/>
          </w:rPr>
          <w:instrText xml:space="preserve"> PAGEREF _Toc514055057 \h </w:instrText>
        </w:r>
        <w:r w:rsidR="00FD431B">
          <w:rPr>
            <w:noProof/>
            <w:webHidden/>
          </w:rPr>
        </w:r>
        <w:r w:rsidR="00FD431B">
          <w:rPr>
            <w:noProof/>
            <w:webHidden/>
          </w:rPr>
          <w:fldChar w:fldCharType="separate"/>
        </w:r>
        <w:r w:rsidR="00FD431B">
          <w:rPr>
            <w:noProof/>
            <w:webHidden/>
          </w:rPr>
          <w:t>73</w:t>
        </w:r>
        <w:r w:rsidR="00FD431B">
          <w:rPr>
            <w:noProof/>
            <w:webHidden/>
          </w:rPr>
          <w:fldChar w:fldCharType="end"/>
        </w:r>
      </w:hyperlink>
    </w:p>
    <w:p w14:paraId="4ACE74CA" w14:textId="73D1DDE5" w:rsidR="00FD431B" w:rsidRDefault="00B8765B">
      <w:pPr>
        <w:pStyle w:val="TOC2"/>
        <w:rPr>
          <w:rFonts w:asciiTheme="minorHAnsi" w:eastAsiaTheme="minorEastAsia" w:hAnsiTheme="minorHAnsi" w:cstheme="minorBidi"/>
          <w:noProof/>
          <w:sz w:val="22"/>
          <w:szCs w:val="22"/>
        </w:rPr>
      </w:pPr>
      <w:hyperlink w:anchor="_Toc514055058" w:history="1">
        <w:r w:rsidR="00FD431B" w:rsidRPr="00CB4726">
          <w:rPr>
            <w:rStyle w:val="Hyperlink"/>
            <w:noProof/>
          </w:rPr>
          <w:t>Purpose</w:t>
        </w:r>
        <w:r w:rsidR="00FD431B">
          <w:rPr>
            <w:noProof/>
            <w:webHidden/>
          </w:rPr>
          <w:tab/>
        </w:r>
        <w:r w:rsidR="00FD431B">
          <w:rPr>
            <w:noProof/>
            <w:webHidden/>
          </w:rPr>
          <w:fldChar w:fldCharType="begin"/>
        </w:r>
        <w:r w:rsidR="00FD431B">
          <w:rPr>
            <w:noProof/>
            <w:webHidden/>
          </w:rPr>
          <w:instrText xml:space="preserve"> PAGEREF _Toc514055058 \h </w:instrText>
        </w:r>
        <w:r w:rsidR="00FD431B">
          <w:rPr>
            <w:noProof/>
            <w:webHidden/>
          </w:rPr>
        </w:r>
        <w:r w:rsidR="00FD431B">
          <w:rPr>
            <w:noProof/>
            <w:webHidden/>
          </w:rPr>
          <w:fldChar w:fldCharType="separate"/>
        </w:r>
        <w:r w:rsidR="00FD431B">
          <w:rPr>
            <w:noProof/>
            <w:webHidden/>
          </w:rPr>
          <w:t>73</w:t>
        </w:r>
        <w:r w:rsidR="00FD431B">
          <w:rPr>
            <w:noProof/>
            <w:webHidden/>
          </w:rPr>
          <w:fldChar w:fldCharType="end"/>
        </w:r>
      </w:hyperlink>
    </w:p>
    <w:p w14:paraId="6D634624" w14:textId="33D0DB49" w:rsidR="00FD431B" w:rsidRDefault="00B8765B">
      <w:pPr>
        <w:pStyle w:val="TOC2"/>
        <w:rPr>
          <w:rFonts w:asciiTheme="minorHAnsi" w:eastAsiaTheme="minorEastAsia" w:hAnsiTheme="minorHAnsi" w:cstheme="minorBidi"/>
          <w:noProof/>
          <w:sz w:val="22"/>
          <w:szCs w:val="22"/>
        </w:rPr>
      </w:pPr>
      <w:hyperlink w:anchor="_Toc514055059" w:history="1">
        <w:r w:rsidR="00FD431B" w:rsidRPr="00CB4726">
          <w:rPr>
            <w:rStyle w:val="Hyperlink"/>
            <w:noProof/>
          </w:rPr>
          <w:t>Using the Model</w:t>
        </w:r>
        <w:r w:rsidR="00FD431B">
          <w:rPr>
            <w:noProof/>
            <w:webHidden/>
          </w:rPr>
          <w:tab/>
        </w:r>
        <w:r w:rsidR="00FD431B">
          <w:rPr>
            <w:noProof/>
            <w:webHidden/>
          </w:rPr>
          <w:fldChar w:fldCharType="begin"/>
        </w:r>
        <w:r w:rsidR="00FD431B">
          <w:rPr>
            <w:noProof/>
            <w:webHidden/>
          </w:rPr>
          <w:instrText xml:space="preserve"> PAGEREF _Toc514055059 \h </w:instrText>
        </w:r>
        <w:r w:rsidR="00FD431B">
          <w:rPr>
            <w:noProof/>
            <w:webHidden/>
          </w:rPr>
        </w:r>
        <w:r w:rsidR="00FD431B">
          <w:rPr>
            <w:noProof/>
            <w:webHidden/>
          </w:rPr>
          <w:fldChar w:fldCharType="separate"/>
        </w:r>
        <w:r w:rsidR="00FD431B">
          <w:rPr>
            <w:noProof/>
            <w:webHidden/>
          </w:rPr>
          <w:t>73</w:t>
        </w:r>
        <w:r w:rsidR="00FD431B">
          <w:rPr>
            <w:noProof/>
            <w:webHidden/>
          </w:rPr>
          <w:fldChar w:fldCharType="end"/>
        </w:r>
      </w:hyperlink>
    </w:p>
    <w:p w14:paraId="1486CE57" w14:textId="4B06B431" w:rsidR="00FD431B" w:rsidRDefault="00B8765B">
      <w:pPr>
        <w:pStyle w:val="TOC2"/>
        <w:rPr>
          <w:rFonts w:asciiTheme="minorHAnsi" w:eastAsiaTheme="minorEastAsia" w:hAnsiTheme="minorHAnsi" w:cstheme="minorBidi"/>
          <w:noProof/>
          <w:sz w:val="22"/>
          <w:szCs w:val="22"/>
        </w:rPr>
      </w:pPr>
      <w:hyperlink w:anchor="_Toc514055060" w:history="1">
        <w:r w:rsidR="00FD431B" w:rsidRPr="00CB4726">
          <w:rPr>
            <w:rStyle w:val="Hyperlink"/>
            <w:noProof/>
          </w:rPr>
          <w:t>Exporting Hourly Results</w:t>
        </w:r>
        <w:r w:rsidR="00FD431B">
          <w:rPr>
            <w:noProof/>
            <w:webHidden/>
          </w:rPr>
          <w:tab/>
        </w:r>
        <w:r w:rsidR="00FD431B">
          <w:rPr>
            <w:noProof/>
            <w:webHidden/>
          </w:rPr>
          <w:fldChar w:fldCharType="begin"/>
        </w:r>
        <w:r w:rsidR="00FD431B">
          <w:rPr>
            <w:noProof/>
            <w:webHidden/>
          </w:rPr>
          <w:instrText xml:space="preserve"> PAGEREF _Toc514055060 \h </w:instrText>
        </w:r>
        <w:r w:rsidR="00FD431B">
          <w:rPr>
            <w:noProof/>
            <w:webHidden/>
          </w:rPr>
        </w:r>
        <w:r w:rsidR="00FD431B">
          <w:rPr>
            <w:noProof/>
            <w:webHidden/>
          </w:rPr>
          <w:fldChar w:fldCharType="separate"/>
        </w:r>
        <w:r w:rsidR="00FD431B">
          <w:rPr>
            <w:noProof/>
            <w:webHidden/>
          </w:rPr>
          <w:t>74</w:t>
        </w:r>
        <w:r w:rsidR="00FD431B">
          <w:rPr>
            <w:noProof/>
            <w:webHidden/>
          </w:rPr>
          <w:fldChar w:fldCharType="end"/>
        </w:r>
      </w:hyperlink>
    </w:p>
    <w:p w14:paraId="12A68B71" w14:textId="7FF27295" w:rsidR="00FD431B" w:rsidRDefault="00B8765B">
      <w:pPr>
        <w:pStyle w:val="TOC2"/>
        <w:rPr>
          <w:rFonts w:asciiTheme="minorHAnsi" w:eastAsiaTheme="minorEastAsia" w:hAnsiTheme="minorHAnsi" w:cstheme="minorBidi"/>
          <w:noProof/>
          <w:sz w:val="22"/>
          <w:szCs w:val="22"/>
        </w:rPr>
      </w:pPr>
      <w:hyperlink w:anchor="_Toc514055061" w:history="1">
        <w:r w:rsidR="00FD431B" w:rsidRPr="00CB4726">
          <w:rPr>
            <w:rStyle w:val="Hyperlink"/>
            <w:noProof/>
          </w:rPr>
          <w:t>DR Reporting and PLS Tool Interface</w:t>
        </w:r>
        <w:r w:rsidR="00FD431B">
          <w:rPr>
            <w:noProof/>
            <w:webHidden/>
          </w:rPr>
          <w:tab/>
        </w:r>
        <w:r w:rsidR="00FD431B">
          <w:rPr>
            <w:noProof/>
            <w:webHidden/>
          </w:rPr>
          <w:fldChar w:fldCharType="begin"/>
        </w:r>
        <w:r w:rsidR="00FD431B">
          <w:rPr>
            <w:noProof/>
            <w:webHidden/>
          </w:rPr>
          <w:instrText xml:space="preserve"> PAGEREF _Toc514055061 \h </w:instrText>
        </w:r>
        <w:r w:rsidR="00FD431B">
          <w:rPr>
            <w:noProof/>
            <w:webHidden/>
          </w:rPr>
        </w:r>
        <w:r w:rsidR="00FD431B">
          <w:rPr>
            <w:noProof/>
            <w:webHidden/>
          </w:rPr>
          <w:fldChar w:fldCharType="separate"/>
        </w:r>
        <w:r w:rsidR="00FD431B">
          <w:rPr>
            <w:noProof/>
            <w:webHidden/>
          </w:rPr>
          <w:t>76</w:t>
        </w:r>
        <w:r w:rsidR="00FD431B">
          <w:rPr>
            <w:noProof/>
            <w:webHidden/>
          </w:rPr>
          <w:fldChar w:fldCharType="end"/>
        </w:r>
      </w:hyperlink>
    </w:p>
    <w:p w14:paraId="1A402B7F" w14:textId="41158ACB" w:rsidR="00FD431B" w:rsidRDefault="00B8765B">
      <w:pPr>
        <w:pStyle w:val="TOC2"/>
        <w:rPr>
          <w:rFonts w:asciiTheme="minorHAnsi" w:eastAsiaTheme="minorEastAsia" w:hAnsiTheme="minorHAnsi" w:cstheme="minorBidi"/>
          <w:noProof/>
          <w:sz w:val="22"/>
          <w:szCs w:val="22"/>
        </w:rPr>
      </w:pPr>
      <w:hyperlink w:anchor="_Toc514055062" w:history="1">
        <w:r w:rsidR="00FD431B" w:rsidRPr="00CB4726">
          <w:rPr>
            <w:rStyle w:val="Hyperlink"/>
            <w:noProof/>
          </w:rPr>
          <w:t>Inputs</w:t>
        </w:r>
        <w:r w:rsidR="00FD431B">
          <w:rPr>
            <w:noProof/>
            <w:webHidden/>
          </w:rPr>
          <w:tab/>
        </w:r>
        <w:r w:rsidR="00FD431B">
          <w:rPr>
            <w:noProof/>
            <w:webHidden/>
          </w:rPr>
          <w:fldChar w:fldCharType="begin"/>
        </w:r>
        <w:r w:rsidR="00FD431B">
          <w:rPr>
            <w:noProof/>
            <w:webHidden/>
          </w:rPr>
          <w:instrText xml:space="preserve"> PAGEREF _Toc514055062 \h </w:instrText>
        </w:r>
        <w:r w:rsidR="00FD431B">
          <w:rPr>
            <w:noProof/>
            <w:webHidden/>
          </w:rPr>
        </w:r>
        <w:r w:rsidR="00FD431B">
          <w:rPr>
            <w:noProof/>
            <w:webHidden/>
          </w:rPr>
          <w:fldChar w:fldCharType="separate"/>
        </w:r>
        <w:r w:rsidR="00FD431B">
          <w:rPr>
            <w:noProof/>
            <w:webHidden/>
          </w:rPr>
          <w:t>77</w:t>
        </w:r>
        <w:r w:rsidR="00FD431B">
          <w:rPr>
            <w:noProof/>
            <w:webHidden/>
          </w:rPr>
          <w:fldChar w:fldCharType="end"/>
        </w:r>
      </w:hyperlink>
    </w:p>
    <w:p w14:paraId="2AD15884" w14:textId="7BEB2DF1" w:rsidR="00FD431B" w:rsidRDefault="00B8765B">
      <w:pPr>
        <w:pStyle w:val="TOC2"/>
        <w:rPr>
          <w:rFonts w:asciiTheme="minorHAnsi" w:eastAsiaTheme="minorEastAsia" w:hAnsiTheme="minorHAnsi" w:cstheme="minorBidi"/>
          <w:noProof/>
          <w:sz w:val="22"/>
          <w:szCs w:val="22"/>
        </w:rPr>
      </w:pPr>
      <w:hyperlink w:anchor="_Toc514055063" w:history="1">
        <w:r w:rsidR="00FD431B" w:rsidRPr="00CB4726">
          <w:rPr>
            <w:rStyle w:val="Hyperlink"/>
            <w:noProof/>
          </w:rPr>
          <w:t>Remaining tabs</w:t>
        </w:r>
        <w:r w:rsidR="00FD431B">
          <w:rPr>
            <w:noProof/>
            <w:webHidden/>
          </w:rPr>
          <w:tab/>
        </w:r>
        <w:r w:rsidR="00FD431B">
          <w:rPr>
            <w:noProof/>
            <w:webHidden/>
          </w:rPr>
          <w:fldChar w:fldCharType="begin"/>
        </w:r>
        <w:r w:rsidR="00FD431B">
          <w:rPr>
            <w:noProof/>
            <w:webHidden/>
          </w:rPr>
          <w:instrText xml:space="preserve"> PAGEREF _Toc514055063 \h </w:instrText>
        </w:r>
        <w:r w:rsidR="00FD431B">
          <w:rPr>
            <w:noProof/>
            <w:webHidden/>
          </w:rPr>
        </w:r>
        <w:r w:rsidR="00FD431B">
          <w:rPr>
            <w:noProof/>
            <w:webHidden/>
          </w:rPr>
          <w:fldChar w:fldCharType="separate"/>
        </w:r>
        <w:r w:rsidR="00FD431B">
          <w:rPr>
            <w:noProof/>
            <w:webHidden/>
          </w:rPr>
          <w:t>78</w:t>
        </w:r>
        <w:r w:rsidR="00FD431B">
          <w:rPr>
            <w:noProof/>
            <w:webHidden/>
          </w:rPr>
          <w:fldChar w:fldCharType="end"/>
        </w:r>
      </w:hyperlink>
    </w:p>
    <w:p w14:paraId="3C3D8E54" w14:textId="742F2E10" w:rsidR="00FD431B" w:rsidRDefault="00B8765B">
      <w:pPr>
        <w:pStyle w:val="TOC1"/>
        <w:rPr>
          <w:rFonts w:asciiTheme="minorHAnsi" w:eastAsiaTheme="minorEastAsia" w:hAnsiTheme="minorHAnsi" w:cstheme="minorBidi"/>
          <w:noProof/>
          <w:sz w:val="22"/>
          <w:szCs w:val="22"/>
        </w:rPr>
      </w:pPr>
      <w:hyperlink w:anchor="_Toc514055064" w:history="1">
        <w:r w:rsidR="00FD431B" w:rsidRPr="00CB4726">
          <w:rPr>
            <w:rStyle w:val="Hyperlink"/>
            <w:noProof/>
          </w:rPr>
          <w:t>Version Change Summary</w:t>
        </w:r>
        <w:r w:rsidR="00FD431B">
          <w:rPr>
            <w:noProof/>
            <w:webHidden/>
          </w:rPr>
          <w:tab/>
        </w:r>
        <w:r w:rsidR="00FD431B">
          <w:rPr>
            <w:noProof/>
            <w:webHidden/>
          </w:rPr>
          <w:fldChar w:fldCharType="begin"/>
        </w:r>
        <w:r w:rsidR="00FD431B">
          <w:rPr>
            <w:noProof/>
            <w:webHidden/>
          </w:rPr>
          <w:instrText xml:space="preserve"> PAGEREF _Toc514055064 \h </w:instrText>
        </w:r>
        <w:r w:rsidR="00FD431B">
          <w:rPr>
            <w:noProof/>
            <w:webHidden/>
          </w:rPr>
        </w:r>
        <w:r w:rsidR="00FD431B">
          <w:rPr>
            <w:noProof/>
            <w:webHidden/>
          </w:rPr>
          <w:fldChar w:fldCharType="separate"/>
        </w:r>
        <w:r w:rsidR="00FD431B">
          <w:rPr>
            <w:noProof/>
            <w:webHidden/>
          </w:rPr>
          <w:t>79</w:t>
        </w:r>
        <w:r w:rsidR="00FD431B">
          <w:rPr>
            <w:noProof/>
            <w:webHidden/>
          </w:rPr>
          <w:fldChar w:fldCharType="end"/>
        </w:r>
      </w:hyperlink>
    </w:p>
    <w:p w14:paraId="208A0635" w14:textId="0852835E" w:rsidR="00FD431B" w:rsidRDefault="00B8765B">
      <w:pPr>
        <w:pStyle w:val="TOC2"/>
        <w:rPr>
          <w:rFonts w:asciiTheme="minorHAnsi" w:eastAsiaTheme="minorEastAsia" w:hAnsiTheme="minorHAnsi" w:cstheme="minorBidi"/>
          <w:noProof/>
          <w:sz w:val="22"/>
          <w:szCs w:val="22"/>
        </w:rPr>
      </w:pPr>
      <w:hyperlink w:anchor="_Toc514055065" w:history="1">
        <w:r w:rsidR="00FD431B" w:rsidRPr="00CB4726">
          <w:rPr>
            <w:rStyle w:val="Hyperlink"/>
            <w:noProof/>
          </w:rPr>
          <w:t>Avoided Cost Model Version ACC_2018_v1e</w:t>
        </w:r>
        <w:r w:rsidR="00FD431B">
          <w:rPr>
            <w:noProof/>
            <w:webHidden/>
          </w:rPr>
          <w:tab/>
        </w:r>
        <w:r w:rsidR="00FD431B">
          <w:rPr>
            <w:noProof/>
            <w:webHidden/>
          </w:rPr>
          <w:fldChar w:fldCharType="begin"/>
        </w:r>
        <w:r w:rsidR="00FD431B">
          <w:rPr>
            <w:noProof/>
            <w:webHidden/>
          </w:rPr>
          <w:instrText xml:space="preserve"> PAGEREF _Toc514055065 \h </w:instrText>
        </w:r>
        <w:r w:rsidR="00FD431B">
          <w:rPr>
            <w:noProof/>
            <w:webHidden/>
          </w:rPr>
        </w:r>
        <w:r w:rsidR="00FD431B">
          <w:rPr>
            <w:noProof/>
            <w:webHidden/>
          </w:rPr>
          <w:fldChar w:fldCharType="separate"/>
        </w:r>
        <w:r w:rsidR="00FD431B">
          <w:rPr>
            <w:noProof/>
            <w:webHidden/>
          </w:rPr>
          <w:t>79</w:t>
        </w:r>
        <w:r w:rsidR="00FD431B">
          <w:rPr>
            <w:noProof/>
            <w:webHidden/>
          </w:rPr>
          <w:fldChar w:fldCharType="end"/>
        </w:r>
      </w:hyperlink>
    </w:p>
    <w:p w14:paraId="6A1CE2FD" w14:textId="6B29A147" w:rsidR="00FD431B" w:rsidRDefault="00B8765B">
      <w:pPr>
        <w:pStyle w:val="TOC2"/>
        <w:rPr>
          <w:rFonts w:asciiTheme="minorHAnsi" w:eastAsiaTheme="minorEastAsia" w:hAnsiTheme="minorHAnsi" w:cstheme="minorBidi"/>
          <w:noProof/>
          <w:sz w:val="22"/>
          <w:szCs w:val="22"/>
        </w:rPr>
      </w:pPr>
      <w:hyperlink w:anchor="_Toc514055066" w:history="1">
        <w:r w:rsidR="00FD431B" w:rsidRPr="00CB4726">
          <w:rPr>
            <w:rStyle w:val="Hyperlink"/>
            <w:noProof/>
          </w:rPr>
          <w:t>Avoided Cost Model Version ACC_2018_v1b</w:t>
        </w:r>
        <w:r w:rsidR="00FD431B">
          <w:rPr>
            <w:noProof/>
            <w:webHidden/>
          </w:rPr>
          <w:tab/>
        </w:r>
        <w:r w:rsidR="00FD431B">
          <w:rPr>
            <w:noProof/>
            <w:webHidden/>
          </w:rPr>
          <w:fldChar w:fldCharType="begin"/>
        </w:r>
        <w:r w:rsidR="00FD431B">
          <w:rPr>
            <w:noProof/>
            <w:webHidden/>
          </w:rPr>
          <w:instrText xml:space="preserve"> PAGEREF _Toc514055066 \h </w:instrText>
        </w:r>
        <w:r w:rsidR="00FD431B">
          <w:rPr>
            <w:noProof/>
            <w:webHidden/>
          </w:rPr>
        </w:r>
        <w:r w:rsidR="00FD431B">
          <w:rPr>
            <w:noProof/>
            <w:webHidden/>
          </w:rPr>
          <w:fldChar w:fldCharType="separate"/>
        </w:r>
        <w:r w:rsidR="00FD431B">
          <w:rPr>
            <w:noProof/>
            <w:webHidden/>
          </w:rPr>
          <w:t>79</w:t>
        </w:r>
        <w:r w:rsidR="00FD431B">
          <w:rPr>
            <w:noProof/>
            <w:webHidden/>
          </w:rPr>
          <w:fldChar w:fldCharType="end"/>
        </w:r>
      </w:hyperlink>
    </w:p>
    <w:p w14:paraId="713CE58A" w14:textId="39582ED1" w:rsidR="00FD431B" w:rsidRDefault="00B8765B">
      <w:pPr>
        <w:pStyle w:val="TOC2"/>
        <w:rPr>
          <w:rFonts w:asciiTheme="minorHAnsi" w:eastAsiaTheme="minorEastAsia" w:hAnsiTheme="minorHAnsi" w:cstheme="minorBidi"/>
          <w:noProof/>
          <w:sz w:val="22"/>
          <w:szCs w:val="22"/>
        </w:rPr>
      </w:pPr>
      <w:hyperlink w:anchor="_Toc514055067" w:history="1">
        <w:r w:rsidR="00FD431B" w:rsidRPr="00CB4726">
          <w:rPr>
            <w:rStyle w:val="Hyperlink"/>
            <w:noProof/>
          </w:rPr>
          <w:t>Avoided Cost Model Version ACC_2018_v1</w:t>
        </w:r>
        <w:r w:rsidR="00FD431B">
          <w:rPr>
            <w:noProof/>
            <w:webHidden/>
          </w:rPr>
          <w:tab/>
        </w:r>
        <w:r w:rsidR="00FD431B">
          <w:rPr>
            <w:noProof/>
            <w:webHidden/>
          </w:rPr>
          <w:fldChar w:fldCharType="begin"/>
        </w:r>
        <w:r w:rsidR="00FD431B">
          <w:rPr>
            <w:noProof/>
            <w:webHidden/>
          </w:rPr>
          <w:instrText xml:space="preserve"> PAGEREF _Toc514055067 \h </w:instrText>
        </w:r>
        <w:r w:rsidR="00FD431B">
          <w:rPr>
            <w:noProof/>
            <w:webHidden/>
          </w:rPr>
        </w:r>
        <w:r w:rsidR="00FD431B">
          <w:rPr>
            <w:noProof/>
            <w:webHidden/>
          </w:rPr>
          <w:fldChar w:fldCharType="separate"/>
        </w:r>
        <w:r w:rsidR="00FD431B">
          <w:rPr>
            <w:noProof/>
            <w:webHidden/>
          </w:rPr>
          <w:t>79</w:t>
        </w:r>
        <w:r w:rsidR="00FD431B">
          <w:rPr>
            <w:noProof/>
            <w:webHidden/>
          </w:rPr>
          <w:fldChar w:fldCharType="end"/>
        </w:r>
      </w:hyperlink>
    </w:p>
    <w:p w14:paraId="483ED2F9" w14:textId="2E35C55A" w:rsidR="00FD431B" w:rsidRDefault="00B8765B">
      <w:pPr>
        <w:pStyle w:val="TOC2"/>
        <w:rPr>
          <w:rFonts w:asciiTheme="minorHAnsi" w:eastAsiaTheme="minorEastAsia" w:hAnsiTheme="minorHAnsi" w:cstheme="minorBidi"/>
          <w:noProof/>
          <w:sz w:val="22"/>
          <w:szCs w:val="22"/>
        </w:rPr>
      </w:pPr>
      <w:hyperlink w:anchor="_Toc514055068" w:history="1">
        <w:r w:rsidR="00FD431B" w:rsidRPr="00CB4726">
          <w:rPr>
            <w:rStyle w:val="Hyperlink"/>
            <w:noProof/>
          </w:rPr>
          <w:t>Avoided Cost Model Version ACC_2017_v1</w:t>
        </w:r>
        <w:r w:rsidR="00FD431B">
          <w:rPr>
            <w:noProof/>
            <w:webHidden/>
          </w:rPr>
          <w:tab/>
        </w:r>
        <w:r w:rsidR="00FD431B">
          <w:rPr>
            <w:noProof/>
            <w:webHidden/>
          </w:rPr>
          <w:fldChar w:fldCharType="begin"/>
        </w:r>
        <w:r w:rsidR="00FD431B">
          <w:rPr>
            <w:noProof/>
            <w:webHidden/>
          </w:rPr>
          <w:instrText xml:space="preserve"> PAGEREF _Toc514055068 \h </w:instrText>
        </w:r>
        <w:r w:rsidR="00FD431B">
          <w:rPr>
            <w:noProof/>
            <w:webHidden/>
          </w:rPr>
        </w:r>
        <w:r w:rsidR="00FD431B">
          <w:rPr>
            <w:noProof/>
            <w:webHidden/>
          </w:rPr>
          <w:fldChar w:fldCharType="separate"/>
        </w:r>
        <w:r w:rsidR="00FD431B">
          <w:rPr>
            <w:noProof/>
            <w:webHidden/>
          </w:rPr>
          <w:t>80</w:t>
        </w:r>
        <w:r w:rsidR="00FD431B">
          <w:rPr>
            <w:noProof/>
            <w:webHidden/>
          </w:rPr>
          <w:fldChar w:fldCharType="end"/>
        </w:r>
      </w:hyperlink>
    </w:p>
    <w:p w14:paraId="2D306D67" w14:textId="37FDF132" w:rsidR="00FD431B" w:rsidRDefault="00B8765B">
      <w:pPr>
        <w:pStyle w:val="TOC2"/>
        <w:rPr>
          <w:rFonts w:asciiTheme="minorHAnsi" w:eastAsiaTheme="minorEastAsia" w:hAnsiTheme="minorHAnsi" w:cstheme="minorBidi"/>
          <w:noProof/>
          <w:sz w:val="22"/>
          <w:szCs w:val="22"/>
        </w:rPr>
      </w:pPr>
      <w:hyperlink w:anchor="_Toc514055069" w:history="1">
        <w:r w:rsidR="00FD431B" w:rsidRPr="00CB4726">
          <w:rPr>
            <w:rStyle w:val="Hyperlink"/>
            <w:noProof/>
          </w:rPr>
          <w:t>Avoided Cost Model Version ACC_2016_v1</w:t>
        </w:r>
        <w:r w:rsidR="00FD431B">
          <w:rPr>
            <w:noProof/>
            <w:webHidden/>
          </w:rPr>
          <w:tab/>
        </w:r>
        <w:r w:rsidR="00FD431B">
          <w:rPr>
            <w:noProof/>
            <w:webHidden/>
          </w:rPr>
          <w:fldChar w:fldCharType="begin"/>
        </w:r>
        <w:r w:rsidR="00FD431B">
          <w:rPr>
            <w:noProof/>
            <w:webHidden/>
          </w:rPr>
          <w:instrText xml:space="preserve"> PAGEREF _Toc514055069 \h </w:instrText>
        </w:r>
        <w:r w:rsidR="00FD431B">
          <w:rPr>
            <w:noProof/>
            <w:webHidden/>
          </w:rPr>
        </w:r>
        <w:r w:rsidR="00FD431B">
          <w:rPr>
            <w:noProof/>
            <w:webHidden/>
          </w:rPr>
          <w:fldChar w:fldCharType="separate"/>
        </w:r>
        <w:r w:rsidR="00FD431B">
          <w:rPr>
            <w:noProof/>
            <w:webHidden/>
          </w:rPr>
          <w:t>81</w:t>
        </w:r>
        <w:r w:rsidR="00FD431B">
          <w:rPr>
            <w:noProof/>
            <w:webHidden/>
          </w:rPr>
          <w:fldChar w:fldCharType="end"/>
        </w:r>
      </w:hyperlink>
    </w:p>
    <w:p w14:paraId="046ED707" w14:textId="3D0FD0EF" w:rsidR="00186B05" w:rsidRDefault="00186B05" w:rsidP="00E6364B">
      <w:pPr>
        <w:spacing w:before="0" w:after="0" w:line="240" w:lineRule="auto"/>
      </w:pPr>
      <w:r>
        <w:rPr>
          <w:b/>
          <w:bCs/>
          <w:noProof/>
        </w:rPr>
        <w:fldChar w:fldCharType="end"/>
      </w:r>
    </w:p>
    <w:p w14:paraId="2B3BE80F" w14:textId="77777777" w:rsidR="00D44EEC" w:rsidRPr="00186B05" w:rsidRDefault="00D44EEC">
      <w:pPr>
        <w:pStyle w:val="Heading1"/>
      </w:pPr>
      <w:bookmarkStart w:id="2" w:name="_Toc514055030"/>
      <w:r w:rsidRPr="00CC771D">
        <w:t>Overview</w:t>
      </w:r>
      <w:bookmarkEnd w:id="0"/>
      <w:bookmarkEnd w:id="1"/>
      <w:bookmarkEnd w:id="2"/>
    </w:p>
    <w:p w14:paraId="344249FD" w14:textId="3EAF576C" w:rsidR="00722D29" w:rsidRDefault="00D44EEC" w:rsidP="00D31D92">
      <w:r w:rsidRPr="007F2179">
        <w:t xml:space="preserve">This </w:t>
      </w:r>
      <w:r w:rsidR="00580A9E" w:rsidRPr="007F2179">
        <w:t xml:space="preserve">technical </w:t>
      </w:r>
      <w:r w:rsidR="00580A9E" w:rsidRPr="000145D0">
        <w:t>memo</w:t>
      </w:r>
      <w:r w:rsidRPr="007F2179">
        <w:t xml:space="preserve"> describes the </w:t>
      </w:r>
      <w:r w:rsidR="00580A9E" w:rsidRPr="007F2179">
        <w:t xml:space="preserve">inputs and methods used to update the avoided costs for cost-effectiveness valuation </w:t>
      </w:r>
      <w:r w:rsidR="000A2828">
        <w:t xml:space="preserve">for </w:t>
      </w:r>
      <w:r w:rsidR="00060B2F">
        <w:t xml:space="preserve">2018 </w:t>
      </w:r>
      <w:r w:rsidR="000A2828">
        <w:t>through 2040</w:t>
      </w:r>
      <w:r w:rsidR="00580A9E" w:rsidRPr="007F2179">
        <w:t xml:space="preserve">.  </w:t>
      </w:r>
      <w:r w:rsidR="00DF7545">
        <w:t xml:space="preserve">The focus of this update is to </w:t>
      </w:r>
      <w:r w:rsidR="004D7C76">
        <w:t xml:space="preserve">incorporate historical market and weather information from 2017, </w:t>
      </w:r>
      <w:r w:rsidR="00420900">
        <w:t>as well as</w:t>
      </w:r>
      <w:r w:rsidR="004D7C76">
        <w:t xml:space="preserve"> forecast </w:t>
      </w:r>
      <w:r w:rsidR="00420900">
        <w:t xml:space="preserve">market and commodity prices as of April 2018.  </w:t>
      </w:r>
      <w:r w:rsidR="008E6075">
        <w:t xml:space="preserve"> This</w:t>
      </w:r>
      <w:r w:rsidR="00D200F2">
        <w:t xml:space="preserve"> </w:t>
      </w:r>
      <w:r w:rsidR="0004296A">
        <w:t>update builds upon ACC_2017_v1 of the avoided cost calculator.</w:t>
      </w:r>
      <w:r w:rsidR="00DA20DB">
        <w:t xml:space="preserve"> Methodology changes were not considered.  The new avoided cost calculator is ACC_2018_v1</w:t>
      </w:r>
      <w:r w:rsidR="00E464C7">
        <w:t>d</w:t>
      </w:r>
      <w:r w:rsidR="00DA20DB">
        <w:t>.</w:t>
      </w:r>
    </w:p>
    <w:p w14:paraId="1A99EB6D" w14:textId="42274613" w:rsidR="00AC01B7" w:rsidRPr="00B76B06" w:rsidRDefault="00D31D92" w:rsidP="00B76B06">
      <w:pPr>
        <w:rPr>
          <w:highlight w:val="yellow"/>
        </w:rPr>
      </w:pPr>
      <w:r>
        <w:t xml:space="preserve">The </w:t>
      </w:r>
      <w:r w:rsidR="00722D29">
        <w:t xml:space="preserve">data updates </w:t>
      </w:r>
      <w:r w:rsidR="00CC641F">
        <w:t>are listed below</w:t>
      </w:r>
    </w:p>
    <w:p w14:paraId="5A34B302" w14:textId="77777777" w:rsidR="00F60ECE" w:rsidRDefault="00F60ECE" w:rsidP="00AC01B7">
      <w:pPr>
        <w:numPr>
          <w:ilvl w:val="0"/>
          <w:numId w:val="2"/>
        </w:numPr>
      </w:pPr>
      <w:r>
        <w:t>Natural gas prices</w:t>
      </w:r>
    </w:p>
    <w:p w14:paraId="1DE96C59" w14:textId="03645D24" w:rsidR="00AC01B7" w:rsidRDefault="0063075E" w:rsidP="00B76B06">
      <w:pPr>
        <w:numPr>
          <w:ilvl w:val="1"/>
          <w:numId w:val="2"/>
        </w:numPr>
      </w:pPr>
      <w:r>
        <w:t>NYMEX natural gas futures prices</w:t>
      </w:r>
      <w:r w:rsidR="00554457">
        <w:t xml:space="preserve"> from most recent 22 trading days</w:t>
      </w:r>
    </w:p>
    <w:p w14:paraId="467EE494" w14:textId="27C0EBC2" w:rsidR="00387E19" w:rsidRDefault="00387E19" w:rsidP="00B76B06">
      <w:pPr>
        <w:numPr>
          <w:ilvl w:val="1"/>
          <w:numId w:val="2"/>
        </w:numPr>
      </w:pPr>
      <w:r>
        <w:lastRenderedPageBreak/>
        <w:t>Long-term natural gas forecast using revised 2017 IEPR Mid-Demand case</w:t>
      </w:r>
      <w:r w:rsidR="00E8092E">
        <w:t xml:space="preserve">, and </w:t>
      </w:r>
      <w:r w:rsidR="00F60ECE">
        <w:t>EIA 2018 AEO Report</w:t>
      </w:r>
    </w:p>
    <w:p w14:paraId="2F213A4F" w14:textId="32C4312A" w:rsidR="00F60ECE" w:rsidRDefault="00F60ECE" w:rsidP="00F60ECE">
      <w:pPr>
        <w:numPr>
          <w:ilvl w:val="1"/>
          <w:numId w:val="2"/>
        </w:numPr>
      </w:pPr>
      <w:r>
        <w:t>SoCal, PG&amp;E BB and PG&amp;E LT natural gas transportation rates from 2017 IEPR</w:t>
      </w:r>
    </w:p>
    <w:p w14:paraId="2B9EDF24" w14:textId="10BF5A72" w:rsidR="00F60ECE" w:rsidRDefault="00F60ECE" w:rsidP="00F60ECE">
      <w:pPr>
        <w:numPr>
          <w:ilvl w:val="1"/>
          <w:numId w:val="2"/>
        </w:numPr>
      </w:pPr>
      <w:r>
        <w:t>Municipal surcharge rate</w:t>
      </w:r>
      <w:r w:rsidR="00064471">
        <w:t xml:space="preserve"> for PG&amp;E</w:t>
      </w:r>
    </w:p>
    <w:p w14:paraId="2CED1C4E" w14:textId="256D2014" w:rsidR="00F60ECE" w:rsidRDefault="00F60ECE" w:rsidP="00F60ECE">
      <w:pPr>
        <w:numPr>
          <w:ilvl w:val="0"/>
          <w:numId w:val="2"/>
        </w:numPr>
      </w:pPr>
      <w:r>
        <w:t>Electricity Forward prices.  On-peak and Off-peak forwards for NP-15 and SP-15 using most recent 22 trading days</w:t>
      </w:r>
    </w:p>
    <w:p w14:paraId="667478E1" w14:textId="1E302CCE" w:rsidR="000A1CC0" w:rsidRDefault="000A1CC0" w:rsidP="00F60ECE">
      <w:pPr>
        <w:numPr>
          <w:ilvl w:val="0"/>
          <w:numId w:val="2"/>
        </w:numPr>
      </w:pPr>
      <w:r>
        <w:t xml:space="preserve">Ancillary service costs </w:t>
      </w:r>
      <w:r w:rsidR="001427A0">
        <w:t xml:space="preserve">updated to 1.6% for annual energy from CAISO 2016 </w:t>
      </w:r>
      <w:r w:rsidR="006960AD">
        <w:t>Annual Report on Market Issues and Performance (p. 142)</w:t>
      </w:r>
      <w:r w:rsidR="001427A0">
        <w:t xml:space="preserve"> </w:t>
      </w:r>
    </w:p>
    <w:p w14:paraId="3EE23B50" w14:textId="5E78E2A9" w:rsidR="00F60ECE" w:rsidRDefault="00F60ECE" w:rsidP="00F60ECE">
      <w:pPr>
        <w:numPr>
          <w:ilvl w:val="0"/>
          <w:numId w:val="2"/>
        </w:numPr>
      </w:pPr>
      <w:r>
        <w:t>Hourly Market Price Shapes</w:t>
      </w:r>
    </w:p>
    <w:p w14:paraId="5E9C4BA7" w14:textId="724795F7" w:rsidR="00F60ECE" w:rsidRDefault="00F60ECE" w:rsidP="00F60ECE">
      <w:pPr>
        <w:numPr>
          <w:ilvl w:val="1"/>
          <w:numId w:val="2"/>
        </w:numPr>
      </w:pPr>
      <w:r>
        <w:t xml:space="preserve">Day ahead and real time prices for 2017 for NP-15 and SP-15.  </w:t>
      </w:r>
    </w:p>
    <w:p w14:paraId="1BCC8BD3" w14:textId="47A1A7B1" w:rsidR="00F60ECE" w:rsidRDefault="00F60ECE" w:rsidP="00F60ECE">
      <w:pPr>
        <w:numPr>
          <w:ilvl w:val="1"/>
          <w:numId w:val="2"/>
        </w:numPr>
      </w:pPr>
      <w:r>
        <w:t>Daily 2017 natural gas spot prices (used to derive inferred heat rates)</w:t>
      </w:r>
    </w:p>
    <w:p w14:paraId="1FAAFCAE" w14:textId="487136CE" w:rsidR="00F60ECE" w:rsidRPr="00F139BD" w:rsidRDefault="00F60ECE" w:rsidP="00B76B06">
      <w:pPr>
        <w:numPr>
          <w:ilvl w:val="1"/>
          <w:numId w:val="2"/>
        </w:numPr>
      </w:pPr>
      <w:r>
        <w:t>Average 2017 CO2 trading price</w:t>
      </w:r>
    </w:p>
    <w:p w14:paraId="1EEE4B34" w14:textId="2E0CC143" w:rsidR="00AC01B7" w:rsidRDefault="00E47E9E" w:rsidP="00AC01B7">
      <w:pPr>
        <w:numPr>
          <w:ilvl w:val="0"/>
          <w:numId w:val="2"/>
        </w:numPr>
      </w:pPr>
      <w:r>
        <w:t xml:space="preserve">CO2 market price forecast </w:t>
      </w:r>
      <w:r w:rsidR="00F60ECE">
        <w:t>from</w:t>
      </w:r>
      <w:r w:rsidR="0088296D">
        <w:t xml:space="preserve"> Revised 2017 IEPR </w:t>
      </w:r>
      <w:r w:rsidR="00F60ECE">
        <w:t>M</w:t>
      </w:r>
      <w:r w:rsidR="0088296D">
        <w:t>id-</w:t>
      </w:r>
      <w:r w:rsidR="00F60ECE">
        <w:t>D</w:t>
      </w:r>
      <w:r w:rsidR="0088296D">
        <w:t>emand forecast</w:t>
      </w:r>
    </w:p>
    <w:p w14:paraId="0C4CF130" w14:textId="3273FED5" w:rsidR="0088296D" w:rsidRDefault="00DD6B5D" w:rsidP="00AC01B7">
      <w:pPr>
        <w:numPr>
          <w:ilvl w:val="0"/>
          <w:numId w:val="2"/>
        </w:numPr>
      </w:pPr>
      <w:r>
        <w:t>GHG adder</w:t>
      </w:r>
      <w:r w:rsidR="0088296D">
        <w:t xml:space="preserve"> </w:t>
      </w:r>
      <w:r w:rsidR="00F60ECE">
        <w:t>from</w:t>
      </w:r>
      <w:r w:rsidR="0088296D">
        <w:t xml:space="preserve"> </w:t>
      </w:r>
      <w:r w:rsidR="00F675AF">
        <w:t>values adopted in CPUC Decision D18.02-018</w:t>
      </w:r>
      <w:r w:rsidR="00F60ECE">
        <w:t>, Table 6</w:t>
      </w:r>
      <w:r w:rsidR="00CB6E0B">
        <w:t>. The GHG adder is the CPUC adopted values adjusted to nominal dollars and then reduced by the CO2 market price forecast from the IEPR (to avoid double counting the cap and trade allowance costs)</w:t>
      </w:r>
    </w:p>
    <w:p w14:paraId="1A5C3732" w14:textId="77777777" w:rsidR="00E464C7" w:rsidRDefault="00CB6E0B" w:rsidP="00E464C7">
      <w:pPr>
        <w:numPr>
          <w:ilvl w:val="0"/>
          <w:numId w:val="2"/>
        </w:numPr>
      </w:pPr>
      <w:r>
        <w:t>RPS adder removed (set to zero) to be consistent with the use of the RESOLVE-based GHG adder</w:t>
      </w:r>
      <w:r w:rsidR="00E464C7">
        <w:t>.</w:t>
      </w:r>
    </w:p>
    <w:p w14:paraId="62DB27F1" w14:textId="51C99856" w:rsidR="00E464C7" w:rsidRDefault="00E464C7" w:rsidP="00E464C7">
      <w:pPr>
        <w:numPr>
          <w:ilvl w:val="0"/>
          <w:numId w:val="2"/>
        </w:numPr>
      </w:pPr>
      <w:r>
        <w:t>(1-RPS) adjustment removed from calculation of marginal emission changes for GHG adder and criteria pollutants.</w:t>
      </w:r>
    </w:p>
    <w:p w14:paraId="3F453ED9" w14:textId="75BC995B" w:rsidR="00F675AF" w:rsidRDefault="0084098F" w:rsidP="00AC01B7">
      <w:pPr>
        <w:numPr>
          <w:ilvl w:val="0"/>
          <w:numId w:val="2"/>
        </w:numPr>
      </w:pPr>
      <w:r>
        <w:lastRenderedPageBreak/>
        <w:t xml:space="preserve">T&amp;D hourly allocation factors </w:t>
      </w:r>
      <w:r w:rsidR="00C2787E">
        <w:t>updated based on</w:t>
      </w:r>
      <w:r>
        <w:t xml:space="preserve"> 2017 recorded weather by climate zone</w:t>
      </w:r>
      <w:r w:rsidR="00064471">
        <w:t>, and 2017 weekend and holiday schedules.</w:t>
      </w:r>
    </w:p>
    <w:p w14:paraId="787A1873" w14:textId="5660AC4C" w:rsidR="00CB6E0B" w:rsidRDefault="00C2787E" w:rsidP="00CB6E0B">
      <w:pPr>
        <w:numPr>
          <w:ilvl w:val="0"/>
          <w:numId w:val="2"/>
        </w:numPr>
      </w:pPr>
      <w:r>
        <w:t>Generation</w:t>
      </w:r>
      <w:r w:rsidR="008E7D5B">
        <w:t xml:space="preserve"> capacity hourly allocation factors </w:t>
      </w:r>
      <w:r>
        <w:t xml:space="preserve">updated </w:t>
      </w:r>
      <w:r w:rsidR="008E7D5B">
        <w:t>using 2017 recorded weather</w:t>
      </w:r>
    </w:p>
    <w:p w14:paraId="49D39D92" w14:textId="18D9957D" w:rsidR="00C2787E" w:rsidRDefault="006A5BB9" w:rsidP="00AC01B7">
      <w:pPr>
        <w:numPr>
          <w:ilvl w:val="0"/>
          <w:numId w:val="2"/>
        </w:numPr>
      </w:pPr>
      <w:r>
        <w:t>New natural gas generation costs and performance updated based on 2017 IRP assumptions.</w:t>
      </w:r>
    </w:p>
    <w:p w14:paraId="22547569" w14:textId="2ABBF3E6" w:rsidR="005160AE" w:rsidRDefault="007629AF" w:rsidP="00B76B06">
      <w:pPr>
        <w:pStyle w:val="Heading2"/>
      </w:pPr>
      <w:bookmarkStart w:id="3" w:name="_Toc514055031"/>
      <w:r>
        <w:t>Summary of Results</w:t>
      </w:r>
      <w:bookmarkEnd w:id="3"/>
    </w:p>
    <w:p w14:paraId="0AFD7F8E" w14:textId="320B4374" w:rsidR="007629AF" w:rsidRDefault="007629AF" w:rsidP="00B76B06">
      <w:r>
        <w:t xml:space="preserve">The natural gas prices, and therefore the long-run cost of generation costs are substantially lower than the values used in the 2016 avoided cost update (and retained in the 2017 GHG adder update).  </w:t>
      </w:r>
      <w:r w:rsidR="00C97154">
        <w:t>This is offset by</w:t>
      </w:r>
      <w:r>
        <w:t xml:space="preserve"> the GHG adder in the 2018 </w:t>
      </w:r>
      <w:r w:rsidR="00C97154">
        <w:t>being</w:t>
      </w:r>
      <w:r>
        <w:t xml:space="preserve"> larger than the adder used in 2017</w:t>
      </w:r>
      <w:r w:rsidR="00C97154">
        <w:t>, although some of the increase in avoided costs due to the GHG adder is tempered by the removal of the RPS adder</w:t>
      </w:r>
      <w:r>
        <w:t xml:space="preserve">.  The net effect is that the 2018 avoided costs </w:t>
      </w:r>
      <w:r w:rsidR="006A625E">
        <w:t>excluding T&amp;D are lower tha</w:t>
      </w:r>
      <w:r w:rsidR="005B5C9D">
        <w:t>n</w:t>
      </w:r>
      <w:r w:rsidR="006A625E">
        <w:t xml:space="preserve"> the 2017 forecast through 2034, and higher thereafter </w:t>
      </w:r>
      <w:r w:rsidR="00C97154">
        <w:t>.</w:t>
      </w:r>
    </w:p>
    <w:p w14:paraId="0EA79B1A" w14:textId="2E27FA82" w:rsidR="007629AF" w:rsidRDefault="007629AF" w:rsidP="00B76B06">
      <w:pPr>
        <w:pStyle w:val="Caption"/>
        <w:jc w:val="center"/>
      </w:pPr>
      <w:r>
        <w:t xml:space="preserve">Figure </w:t>
      </w:r>
      <w:r w:rsidR="00B8765B">
        <w:fldChar w:fldCharType="begin"/>
      </w:r>
      <w:r w:rsidR="00B8765B">
        <w:instrText xml:space="preserve"> SEQ Figure \* ARABIC </w:instrText>
      </w:r>
      <w:r w:rsidR="00B8765B">
        <w:fldChar w:fldCharType="separate"/>
      </w:r>
      <w:r w:rsidR="00FD431B">
        <w:rPr>
          <w:noProof/>
        </w:rPr>
        <w:t>1</w:t>
      </w:r>
      <w:r w:rsidR="00B8765B">
        <w:rPr>
          <w:noProof/>
        </w:rPr>
        <w:fldChar w:fldCharType="end"/>
      </w:r>
      <w:r>
        <w:t>:  Average Annual Total Avoided Cost, Excluding T&amp;D.  NP-15</w:t>
      </w:r>
    </w:p>
    <w:p w14:paraId="674AC912" w14:textId="43F1AD1B" w:rsidR="007629AF" w:rsidRDefault="006A625E" w:rsidP="000B5D4C">
      <w:pPr>
        <w:jc w:val="center"/>
      </w:pPr>
      <w:r>
        <w:rPr>
          <w:noProof/>
        </w:rPr>
        <w:drawing>
          <wp:inline distT="0" distB="0" distL="0" distR="0" wp14:anchorId="7091AFF7" wp14:editId="5583FF9A">
            <wp:extent cx="4584700" cy="2755900"/>
            <wp:effectExtent l="0" t="0" r="6350" b="6350"/>
            <wp:docPr id="1321859139" name="Picture 132185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1099B2" w14:textId="0993BED3" w:rsidR="007629AF" w:rsidRDefault="007629AF" w:rsidP="007629AF">
      <w:pPr>
        <w:pStyle w:val="Caption"/>
        <w:jc w:val="center"/>
      </w:pPr>
      <w:r>
        <w:lastRenderedPageBreak/>
        <w:t xml:space="preserve">Figure </w:t>
      </w:r>
      <w:r w:rsidR="00B8765B">
        <w:fldChar w:fldCharType="begin"/>
      </w:r>
      <w:r w:rsidR="00B8765B">
        <w:instrText xml:space="preserve"> SEQ Figure \* ARABIC </w:instrText>
      </w:r>
      <w:r w:rsidR="00B8765B">
        <w:fldChar w:fldCharType="separate"/>
      </w:r>
      <w:r w:rsidR="00FD431B">
        <w:rPr>
          <w:noProof/>
        </w:rPr>
        <w:t>2</w:t>
      </w:r>
      <w:r w:rsidR="00B8765B">
        <w:rPr>
          <w:noProof/>
        </w:rPr>
        <w:fldChar w:fldCharType="end"/>
      </w:r>
      <w:r>
        <w:t>:  Average Annual Total Avoided Cost, Excluding T&amp;D.  SP-15</w:t>
      </w:r>
    </w:p>
    <w:p w14:paraId="06E5198F" w14:textId="3597D334" w:rsidR="007629AF" w:rsidRDefault="006A625E" w:rsidP="007629AF">
      <w:pPr>
        <w:pStyle w:val="Caption"/>
        <w:jc w:val="center"/>
      </w:pPr>
      <w:r>
        <w:rPr>
          <w:noProof/>
        </w:rPr>
        <w:drawing>
          <wp:inline distT="0" distB="0" distL="0" distR="0" wp14:anchorId="59459747" wp14:editId="61D4A3AB">
            <wp:extent cx="4584700" cy="2755900"/>
            <wp:effectExtent l="0" t="0" r="6350" b="6350"/>
            <wp:docPr id="1321859140" name="Picture 132185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DFC3BB7" w14:textId="5F641544" w:rsidR="004C4958" w:rsidRDefault="004C4958" w:rsidP="004C4958">
      <w:pPr>
        <w:pStyle w:val="ListParagraph"/>
      </w:pPr>
      <w:r>
        <w:t xml:space="preserve">The updated hourly market prices and allocation of generation of capacity costs reflect </w:t>
      </w:r>
      <w:r w:rsidR="00C97154">
        <w:t xml:space="preserve">relatively </w:t>
      </w:r>
      <w:r>
        <w:t>less peak value in the near term, but a larger variation in value between the low mid-day hours, and the other higher value hours in the longer term.  This is illustrated with the figures below that show the average annual non-T&amp;D avoided cost for each hour of the day.  The figures show NP-15, and the same figures for SP-15 would essentially be the same.</w:t>
      </w:r>
    </w:p>
    <w:p w14:paraId="4714865D" w14:textId="40F89BE0" w:rsidR="004C4958" w:rsidRDefault="004C4958" w:rsidP="00B76B06">
      <w:pPr>
        <w:pStyle w:val="Caption"/>
        <w:jc w:val="center"/>
      </w:pPr>
      <w:r>
        <w:lastRenderedPageBreak/>
        <w:t xml:space="preserve">Figure </w:t>
      </w:r>
      <w:r w:rsidR="00B8765B">
        <w:fldChar w:fldCharType="begin"/>
      </w:r>
      <w:r w:rsidR="00B8765B">
        <w:instrText xml:space="preserve"> SEQ Figure \* ARABIC </w:instrText>
      </w:r>
      <w:r w:rsidR="00B8765B">
        <w:fldChar w:fldCharType="separate"/>
      </w:r>
      <w:r w:rsidR="00FD431B">
        <w:rPr>
          <w:noProof/>
        </w:rPr>
        <w:t>3</w:t>
      </w:r>
      <w:r w:rsidR="00B8765B">
        <w:rPr>
          <w:noProof/>
        </w:rPr>
        <w:fldChar w:fldCharType="end"/>
      </w:r>
      <w:r>
        <w:t xml:space="preserve">:  </w:t>
      </w:r>
      <w:r w:rsidR="00D9160A">
        <w:t xml:space="preserve">2020 NP-15 </w:t>
      </w:r>
      <w:r w:rsidRPr="008F2806">
        <w:t>Average Annual Total Avoided Cost</w:t>
      </w:r>
      <w:r>
        <w:t xml:space="preserve"> by Hour of the Day</w:t>
      </w:r>
      <w:r w:rsidRPr="008F2806">
        <w:t>, Excluding T&amp;D</w:t>
      </w:r>
    </w:p>
    <w:p w14:paraId="0D028469" w14:textId="24833A83" w:rsidR="004C4958" w:rsidRDefault="006A625E" w:rsidP="004C4958">
      <w:pPr>
        <w:pStyle w:val="ListParagraph"/>
        <w:jc w:val="center"/>
      </w:pPr>
      <w:r>
        <w:rPr>
          <w:noProof/>
        </w:rPr>
        <w:drawing>
          <wp:inline distT="0" distB="0" distL="0" distR="0" wp14:anchorId="36649931" wp14:editId="42B13D23">
            <wp:extent cx="4554220" cy="2755900"/>
            <wp:effectExtent l="0" t="0" r="0" b="6350"/>
            <wp:docPr id="1321859141" name="Picture 132185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pic:spPr>
                </pic:pic>
              </a:graphicData>
            </a:graphic>
          </wp:inline>
        </w:drawing>
      </w:r>
    </w:p>
    <w:p w14:paraId="3C3B129B" w14:textId="1532F71F" w:rsidR="004C4958" w:rsidRDefault="004C4958" w:rsidP="00B76B06">
      <w:pPr>
        <w:pStyle w:val="Caption"/>
        <w:jc w:val="center"/>
      </w:pPr>
      <w:r>
        <w:t xml:space="preserve">Figure </w:t>
      </w:r>
      <w:r w:rsidR="00B8765B">
        <w:fldChar w:fldCharType="begin"/>
      </w:r>
      <w:r w:rsidR="00B8765B">
        <w:instrText xml:space="preserve"> SEQ Figure \* ARABIC </w:instrText>
      </w:r>
      <w:r w:rsidR="00B8765B">
        <w:fldChar w:fldCharType="separate"/>
      </w:r>
      <w:r w:rsidR="00FD431B">
        <w:rPr>
          <w:noProof/>
        </w:rPr>
        <w:t>4</w:t>
      </w:r>
      <w:r w:rsidR="00B8765B">
        <w:rPr>
          <w:noProof/>
        </w:rPr>
        <w:fldChar w:fldCharType="end"/>
      </w:r>
      <w:r>
        <w:t xml:space="preserve">:  </w:t>
      </w:r>
      <w:r w:rsidR="00D9160A">
        <w:t xml:space="preserve">2030 NP-15 </w:t>
      </w:r>
      <w:r w:rsidRPr="008F2806">
        <w:t>Average Annual Total Avoided Cost</w:t>
      </w:r>
      <w:r>
        <w:t xml:space="preserve"> by Hour of the Day</w:t>
      </w:r>
      <w:r w:rsidRPr="008F2806">
        <w:t>, Excluding T&amp;D</w:t>
      </w:r>
    </w:p>
    <w:p w14:paraId="68986DFC" w14:textId="4439B679" w:rsidR="007629AF" w:rsidRDefault="006A625E" w:rsidP="004C4958">
      <w:pPr>
        <w:pStyle w:val="ListParagraph"/>
        <w:jc w:val="center"/>
      </w:pPr>
      <w:r>
        <w:rPr>
          <w:noProof/>
        </w:rPr>
        <w:drawing>
          <wp:inline distT="0" distB="0" distL="0" distR="0" wp14:anchorId="7C811CC2" wp14:editId="1B5FC5F3">
            <wp:extent cx="4547870" cy="2755900"/>
            <wp:effectExtent l="0" t="0" r="5080" b="6350"/>
            <wp:docPr id="1321859142" name="Picture 132185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7870" cy="2755900"/>
                    </a:xfrm>
                    <a:prstGeom prst="rect">
                      <a:avLst/>
                    </a:prstGeom>
                    <a:noFill/>
                  </pic:spPr>
                </pic:pic>
              </a:graphicData>
            </a:graphic>
          </wp:inline>
        </w:drawing>
      </w:r>
    </w:p>
    <w:p w14:paraId="572C7302" w14:textId="3A0C3E24" w:rsidR="00D9160A" w:rsidRDefault="00D9160A" w:rsidP="00D9160A">
      <w:pPr>
        <w:pStyle w:val="ListParagraph"/>
      </w:pPr>
      <w:r>
        <w:t>T&amp;D unit marginal costs ($/kW-</w:t>
      </w:r>
      <w:proofErr w:type="spellStart"/>
      <w:r>
        <w:t>yr</w:t>
      </w:r>
      <w:proofErr w:type="spellEnd"/>
      <w:r>
        <w:t xml:space="preserve"> values) were not changed in this update.  The allocation of those costs to hour, however, was updated using 2017 weather data.  Details on the updated allocation factors can be found toward the end of this report.</w:t>
      </w:r>
    </w:p>
    <w:p w14:paraId="02B8C226" w14:textId="04FCE1D5" w:rsidR="00882679" w:rsidRDefault="00882679" w:rsidP="00D9160A">
      <w:pPr>
        <w:pStyle w:val="ListParagraph"/>
      </w:pPr>
    </w:p>
    <w:p w14:paraId="74705A6E" w14:textId="76BEB5B5" w:rsidR="00882679" w:rsidRDefault="00882679" w:rsidP="00B76B06">
      <w:pPr>
        <w:pStyle w:val="ListParagraph"/>
      </w:pPr>
      <w:r>
        <w:lastRenderedPageBreak/>
        <w:t>The remainder of this report presents the avoided cost methodology and documents the inputs updated for 2018.</w:t>
      </w:r>
    </w:p>
    <w:p w14:paraId="6548B957" w14:textId="77777777" w:rsidR="004C4958" w:rsidRDefault="004C4958" w:rsidP="004C4958">
      <w:pPr>
        <w:pStyle w:val="ListParagraph"/>
      </w:pPr>
    </w:p>
    <w:p w14:paraId="0EBCDE07" w14:textId="77777777" w:rsidR="004C4958" w:rsidRDefault="004C4958" w:rsidP="00B76B06">
      <w:pPr>
        <w:pStyle w:val="ListParagraph"/>
      </w:pPr>
    </w:p>
    <w:p w14:paraId="2CB1F788" w14:textId="77777777" w:rsidR="00836907" w:rsidRDefault="007770E0">
      <w:pPr>
        <w:pStyle w:val="Heading1"/>
      </w:pPr>
      <w:bookmarkStart w:id="4" w:name="_Toc271574654"/>
      <w:bookmarkStart w:id="5" w:name="_Toc271575303"/>
      <w:r>
        <w:br w:type="page"/>
      </w:r>
      <w:bookmarkStart w:id="6" w:name="_Toc514055032"/>
      <w:r w:rsidR="00836907">
        <w:lastRenderedPageBreak/>
        <w:t>Natural Gas Avoided Cost Updates</w:t>
      </w:r>
      <w:bookmarkEnd w:id="6"/>
    </w:p>
    <w:p w14:paraId="06E0720D" w14:textId="29246011" w:rsidR="00293876" w:rsidRDefault="00293876" w:rsidP="00293876">
      <w:r>
        <w:t xml:space="preserve">The natural gas price forecast is updated using a modified version of the Market Price Referent (MPR) methodology. </w:t>
      </w:r>
      <w:r w:rsidR="00F71AB2">
        <w:t xml:space="preserve"> The methodology use</w:t>
      </w:r>
      <w:r w:rsidR="0058382B">
        <w:t>s</w:t>
      </w:r>
      <w:r w:rsidR="00F71AB2">
        <w:t xml:space="preserve"> market forwards </w:t>
      </w:r>
      <w:r w:rsidR="0017063B">
        <w:t>through 2024</w:t>
      </w:r>
      <w:r w:rsidR="00F71AB2">
        <w:t xml:space="preserve">, </w:t>
      </w:r>
      <w:r w:rsidR="00F85BA8">
        <w:t>long-run forecasts</w:t>
      </w:r>
      <w:r w:rsidR="00AE716C">
        <w:t xml:space="preserve"> from the IEPR and the US DOE Annual Energy Outlook report for </w:t>
      </w:r>
      <w:r w:rsidR="00CC0813">
        <w:t xml:space="preserve">2028 and beyond.  The prices for the </w:t>
      </w:r>
      <w:r w:rsidR="00CF5207">
        <w:t>interim years are a linear interpolation between 2024 and 2028</w:t>
      </w:r>
      <w:r w:rsidR="00F85BA8">
        <w:t xml:space="preserve">.  </w:t>
      </w:r>
    </w:p>
    <w:p w14:paraId="01B2AF73" w14:textId="00842ACE" w:rsidR="00EA5922" w:rsidRDefault="00EA5922" w:rsidP="00293876">
      <w:r>
        <w:t xml:space="preserve">The market forward prices are </w:t>
      </w:r>
      <w:r w:rsidR="00FB2E15">
        <w:t xml:space="preserve">averages </w:t>
      </w:r>
      <w:r w:rsidR="00DA5B7F">
        <w:t>from S&amp;P Global Intelligence for the most recent 22 trading days (March 2</w:t>
      </w:r>
      <w:r w:rsidR="00FB2E15">
        <w:t>7</w:t>
      </w:r>
      <w:r w:rsidR="00DA5B7F">
        <w:t>, 2018 through April 17</w:t>
      </w:r>
      <w:r w:rsidR="00FB2E15">
        <w:t xml:space="preserve">, 2018) for Henry Hub, PG&amp;E Citygate, and SoCal Border.  </w:t>
      </w:r>
      <w:r w:rsidR="004254D0">
        <w:t>The</w:t>
      </w:r>
      <w:r w:rsidR="00661013">
        <w:t xml:space="preserve"> natural gas forecast for 2018 through </w:t>
      </w:r>
      <w:r w:rsidR="00047D70">
        <w:t xml:space="preserve">2024 is the average </w:t>
      </w:r>
      <w:r w:rsidR="00A56F83">
        <w:t xml:space="preserve">of the </w:t>
      </w:r>
      <w:r w:rsidR="00047D70">
        <w:t xml:space="preserve">PG&amp;E Citygate and SoCal Border </w:t>
      </w:r>
      <w:r w:rsidR="00A56F83">
        <w:t>forward prices, plus transportation</w:t>
      </w:r>
      <w:r w:rsidR="00246636">
        <w:t xml:space="preserve"> rates, franchises fees and hedging transaction costs.</w:t>
      </w:r>
    </w:p>
    <w:p w14:paraId="1E44DF73" w14:textId="77777777" w:rsidR="00CC3AF9" w:rsidRDefault="00F82658" w:rsidP="00293876">
      <w:r>
        <w:t>The long</w:t>
      </w:r>
      <w:r w:rsidR="00696B8F">
        <w:t>-t</w:t>
      </w:r>
      <w:r>
        <w:t xml:space="preserve">erm forecast is the </w:t>
      </w:r>
      <w:r w:rsidR="009B3755">
        <w:t xml:space="preserve">2018 EIA Annual Energy Outlook report forecast for Henry Hub, plus the </w:t>
      </w:r>
      <w:r w:rsidR="0076078A">
        <w:t xml:space="preserve">average of the PG&amp;E Citygate and SoCal Border basis spreads plus </w:t>
      </w:r>
      <w:r w:rsidR="00EA5FD2">
        <w:t>transportation, franchise fees and hedging transaction costs.</w:t>
      </w:r>
      <w:r w:rsidR="00D13E57">
        <w:t xml:space="preserve">  The basis spreads are the average spreads in the NYMEX market forwards </w:t>
      </w:r>
      <w:r w:rsidR="00925202">
        <w:t>between Henry Hub and the California location</w:t>
      </w:r>
      <w:r w:rsidR="00EC1688">
        <w:t>s (from S&amp;P Global Intelligence for most recent 22 trading days).</w:t>
      </w:r>
    </w:p>
    <w:p w14:paraId="4271DF3E" w14:textId="22E983F3" w:rsidR="00836907" w:rsidRDefault="00B33E53" w:rsidP="00293876">
      <w:r>
        <w:t>We have updated the</w:t>
      </w:r>
      <w:r w:rsidR="00293876">
        <w:t xml:space="preserve"> intrastate natural gas transportation rates </w:t>
      </w:r>
      <w:r w:rsidR="00663CB2">
        <w:t>using the CEC IEPR April 2018 Staff Report</w:t>
      </w:r>
      <w:r>
        <w:t xml:space="preserve">. </w:t>
      </w:r>
      <w:r w:rsidR="00293876">
        <w:t xml:space="preserve">The </w:t>
      </w:r>
      <w:r w:rsidR="00276309">
        <w:t xml:space="preserve">updated </w:t>
      </w:r>
      <w:r w:rsidR="00293876">
        <w:t xml:space="preserve">natural gas price forecast </w:t>
      </w:r>
      <w:r w:rsidR="00276309">
        <w:t xml:space="preserve">is </w:t>
      </w:r>
      <w:r w:rsidR="00293876">
        <w:t xml:space="preserve">shown in </w:t>
      </w:r>
      <w:r w:rsidR="00293876">
        <w:fldChar w:fldCharType="begin"/>
      </w:r>
      <w:r w:rsidR="00293876">
        <w:instrText xml:space="preserve"> REF _Ref248226661 \h </w:instrText>
      </w:r>
      <w:r w:rsidR="00293876">
        <w:fldChar w:fldCharType="separate"/>
      </w:r>
      <w:r w:rsidR="00FD431B" w:rsidRPr="1124BE9D">
        <w:t xml:space="preserve">Figure </w:t>
      </w:r>
      <w:r w:rsidR="00FD431B">
        <w:rPr>
          <w:noProof/>
        </w:rPr>
        <w:t>5</w:t>
      </w:r>
      <w:r w:rsidR="00293876">
        <w:fldChar w:fldCharType="end"/>
      </w:r>
      <w:r w:rsidR="00293876">
        <w:t>.</w:t>
      </w:r>
      <w:r w:rsidR="00DD325E" w:rsidRPr="25ED4B98">
        <w:t xml:space="preserve">  </w:t>
      </w:r>
    </w:p>
    <w:p w14:paraId="258E2843" w14:textId="3E42809D" w:rsidR="00836907" w:rsidRDefault="00836907" w:rsidP="00836907">
      <w:pPr>
        <w:pStyle w:val="Caption"/>
      </w:pPr>
      <w:bookmarkStart w:id="7" w:name="_Ref248226661"/>
      <w:r w:rsidRPr="1124BE9D">
        <w:lastRenderedPageBreak/>
        <w:t xml:space="preserve">Figure </w:t>
      </w:r>
      <w:r w:rsidR="00B8765B">
        <w:fldChar w:fldCharType="begin"/>
      </w:r>
      <w:r w:rsidR="00B8765B">
        <w:instrText xml:space="preserve"> SEQ Figure \* ARABIC </w:instrText>
      </w:r>
      <w:r w:rsidR="00B8765B">
        <w:fldChar w:fldCharType="separate"/>
      </w:r>
      <w:r w:rsidR="00FD431B">
        <w:rPr>
          <w:noProof/>
        </w:rPr>
        <w:t>5</w:t>
      </w:r>
      <w:r w:rsidR="00B8765B">
        <w:rPr>
          <w:noProof/>
        </w:rPr>
        <w:fldChar w:fldCharType="end"/>
      </w:r>
      <w:bookmarkEnd w:id="7"/>
      <w:r w:rsidRPr="1124BE9D">
        <w:t>. Natural gas price forecast</w:t>
      </w:r>
    </w:p>
    <w:p w14:paraId="42608A31" w14:textId="6B039502" w:rsidR="15F700D0" w:rsidRDefault="00CA7FD9">
      <w:r>
        <w:rPr>
          <w:noProof/>
        </w:rPr>
        <w:drawing>
          <wp:inline distT="0" distB="0" distL="0" distR="0" wp14:anchorId="241E9640" wp14:editId="5595CC59">
            <wp:extent cx="4566285" cy="284734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6285" cy="2847340"/>
                    </a:xfrm>
                    <a:prstGeom prst="rect">
                      <a:avLst/>
                    </a:prstGeom>
                    <a:noFill/>
                  </pic:spPr>
                </pic:pic>
              </a:graphicData>
            </a:graphic>
          </wp:inline>
        </w:drawing>
      </w:r>
    </w:p>
    <w:p w14:paraId="7C99E697" w14:textId="1F928D87" w:rsidR="00293876" w:rsidRPr="00333F94" w:rsidRDefault="00293876" w:rsidP="00293876">
      <w:bookmarkStart w:id="8" w:name="_Ref278718962"/>
      <w:r w:rsidRPr="00333F94">
        <w:t xml:space="preserve">The natural gas forecast also incorporates monthly variations in natural gas prices—commodity prices tend to rise in the winter when demand for natural gas as a heating fuel increases.  The monthly price profiles are based on the monthly NYMEX </w:t>
      </w:r>
      <w:r w:rsidR="0007707A">
        <w:t xml:space="preserve">Henry Hub </w:t>
      </w:r>
      <w:r w:rsidRPr="00333F94">
        <w:t xml:space="preserve">natural gas prices through </w:t>
      </w:r>
      <w:r w:rsidR="00CB2F0C">
        <w:t>2027</w:t>
      </w:r>
      <w:r w:rsidR="00CB2F0C" w:rsidRPr="00333F94">
        <w:t xml:space="preserve"> </w:t>
      </w:r>
      <w:r w:rsidRPr="00333F94">
        <w:t xml:space="preserve">and then the monthly price profile is held constant </w:t>
      </w:r>
      <w:r>
        <w:t>thereafter</w:t>
      </w:r>
      <w:r w:rsidRPr="00333F94">
        <w:t xml:space="preserve">. </w:t>
      </w:r>
      <w:r w:rsidR="00064471">
        <w:t xml:space="preserve">The market price also reflects municipal surcharges, of which the value for PG&amp;E territory was updated based on a 2018 Tariff change.  </w:t>
      </w:r>
      <w:r w:rsidR="003536FC">
        <w:fldChar w:fldCharType="begin"/>
      </w:r>
      <w:r w:rsidR="003536FC">
        <w:instrText xml:space="preserve"> REF _Ref513818974 \h </w:instrText>
      </w:r>
      <w:r w:rsidR="003536FC">
        <w:fldChar w:fldCharType="separate"/>
      </w:r>
      <w:r w:rsidR="00FD431B" w:rsidRPr="00681C76">
        <w:t xml:space="preserve">Figure </w:t>
      </w:r>
      <w:r w:rsidR="00FD431B">
        <w:rPr>
          <w:noProof/>
        </w:rPr>
        <w:t>6</w:t>
      </w:r>
      <w:r w:rsidR="003536FC">
        <w:fldChar w:fldCharType="end"/>
      </w:r>
      <w:r w:rsidR="003536FC">
        <w:t xml:space="preserve"> </w:t>
      </w:r>
      <w:r w:rsidRPr="00333F94">
        <w:t xml:space="preserve">shows </w:t>
      </w:r>
      <w:r w:rsidR="001678E0">
        <w:t>four</w:t>
      </w:r>
      <w:r w:rsidR="001678E0" w:rsidRPr="00333F94">
        <w:t xml:space="preserve"> </w:t>
      </w:r>
      <w:r w:rsidRPr="00333F94">
        <w:t>snapshots of the monthly shape of the natural gas price forecast.</w:t>
      </w:r>
    </w:p>
    <w:p w14:paraId="1D967738" w14:textId="47C16C25" w:rsidR="00836907" w:rsidRDefault="00836907" w:rsidP="00836907">
      <w:pPr>
        <w:pStyle w:val="Caption"/>
      </w:pPr>
      <w:bookmarkStart w:id="9" w:name="_Ref513818974"/>
      <w:r w:rsidRPr="00681C76">
        <w:lastRenderedPageBreak/>
        <w:t xml:space="preserve">Figure </w:t>
      </w:r>
      <w:r w:rsidR="00B8765B">
        <w:fldChar w:fldCharType="begin"/>
      </w:r>
      <w:r w:rsidR="00B8765B">
        <w:instrText xml:space="preserve"> SEQ Figure \* ARABIC </w:instrText>
      </w:r>
      <w:r w:rsidR="00B8765B">
        <w:fldChar w:fldCharType="separate"/>
      </w:r>
      <w:r w:rsidR="00FD431B">
        <w:rPr>
          <w:noProof/>
        </w:rPr>
        <w:t>6</w:t>
      </w:r>
      <w:r w:rsidR="00B8765B">
        <w:rPr>
          <w:noProof/>
        </w:rPr>
        <w:fldChar w:fldCharType="end"/>
      </w:r>
      <w:bookmarkEnd w:id="8"/>
      <w:bookmarkEnd w:id="9"/>
      <w:r w:rsidRPr="00681C76">
        <w:t xml:space="preserve">. Snapshot of monthly gas price forecast shapes </w:t>
      </w:r>
    </w:p>
    <w:p w14:paraId="151F3EEB" w14:textId="4143FF36" w:rsidR="006A5BB9" w:rsidRDefault="001678E0">
      <w:pPr>
        <w:jc w:val="center"/>
      </w:pPr>
      <w:r>
        <w:rPr>
          <w:noProof/>
        </w:rPr>
        <w:drawing>
          <wp:inline distT="0" distB="0" distL="0" distR="0" wp14:anchorId="1F6C1FF4" wp14:editId="1F449153">
            <wp:extent cx="5118173" cy="30765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1090" cy="3078328"/>
                    </a:xfrm>
                    <a:prstGeom prst="rect">
                      <a:avLst/>
                    </a:prstGeom>
                    <a:noFill/>
                  </pic:spPr>
                </pic:pic>
              </a:graphicData>
            </a:graphic>
          </wp:inline>
        </w:drawing>
      </w:r>
    </w:p>
    <w:p w14:paraId="68A2A384" w14:textId="41FA270D" w:rsidR="00064471" w:rsidRPr="00B76B06" w:rsidRDefault="00064471" w:rsidP="00B76B06">
      <w:pPr>
        <w:rPr>
          <w:i/>
          <w:color w:val="034E6E" w:themeColor="accent1"/>
        </w:rPr>
      </w:pPr>
      <w:r w:rsidRPr="00B76B06">
        <w:rPr>
          <w:i/>
          <w:color w:val="034E6E" w:themeColor="accent1"/>
        </w:rPr>
        <w:t>Note that values for January 2018 through March 2018 are actual market prices, rather than market forwards</w:t>
      </w:r>
    </w:p>
    <w:p w14:paraId="2F4BA76D" w14:textId="0DCA6F45" w:rsidR="1D967738" w:rsidRDefault="1D967738" w:rsidP="00B76B06">
      <w:pPr>
        <w:jc w:val="center"/>
      </w:pPr>
    </w:p>
    <w:p w14:paraId="49DFD4FB" w14:textId="77777777" w:rsidR="00E05181" w:rsidRDefault="00DD325E" w:rsidP="00DD325E">
      <w:r>
        <w:t xml:space="preserve">For the avoided costs used to evaluate natural gas EE reductions, </w:t>
      </w:r>
      <w:r w:rsidR="00E05181">
        <w:t>the following costs are added to the commodity cost.</w:t>
      </w:r>
    </w:p>
    <w:p w14:paraId="2AFA722F" w14:textId="77777777" w:rsidR="00E05181" w:rsidRDefault="00E05181" w:rsidP="00E05181">
      <w:pPr>
        <w:numPr>
          <w:ilvl w:val="0"/>
          <w:numId w:val="7"/>
        </w:numPr>
      </w:pPr>
      <w:r>
        <w:t>compression (0.39%),</w:t>
      </w:r>
    </w:p>
    <w:p w14:paraId="64FB361C" w14:textId="77777777" w:rsidR="00E05181" w:rsidRDefault="00DD325E" w:rsidP="00E05181">
      <w:pPr>
        <w:numPr>
          <w:ilvl w:val="0"/>
          <w:numId w:val="7"/>
        </w:numPr>
      </w:pPr>
      <w:r>
        <w:t>losses and unaccounted</w:t>
      </w:r>
      <w:r w:rsidR="00E05181">
        <w:t xml:space="preserve"> for (1.37%)</w:t>
      </w:r>
      <w:r>
        <w:t xml:space="preserve">, </w:t>
      </w:r>
    </w:p>
    <w:p w14:paraId="1457C37D" w14:textId="77777777" w:rsidR="00E05181" w:rsidRDefault="00DD325E" w:rsidP="00E05181">
      <w:pPr>
        <w:numPr>
          <w:ilvl w:val="0"/>
          <w:numId w:val="7"/>
        </w:numPr>
      </w:pPr>
      <w:r>
        <w:t>marginal transmission and delivery costs</w:t>
      </w:r>
      <w:r w:rsidR="00E05181">
        <w:t xml:space="preserve"> (varies by utility)</w:t>
      </w:r>
      <w:r>
        <w:t xml:space="preserve">, </w:t>
      </w:r>
    </w:p>
    <w:p w14:paraId="05F35ACB" w14:textId="74C9C738" w:rsidR="00DD325E" w:rsidRPr="008A6BDD" w:rsidRDefault="00E05181" w:rsidP="00E05181">
      <w:pPr>
        <w:numPr>
          <w:ilvl w:val="0"/>
          <w:numId w:val="7"/>
        </w:numPr>
      </w:pPr>
      <w:r w:rsidRPr="008A6BDD">
        <w:t xml:space="preserve">NOX and CO2 </w:t>
      </w:r>
    </w:p>
    <w:p w14:paraId="63EEE30E" w14:textId="77777777" w:rsidR="00836907" w:rsidRDefault="00E05181" w:rsidP="00836907">
      <w:pPr>
        <w:rPr>
          <w:lang w:val="x-none"/>
        </w:rPr>
      </w:pPr>
      <w:r w:rsidRPr="008A6BDD">
        <w:rPr>
          <w:lang w:val="x-none"/>
        </w:rPr>
        <w:t>Of these additional cost items, only the CO2 $/short ton value has been updated.</w:t>
      </w:r>
      <w:r>
        <w:rPr>
          <w:lang w:val="x-none"/>
        </w:rPr>
        <w:t xml:space="preserve">  The cost of CO2 is discussed in more detail in the electricity avoided cost section of this memo.</w:t>
      </w:r>
    </w:p>
    <w:p w14:paraId="5E896A99" w14:textId="28464CEA" w:rsidR="00E05181" w:rsidRPr="008A6BDD" w:rsidRDefault="00717DAC" w:rsidP="00836907">
      <w:pPr>
        <w:rPr>
          <w:lang w:val="x-none"/>
        </w:rPr>
      </w:pPr>
      <w:r w:rsidRPr="008A6BDD">
        <w:lastRenderedPageBreak/>
        <w:t>The marginal cost of gas distribution capacity has not been revised in this update.</w:t>
      </w:r>
    </w:p>
    <w:p w14:paraId="58CB599B" w14:textId="77777777" w:rsidR="00836907" w:rsidRPr="00836907" w:rsidRDefault="00836907" w:rsidP="00836907">
      <w:pPr>
        <w:rPr>
          <w:lang w:val="x-none"/>
        </w:rPr>
      </w:pPr>
    </w:p>
    <w:p w14:paraId="0C3969FA" w14:textId="77777777" w:rsidR="00E412A9" w:rsidRDefault="00E412A9">
      <w:pPr>
        <w:pStyle w:val="Heading1"/>
      </w:pPr>
      <w:bookmarkStart w:id="10" w:name="_Toc514055033"/>
      <w:r>
        <w:t xml:space="preserve">Overview of </w:t>
      </w:r>
      <w:r w:rsidR="000514E9">
        <w:t xml:space="preserve">Electricity </w:t>
      </w:r>
      <w:r>
        <w:t>Avoided Cost Components</w:t>
      </w:r>
      <w:bookmarkEnd w:id="4"/>
      <w:bookmarkEnd w:id="5"/>
      <w:bookmarkEnd w:id="10"/>
    </w:p>
    <w:p w14:paraId="11A3470F" w14:textId="1D3B4F4F" w:rsidR="00DE3966" w:rsidRDefault="00DE3966" w:rsidP="000145D0">
      <w:r>
        <w:t>This section provides a brief overview of the electricity avoided cost components and their contribution to the total electricity avoided c</w:t>
      </w:r>
      <w:bookmarkStart w:id="11" w:name="_GoBack"/>
      <w:bookmarkEnd w:id="11"/>
      <w:r>
        <w:t>osts.  This is followed by detailed discussions of the updates for each component in the subsequent sections.</w:t>
      </w:r>
    </w:p>
    <w:p w14:paraId="3FE9B682" w14:textId="4C5DB351" w:rsidR="00E412A9" w:rsidRDefault="00E412A9" w:rsidP="000145D0">
      <w:r>
        <w:t xml:space="preserve">The avoided cost used for </w:t>
      </w:r>
      <w:r w:rsidR="000514E9">
        <w:t xml:space="preserve">electricity </w:t>
      </w:r>
      <w:r>
        <w:t xml:space="preserve">energy efficiency evaluation is calculated as the sum of six components shown in </w:t>
      </w:r>
      <w:r>
        <w:fldChar w:fldCharType="begin"/>
      </w:r>
      <w:r>
        <w:instrText xml:space="preserve"> REF _Ref248225701 \h </w:instrText>
      </w:r>
      <w:r>
        <w:fldChar w:fldCharType="separate"/>
      </w:r>
      <w:r w:rsidR="00FD431B">
        <w:t xml:space="preserve">Table </w:t>
      </w:r>
      <w:r w:rsidR="00FD431B">
        <w:rPr>
          <w:noProof/>
        </w:rPr>
        <w:t>1</w:t>
      </w:r>
      <w:r>
        <w:fldChar w:fldCharType="end"/>
      </w:r>
      <w:r>
        <w:t>.</w:t>
      </w:r>
    </w:p>
    <w:p w14:paraId="040B6B94" w14:textId="09884C1D" w:rsidR="00E412A9" w:rsidRPr="001A1330" w:rsidRDefault="00E412A9" w:rsidP="00087461">
      <w:pPr>
        <w:pStyle w:val="Caption"/>
      </w:pPr>
      <w:bookmarkStart w:id="12" w:name="_Ref248225701"/>
      <w:r>
        <w:t xml:space="preserve">Table </w:t>
      </w:r>
      <w:r w:rsidR="00B8765B">
        <w:fldChar w:fldCharType="begin"/>
      </w:r>
      <w:r w:rsidR="00B8765B">
        <w:instrText xml:space="preserve"> SEQ Table \* ARABIC </w:instrText>
      </w:r>
      <w:r w:rsidR="00B8765B">
        <w:fldChar w:fldCharType="separate"/>
      </w:r>
      <w:r w:rsidR="00FD431B">
        <w:rPr>
          <w:noProof/>
        </w:rPr>
        <w:t>1</w:t>
      </w:r>
      <w:r w:rsidR="00B8765B">
        <w:rPr>
          <w:noProof/>
        </w:rPr>
        <w:fldChar w:fldCharType="end"/>
      </w:r>
      <w:bookmarkEnd w:id="12"/>
      <w:r>
        <w:t xml:space="preserve">. Components of </w:t>
      </w:r>
      <w:r w:rsidR="000514E9">
        <w:t>electricity avoided</w:t>
      </w:r>
      <w:r>
        <w:t xml:space="preserve"> cost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7110"/>
      </w:tblGrid>
      <w:tr w:rsidR="00E412A9" w:rsidRPr="00D05611" w14:paraId="357F6EA8" w14:textId="77777777" w:rsidTr="00B76B06">
        <w:tc>
          <w:tcPr>
            <w:tcW w:w="2240" w:type="dxa"/>
            <w:shd w:val="clear" w:color="auto" w:fill="CCCCCC"/>
            <w:vAlign w:val="center"/>
          </w:tcPr>
          <w:p w14:paraId="452AB1C8" w14:textId="77777777" w:rsidR="00E412A9" w:rsidRPr="00D05611" w:rsidRDefault="00E412A9" w:rsidP="00320920">
            <w:pPr>
              <w:spacing w:line="240" w:lineRule="auto"/>
            </w:pPr>
            <w:r w:rsidRPr="00D05611">
              <w:t>Component</w:t>
            </w:r>
          </w:p>
        </w:tc>
        <w:tc>
          <w:tcPr>
            <w:tcW w:w="7110" w:type="dxa"/>
            <w:shd w:val="clear" w:color="auto" w:fill="CCCCCC"/>
            <w:vAlign w:val="center"/>
          </w:tcPr>
          <w:p w14:paraId="11F31529" w14:textId="77777777" w:rsidR="00E412A9" w:rsidRPr="00D05611" w:rsidRDefault="00E412A9" w:rsidP="00320920">
            <w:pPr>
              <w:spacing w:line="240" w:lineRule="auto"/>
            </w:pPr>
            <w:r w:rsidRPr="00D05611">
              <w:t>Description</w:t>
            </w:r>
          </w:p>
        </w:tc>
      </w:tr>
      <w:tr w:rsidR="00E412A9" w:rsidRPr="00D05611" w14:paraId="1E29059D" w14:textId="77777777" w:rsidTr="00B76B06">
        <w:tc>
          <w:tcPr>
            <w:tcW w:w="2240" w:type="dxa"/>
            <w:vAlign w:val="center"/>
          </w:tcPr>
          <w:p w14:paraId="74C4F5AD" w14:textId="77777777" w:rsidR="00E412A9" w:rsidRPr="00D05611" w:rsidRDefault="00E412A9" w:rsidP="00320920">
            <w:pPr>
              <w:spacing w:line="240" w:lineRule="auto"/>
            </w:pPr>
            <w:r w:rsidRPr="00D05611">
              <w:t>Generation Energy</w:t>
            </w:r>
          </w:p>
        </w:tc>
        <w:tc>
          <w:tcPr>
            <w:tcW w:w="7110" w:type="dxa"/>
            <w:vAlign w:val="center"/>
          </w:tcPr>
          <w:p w14:paraId="4311D519" w14:textId="77777777" w:rsidR="00E412A9" w:rsidRPr="00D05611" w:rsidRDefault="00E412A9" w:rsidP="00CD0E8C">
            <w:pPr>
              <w:spacing w:line="240" w:lineRule="auto"/>
            </w:pPr>
            <w:r w:rsidRPr="00D05611">
              <w:t xml:space="preserve">Estimate of hourly wholesale value of energy </w:t>
            </w:r>
          </w:p>
        </w:tc>
      </w:tr>
      <w:tr w:rsidR="00E412A9" w:rsidRPr="00D05611" w14:paraId="003F5CD8" w14:textId="77777777" w:rsidTr="00B76B06">
        <w:trPr>
          <w:cantSplit/>
        </w:trPr>
        <w:tc>
          <w:tcPr>
            <w:tcW w:w="2240" w:type="dxa"/>
            <w:vAlign w:val="center"/>
          </w:tcPr>
          <w:p w14:paraId="26C9103C" w14:textId="77777777" w:rsidR="00E412A9" w:rsidRPr="00D05611" w:rsidRDefault="007770E0" w:rsidP="00320920">
            <w:pPr>
              <w:spacing w:line="240" w:lineRule="auto"/>
            </w:pPr>
            <w:r>
              <w:t>Generation</w:t>
            </w:r>
            <w:r w:rsidR="00E412A9" w:rsidRPr="00D05611">
              <w:t xml:space="preserve"> Capacity</w:t>
            </w:r>
          </w:p>
        </w:tc>
        <w:tc>
          <w:tcPr>
            <w:tcW w:w="7110" w:type="dxa"/>
            <w:vAlign w:val="center"/>
          </w:tcPr>
          <w:p w14:paraId="0A808A1E" w14:textId="77777777" w:rsidR="00E412A9" w:rsidRPr="00D05611" w:rsidRDefault="00E412A9" w:rsidP="00F26268">
            <w:pPr>
              <w:spacing w:before="120" w:after="120" w:line="240" w:lineRule="auto"/>
            </w:pPr>
            <w:r w:rsidRPr="00D05611">
              <w:t>The costs of building new generation capacity to meet system peak loads</w:t>
            </w:r>
          </w:p>
        </w:tc>
      </w:tr>
      <w:tr w:rsidR="00E412A9" w:rsidRPr="00D05611" w14:paraId="512456C1" w14:textId="77777777" w:rsidTr="00B76B06">
        <w:trPr>
          <w:cantSplit/>
        </w:trPr>
        <w:tc>
          <w:tcPr>
            <w:tcW w:w="2240" w:type="dxa"/>
            <w:vAlign w:val="center"/>
          </w:tcPr>
          <w:p w14:paraId="19D989F0" w14:textId="77777777" w:rsidR="00E412A9" w:rsidRPr="00D05611" w:rsidRDefault="00E412A9" w:rsidP="00320920">
            <w:pPr>
              <w:spacing w:line="240" w:lineRule="auto"/>
            </w:pPr>
            <w:r w:rsidRPr="00D05611">
              <w:t>Ancillary Services</w:t>
            </w:r>
          </w:p>
        </w:tc>
        <w:tc>
          <w:tcPr>
            <w:tcW w:w="7110" w:type="dxa"/>
            <w:vAlign w:val="center"/>
          </w:tcPr>
          <w:p w14:paraId="498D69E5" w14:textId="77777777" w:rsidR="00E412A9" w:rsidRPr="00D05611" w:rsidRDefault="00E412A9" w:rsidP="00F26268">
            <w:pPr>
              <w:spacing w:before="120" w:after="120" w:line="240" w:lineRule="auto"/>
            </w:pPr>
            <w:r w:rsidRPr="00D05611">
              <w:t>The marginal costs of providing system operations and reserves for electricity grid reliability</w:t>
            </w:r>
          </w:p>
        </w:tc>
      </w:tr>
      <w:tr w:rsidR="00E412A9" w:rsidRPr="00D05611" w14:paraId="4493C46D" w14:textId="77777777" w:rsidTr="00B76B06">
        <w:trPr>
          <w:cantSplit/>
        </w:trPr>
        <w:tc>
          <w:tcPr>
            <w:tcW w:w="2240" w:type="dxa"/>
            <w:vAlign w:val="center"/>
          </w:tcPr>
          <w:p w14:paraId="7A2110FD" w14:textId="77777777" w:rsidR="00E412A9" w:rsidRPr="00D05611" w:rsidRDefault="00E412A9" w:rsidP="00320920">
            <w:pPr>
              <w:spacing w:line="240" w:lineRule="auto"/>
            </w:pPr>
            <w:r w:rsidRPr="00D05611">
              <w:t>T&amp;D Capacity</w:t>
            </w:r>
          </w:p>
        </w:tc>
        <w:tc>
          <w:tcPr>
            <w:tcW w:w="7110" w:type="dxa"/>
            <w:vAlign w:val="center"/>
          </w:tcPr>
          <w:p w14:paraId="6195A2CF" w14:textId="77777777" w:rsidR="00E412A9" w:rsidRPr="00D05611" w:rsidRDefault="00E412A9" w:rsidP="00F26268">
            <w:pPr>
              <w:spacing w:before="120" w:after="120" w:line="240" w:lineRule="auto"/>
            </w:pPr>
            <w:r w:rsidRPr="00D05611">
              <w:t>The costs of expanding transmission and distribution capacity to meet peak loads</w:t>
            </w:r>
          </w:p>
        </w:tc>
      </w:tr>
      <w:tr w:rsidR="00E412A9" w:rsidRPr="00D05611" w14:paraId="062D47B2" w14:textId="77777777" w:rsidTr="00B76B06">
        <w:trPr>
          <w:cantSplit/>
        </w:trPr>
        <w:tc>
          <w:tcPr>
            <w:tcW w:w="2240" w:type="dxa"/>
            <w:vAlign w:val="center"/>
          </w:tcPr>
          <w:p w14:paraId="73E372A5" w14:textId="331870E2" w:rsidR="00E412A9" w:rsidRPr="00D05611" w:rsidRDefault="000606BD" w:rsidP="00320920">
            <w:pPr>
              <w:spacing w:line="240" w:lineRule="auto"/>
            </w:pPr>
            <w:r>
              <w:t>Monetized Carbon (</w:t>
            </w:r>
            <w:r w:rsidR="00FD431B">
              <w:t>cap and trade</w:t>
            </w:r>
            <w:r>
              <w:t>)</w:t>
            </w:r>
          </w:p>
        </w:tc>
        <w:tc>
          <w:tcPr>
            <w:tcW w:w="7110" w:type="dxa"/>
            <w:vAlign w:val="center"/>
          </w:tcPr>
          <w:p w14:paraId="77B2171A" w14:textId="6686FCE9" w:rsidR="00E412A9" w:rsidRPr="00D05611" w:rsidRDefault="00E412A9" w:rsidP="00F26268">
            <w:pPr>
              <w:spacing w:before="120" w:after="120" w:line="240" w:lineRule="auto"/>
            </w:pPr>
            <w:r w:rsidRPr="00D05611">
              <w:t xml:space="preserve">The cost of </w:t>
            </w:r>
            <w:r w:rsidR="00852A9A">
              <w:t xml:space="preserve">Cap and Trade allowance permits for </w:t>
            </w:r>
            <w:r w:rsidRPr="00D05611">
              <w:t>carbon dioxide emissions</w:t>
            </w:r>
            <w:r>
              <w:t xml:space="preserve"> </w:t>
            </w:r>
            <w:r w:rsidRPr="00D05611">
              <w:t>associated with the marginal generating resource</w:t>
            </w:r>
          </w:p>
        </w:tc>
      </w:tr>
      <w:tr w:rsidR="00DA20DB" w:rsidRPr="00D05611" w14:paraId="24BE8526" w14:textId="77777777" w:rsidTr="00DA20DB">
        <w:trPr>
          <w:cantSplit/>
        </w:trPr>
        <w:tc>
          <w:tcPr>
            <w:tcW w:w="2240" w:type="dxa"/>
            <w:vAlign w:val="center"/>
          </w:tcPr>
          <w:p w14:paraId="03DADDD7" w14:textId="77777777" w:rsidR="00DA20DB" w:rsidRPr="00D05611" w:rsidRDefault="00DA20DB" w:rsidP="00DA20DB">
            <w:pPr>
              <w:spacing w:line="240" w:lineRule="auto"/>
            </w:pPr>
            <w:r>
              <w:t>GHG adder</w:t>
            </w:r>
          </w:p>
        </w:tc>
        <w:tc>
          <w:tcPr>
            <w:tcW w:w="7110" w:type="dxa"/>
            <w:vAlign w:val="center"/>
          </w:tcPr>
          <w:p w14:paraId="7E7D3746" w14:textId="5FEDDE0C" w:rsidR="00DA20DB" w:rsidRPr="00D05611" w:rsidRDefault="00DA20DB" w:rsidP="00852A9A">
            <w:pPr>
              <w:spacing w:before="120" w:after="120" w:line="240" w:lineRule="auto"/>
            </w:pPr>
            <w:r>
              <w:t>The difference between the CPUC</w:t>
            </w:r>
            <w:r w:rsidR="00852A9A">
              <w:t>-</w:t>
            </w:r>
            <w:r>
              <w:t xml:space="preserve">adopted </w:t>
            </w:r>
            <w:r w:rsidR="00DD6B5D">
              <w:t>total value of</w:t>
            </w:r>
            <w:r>
              <w:t xml:space="preserve"> CO2 and the </w:t>
            </w:r>
            <w:r w:rsidR="00DD6B5D">
              <w:t>Cap and Trade value of CO2</w:t>
            </w:r>
            <w:r w:rsidR="00852A9A">
              <w:t>.</w:t>
            </w:r>
            <w:r w:rsidR="00DD6B5D">
              <w:t xml:space="preserve"> </w:t>
            </w:r>
          </w:p>
        </w:tc>
      </w:tr>
      <w:tr w:rsidR="00E412A9" w:rsidRPr="00D05611" w14:paraId="04AF0BCC" w14:textId="77777777" w:rsidTr="00B76B06">
        <w:trPr>
          <w:cantSplit/>
        </w:trPr>
        <w:tc>
          <w:tcPr>
            <w:tcW w:w="2240" w:type="dxa"/>
            <w:vAlign w:val="center"/>
          </w:tcPr>
          <w:p w14:paraId="122425E6" w14:textId="77777777" w:rsidR="00E412A9" w:rsidRPr="00D05611" w:rsidRDefault="00E412A9" w:rsidP="00320920">
            <w:pPr>
              <w:spacing w:line="240" w:lineRule="auto"/>
            </w:pPr>
            <w:r w:rsidRPr="00D05611">
              <w:t>Avoided RPS</w:t>
            </w:r>
          </w:p>
        </w:tc>
        <w:tc>
          <w:tcPr>
            <w:tcW w:w="7110" w:type="dxa"/>
            <w:vAlign w:val="center"/>
          </w:tcPr>
          <w:p w14:paraId="0FCE9ECE" w14:textId="3476D84D" w:rsidR="00E412A9" w:rsidRPr="00D05611" w:rsidRDefault="00C97154" w:rsidP="00F26268">
            <w:pPr>
              <w:spacing w:before="120" w:after="120" w:line="240" w:lineRule="auto"/>
            </w:pPr>
            <w:r>
              <w:t>This component has been set to zero.</w:t>
            </w:r>
          </w:p>
        </w:tc>
      </w:tr>
    </w:tbl>
    <w:p w14:paraId="4A64451C" w14:textId="240055A9" w:rsidR="000145D0" w:rsidRDefault="00E412A9" w:rsidP="000145D0">
      <w:r>
        <w:lastRenderedPageBreak/>
        <w:br/>
      </w:r>
      <w:r w:rsidR="00CC6E82">
        <w:t xml:space="preserve">Each of these avoided costs is must be determined for every hour of the year.  </w:t>
      </w:r>
      <w:r>
        <w:t xml:space="preserve">The hourly granularity is obtained by shaping forecasts of the average value of each component with historical day-ahead and real-time energy prices and actual system loads; </w:t>
      </w:r>
      <w:r>
        <w:fldChar w:fldCharType="begin"/>
      </w:r>
      <w:r>
        <w:instrText xml:space="preserve"> REF _Ref273363944 \h </w:instrText>
      </w:r>
      <w:r w:rsidR="000145D0">
        <w:instrText xml:space="preserve"> \* MERGEFORMAT </w:instrText>
      </w:r>
      <w:r>
        <w:fldChar w:fldCharType="separate"/>
      </w:r>
      <w:r w:rsidR="00FD431B">
        <w:t xml:space="preserve">Table </w:t>
      </w:r>
      <w:r w:rsidR="00FD431B">
        <w:rPr>
          <w:noProof/>
        </w:rPr>
        <w:t>2</w:t>
      </w:r>
      <w:r>
        <w:fldChar w:fldCharType="end"/>
      </w:r>
      <w:r>
        <w:t xml:space="preserve"> summarizes the methodology applied to each component to develop this level of granularity.</w:t>
      </w:r>
    </w:p>
    <w:p w14:paraId="03BC1F43" w14:textId="2E310316" w:rsidR="00E412A9" w:rsidRDefault="00E412A9" w:rsidP="00087461">
      <w:pPr>
        <w:pStyle w:val="Caption"/>
      </w:pPr>
      <w:bookmarkStart w:id="13" w:name="_Ref273363944"/>
      <w:r>
        <w:t xml:space="preserve">Table </w:t>
      </w:r>
      <w:r w:rsidR="00B8765B">
        <w:fldChar w:fldCharType="begin"/>
      </w:r>
      <w:r w:rsidR="00B8765B">
        <w:instrText xml:space="preserve"> SEQ Table \* ARABIC </w:instrText>
      </w:r>
      <w:r w:rsidR="00B8765B">
        <w:fldChar w:fldCharType="separate"/>
      </w:r>
      <w:r w:rsidR="00FD431B">
        <w:rPr>
          <w:noProof/>
        </w:rPr>
        <w:t>2</w:t>
      </w:r>
      <w:r w:rsidR="00B8765B">
        <w:rPr>
          <w:noProof/>
        </w:rPr>
        <w:fldChar w:fldCharType="end"/>
      </w:r>
      <w:bookmarkEnd w:id="13"/>
      <w:r>
        <w:t>. Summary of methodology for</w:t>
      </w:r>
      <w:r w:rsidR="000514E9">
        <w:t xml:space="preserve"> electricity</w:t>
      </w:r>
      <w:r>
        <w:t xml:space="preserve"> avoided cost component forecasts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566"/>
        <w:gridCol w:w="3562"/>
      </w:tblGrid>
      <w:tr w:rsidR="00E412A9" w:rsidRPr="00D05611" w14:paraId="0D4D7038" w14:textId="77777777" w:rsidTr="25ED4B98">
        <w:tc>
          <w:tcPr>
            <w:tcW w:w="2448" w:type="dxa"/>
            <w:shd w:val="clear" w:color="auto" w:fill="CCCCCC"/>
          </w:tcPr>
          <w:p w14:paraId="630809E1" w14:textId="77777777" w:rsidR="00E412A9" w:rsidRPr="00D05611" w:rsidRDefault="00E412A9" w:rsidP="000145D0">
            <w:r w:rsidRPr="00D05611">
              <w:t>Component</w:t>
            </w:r>
          </w:p>
        </w:tc>
        <w:tc>
          <w:tcPr>
            <w:tcW w:w="3566" w:type="dxa"/>
            <w:shd w:val="clear" w:color="auto" w:fill="CCCCCC"/>
          </w:tcPr>
          <w:p w14:paraId="466FF3F3" w14:textId="77777777" w:rsidR="00E412A9" w:rsidRPr="00D05611" w:rsidRDefault="00E412A9" w:rsidP="000145D0">
            <w:r w:rsidRPr="00D05611">
              <w:t>Basis of Annual Forecast</w:t>
            </w:r>
          </w:p>
        </w:tc>
        <w:tc>
          <w:tcPr>
            <w:tcW w:w="3562" w:type="dxa"/>
            <w:shd w:val="clear" w:color="auto" w:fill="CCCCCC"/>
          </w:tcPr>
          <w:p w14:paraId="4FEE8ABE" w14:textId="77777777" w:rsidR="00E412A9" w:rsidRPr="00D05611" w:rsidRDefault="00E412A9" w:rsidP="000145D0">
            <w:r w:rsidRPr="00D05611">
              <w:t>Basis of Hourly Shape</w:t>
            </w:r>
          </w:p>
        </w:tc>
      </w:tr>
      <w:tr w:rsidR="00E412A9" w:rsidRPr="00D05611" w14:paraId="4DC4591E"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ED6DBF9" w14:textId="77777777" w:rsidR="00E412A9" w:rsidRPr="00D05611" w:rsidRDefault="00E412A9" w:rsidP="000145D0">
            <w:pPr>
              <w:pStyle w:val="Table"/>
            </w:pPr>
            <w:r w:rsidRPr="00D05611">
              <w:t>Generation Energy</w:t>
            </w:r>
          </w:p>
        </w:tc>
        <w:tc>
          <w:tcPr>
            <w:tcW w:w="3566" w:type="dxa"/>
            <w:tcBorders>
              <w:top w:val="single" w:sz="4" w:space="0" w:color="auto"/>
              <w:left w:val="single" w:sz="4" w:space="0" w:color="auto"/>
              <w:bottom w:val="single" w:sz="4" w:space="0" w:color="auto"/>
              <w:right w:val="single" w:sz="4" w:space="0" w:color="auto"/>
            </w:tcBorders>
            <w:vAlign w:val="center"/>
          </w:tcPr>
          <w:p w14:paraId="43C1D22C" w14:textId="77777777" w:rsidR="00E412A9" w:rsidRPr="00D05611" w:rsidRDefault="00BD1BAD" w:rsidP="008D6145">
            <w:pPr>
              <w:pStyle w:val="Table"/>
            </w:pPr>
            <w:r>
              <w:t>Forward market prices and the</w:t>
            </w:r>
            <w:r w:rsidR="008D6145">
              <w:t xml:space="preserve"> $/kWh fixed and variable operating costs of a CCGT. </w:t>
            </w:r>
          </w:p>
        </w:tc>
        <w:tc>
          <w:tcPr>
            <w:tcW w:w="3562" w:type="dxa"/>
            <w:tcBorders>
              <w:top w:val="single" w:sz="4" w:space="0" w:color="auto"/>
              <w:left w:val="single" w:sz="4" w:space="0" w:color="auto"/>
              <w:bottom w:val="single" w:sz="4" w:space="0" w:color="auto"/>
              <w:right w:val="single" w:sz="4" w:space="0" w:color="auto"/>
            </w:tcBorders>
            <w:vAlign w:val="center"/>
          </w:tcPr>
          <w:p w14:paraId="7DA8BF6B" w14:textId="77777777" w:rsidR="00E412A9" w:rsidRPr="00D05611" w:rsidRDefault="00E412A9" w:rsidP="000145D0">
            <w:pPr>
              <w:pStyle w:val="Table"/>
            </w:pPr>
            <w:r w:rsidRPr="00D05611">
              <w:t>Historical hourly day-ahead market price shapes from MRTU OASIS</w:t>
            </w:r>
          </w:p>
        </w:tc>
      </w:tr>
      <w:tr w:rsidR="00E412A9" w:rsidRPr="00D05611" w14:paraId="72B002DF"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009BA773" w14:textId="77777777" w:rsidR="00E412A9" w:rsidRPr="00D05611" w:rsidRDefault="007770E0" w:rsidP="000145D0">
            <w:pPr>
              <w:pStyle w:val="Table"/>
            </w:pPr>
            <w:r>
              <w:t>Generation</w:t>
            </w:r>
            <w:r w:rsidR="00E412A9" w:rsidRPr="00D05611">
              <w:t xml:space="preserve"> Capacity</w:t>
            </w:r>
          </w:p>
        </w:tc>
        <w:tc>
          <w:tcPr>
            <w:tcW w:w="3566" w:type="dxa"/>
            <w:tcBorders>
              <w:top w:val="single" w:sz="4" w:space="0" w:color="auto"/>
              <w:left w:val="single" w:sz="4" w:space="0" w:color="auto"/>
              <w:bottom w:val="single" w:sz="4" w:space="0" w:color="auto"/>
              <w:right w:val="single" w:sz="4" w:space="0" w:color="auto"/>
            </w:tcBorders>
            <w:vAlign w:val="center"/>
          </w:tcPr>
          <w:p w14:paraId="6E738831" w14:textId="77777777" w:rsidR="00E412A9" w:rsidRPr="00D05611" w:rsidRDefault="008D6145" w:rsidP="008D6145">
            <w:pPr>
              <w:pStyle w:val="Table"/>
            </w:pPr>
            <w:r>
              <w:t>Residual capacity value</w:t>
            </w:r>
            <w:r w:rsidR="00E412A9" w:rsidRPr="00D05611">
              <w:t xml:space="preserve"> a new simple-cycle combustion turbine</w:t>
            </w:r>
          </w:p>
        </w:tc>
        <w:tc>
          <w:tcPr>
            <w:tcW w:w="3562" w:type="dxa"/>
            <w:tcBorders>
              <w:top w:val="single" w:sz="4" w:space="0" w:color="auto"/>
              <w:left w:val="single" w:sz="4" w:space="0" w:color="auto"/>
              <w:bottom w:val="single" w:sz="4" w:space="0" w:color="auto"/>
              <w:right w:val="single" w:sz="4" w:space="0" w:color="auto"/>
            </w:tcBorders>
            <w:vAlign w:val="center"/>
          </w:tcPr>
          <w:p w14:paraId="613CC074" w14:textId="36CE1CF8" w:rsidR="00E412A9" w:rsidRPr="00D05611" w:rsidRDefault="00E4311E" w:rsidP="008D6145">
            <w:pPr>
              <w:pStyle w:val="Table"/>
            </w:pPr>
            <w:r>
              <w:t xml:space="preserve">RECAP model that generates outage probabilities by </w:t>
            </w:r>
            <w:r w:rsidR="00652ADA">
              <w:t>mont</w:t>
            </w:r>
            <w:r w:rsidR="007072E1">
              <w:t>h</w:t>
            </w:r>
            <w:r w:rsidR="007072E1" w:rsidRPr="25ED4B98">
              <w:t>/</w:t>
            </w:r>
            <w:r w:rsidR="001C3D63">
              <w:t>hour and</w:t>
            </w:r>
            <w:r>
              <w:t xml:space="preserve"> allocates the probabili</w:t>
            </w:r>
            <w:r w:rsidR="007072E1">
              <w:t xml:space="preserve">ties within each month/hour based on </w:t>
            </w:r>
            <w:r w:rsidR="00F93E35">
              <w:t xml:space="preserve">2017 </w:t>
            </w:r>
            <w:r w:rsidR="007072E1">
              <w:t>weather.</w:t>
            </w:r>
          </w:p>
        </w:tc>
      </w:tr>
      <w:tr w:rsidR="00E412A9" w:rsidRPr="00D05611" w14:paraId="539D3D58"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56B11F5" w14:textId="77777777" w:rsidR="00E412A9" w:rsidRPr="00D05611" w:rsidRDefault="00E412A9" w:rsidP="000145D0">
            <w:pPr>
              <w:pStyle w:val="Table"/>
            </w:pPr>
            <w:r w:rsidRPr="00D05611">
              <w:t>Ancillary Services</w:t>
            </w:r>
          </w:p>
        </w:tc>
        <w:tc>
          <w:tcPr>
            <w:tcW w:w="3566" w:type="dxa"/>
            <w:tcBorders>
              <w:top w:val="single" w:sz="4" w:space="0" w:color="auto"/>
              <w:left w:val="single" w:sz="4" w:space="0" w:color="auto"/>
              <w:bottom w:val="single" w:sz="4" w:space="0" w:color="auto"/>
              <w:right w:val="single" w:sz="4" w:space="0" w:color="auto"/>
            </w:tcBorders>
            <w:vAlign w:val="center"/>
          </w:tcPr>
          <w:p w14:paraId="579CC20A" w14:textId="77777777" w:rsidR="00E412A9" w:rsidRPr="00D05611" w:rsidRDefault="008D6145" w:rsidP="008D6145">
            <w:pPr>
              <w:pStyle w:val="Table"/>
            </w:pPr>
            <w:r>
              <w:t xml:space="preserve">Percentage of Generation Energy value </w:t>
            </w:r>
          </w:p>
        </w:tc>
        <w:tc>
          <w:tcPr>
            <w:tcW w:w="3562" w:type="dxa"/>
            <w:tcBorders>
              <w:top w:val="single" w:sz="4" w:space="0" w:color="auto"/>
              <w:left w:val="single" w:sz="4" w:space="0" w:color="auto"/>
              <w:bottom w:val="single" w:sz="4" w:space="0" w:color="auto"/>
              <w:right w:val="single" w:sz="4" w:space="0" w:color="auto"/>
            </w:tcBorders>
            <w:vAlign w:val="center"/>
          </w:tcPr>
          <w:p w14:paraId="33CCD1E6" w14:textId="77777777" w:rsidR="00E412A9" w:rsidRPr="00D05611" w:rsidRDefault="00E412A9" w:rsidP="000145D0">
            <w:pPr>
              <w:pStyle w:val="Table"/>
            </w:pPr>
            <w:r w:rsidRPr="00D05611">
              <w:t>Directly linked with energy shape</w:t>
            </w:r>
          </w:p>
        </w:tc>
      </w:tr>
      <w:tr w:rsidR="00E412A9" w:rsidRPr="00D05611" w14:paraId="42231AFD"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52473C2C" w14:textId="77777777" w:rsidR="00E412A9" w:rsidRPr="00D05611" w:rsidRDefault="00E412A9" w:rsidP="000145D0">
            <w:pPr>
              <w:pStyle w:val="Table"/>
            </w:pPr>
            <w:r w:rsidRPr="00D05611">
              <w:t>T&amp;D Capacity</w:t>
            </w:r>
          </w:p>
        </w:tc>
        <w:tc>
          <w:tcPr>
            <w:tcW w:w="3566" w:type="dxa"/>
            <w:tcBorders>
              <w:top w:val="single" w:sz="4" w:space="0" w:color="auto"/>
              <w:left w:val="single" w:sz="4" w:space="0" w:color="auto"/>
              <w:bottom w:val="single" w:sz="4" w:space="0" w:color="auto"/>
              <w:right w:val="single" w:sz="4" w:space="0" w:color="auto"/>
            </w:tcBorders>
            <w:vAlign w:val="center"/>
          </w:tcPr>
          <w:p w14:paraId="11DC50B5" w14:textId="77777777" w:rsidR="00E412A9" w:rsidRPr="00D05611" w:rsidRDefault="008D6145" w:rsidP="008D6145">
            <w:pPr>
              <w:pStyle w:val="Table"/>
            </w:pPr>
            <w:r>
              <w:t>Marginal t</w:t>
            </w:r>
            <w:r w:rsidR="00E412A9" w:rsidRPr="00D05611">
              <w:t xml:space="preserve">ransmission and distribution </w:t>
            </w:r>
            <w:r w:rsidR="00003F5F">
              <w:t>costs from utility ratemaking filings.</w:t>
            </w:r>
          </w:p>
        </w:tc>
        <w:tc>
          <w:tcPr>
            <w:tcW w:w="3562" w:type="dxa"/>
            <w:tcBorders>
              <w:top w:val="single" w:sz="4" w:space="0" w:color="auto"/>
              <w:left w:val="single" w:sz="4" w:space="0" w:color="auto"/>
              <w:bottom w:val="single" w:sz="4" w:space="0" w:color="auto"/>
              <w:right w:val="single" w:sz="4" w:space="0" w:color="auto"/>
            </w:tcBorders>
            <w:vAlign w:val="center"/>
          </w:tcPr>
          <w:p w14:paraId="4C10F8BC" w14:textId="5C3D4E56" w:rsidR="00E412A9" w:rsidRPr="00D05611" w:rsidRDefault="008D6145" w:rsidP="008D6145">
            <w:pPr>
              <w:pStyle w:val="Table"/>
            </w:pPr>
            <w:r>
              <w:t>H</w:t>
            </w:r>
            <w:r w:rsidR="007072E1">
              <w:t xml:space="preserve">ourly </w:t>
            </w:r>
            <w:r w:rsidR="00F93E35">
              <w:t xml:space="preserve">2017 </w:t>
            </w:r>
            <w:r w:rsidR="007072E1">
              <w:t>temperature data</w:t>
            </w:r>
            <w:r w:rsidR="00F93E35">
              <w:t xml:space="preserve"> by climate zone.</w:t>
            </w:r>
          </w:p>
        </w:tc>
      </w:tr>
      <w:tr w:rsidR="00E412A9" w:rsidRPr="00D05611" w14:paraId="479CA8C6"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57CF3BD1" w14:textId="2033DCC1" w:rsidR="00E412A9" w:rsidRPr="00D05611" w:rsidRDefault="000606BD" w:rsidP="000145D0">
            <w:pPr>
              <w:pStyle w:val="Table"/>
            </w:pPr>
            <w:r>
              <w:t>Monetized Carbon (</w:t>
            </w:r>
            <w:r w:rsidR="00FD431B">
              <w:t>cap and trade</w:t>
            </w:r>
            <w:r>
              <w:t>)</w:t>
            </w:r>
          </w:p>
        </w:tc>
        <w:tc>
          <w:tcPr>
            <w:tcW w:w="3566" w:type="dxa"/>
            <w:tcBorders>
              <w:top w:val="single" w:sz="4" w:space="0" w:color="auto"/>
              <w:left w:val="single" w:sz="4" w:space="0" w:color="auto"/>
              <w:bottom w:val="single" w:sz="4" w:space="0" w:color="auto"/>
              <w:right w:val="single" w:sz="4" w:space="0" w:color="auto"/>
            </w:tcBorders>
            <w:vAlign w:val="center"/>
          </w:tcPr>
          <w:p w14:paraId="4436ADF2" w14:textId="36F31614" w:rsidR="00E412A9" w:rsidRPr="00D05611" w:rsidRDefault="007072E1" w:rsidP="000145D0">
            <w:pPr>
              <w:pStyle w:val="Table"/>
            </w:pPr>
            <w:r>
              <w:t xml:space="preserve">CO2 cost forecast from </w:t>
            </w:r>
            <w:r w:rsidR="00F93E35">
              <w:t>revised 2017</w:t>
            </w:r>
            <w:r w:rsidR="00F93E35" w:rsidRPr="008A6BDD">
              <w:t xml:space="preserve"> </w:t>
            </w:r>
            <w:r w:rsidRPr="008A6BDD">
              <w:t>IEPR mid-demand forecast</w:t>
            </w:r>
            <w:r w:rsidR="001A3909">
              <w:t xml:space="preserve">, </w:t>
            </w:r>
            <w:r w:rsidR="001A3909" w:rsidRPr="00FB4B8A">
              <w:t>escalated at inflation beyond 2030.</w:t>
            </w:r>
          </w:p>
        </w:tc>
        <w:tc>
          <w:tcPr>
            <w:tcW w:w="3562" w:type="dxa"/>
            <w:tcBorders>
              <w:top w:val="single" w:sz="4" w:space="0" w:color="auto"/>
              <w:left w:val="single" w:sz="4" w:space="0" w:color="auto"/>
              <w:bottom w:val="single" w:sz="4" w:space="0" w:color="auto"/>
              <w:right w:val="single" w:sz="4" w:space="0" w:color="auto"/>
            </w:tcBorders>
            <w:vAlign w:val="center"/>
          </w:tcPr>
          <w:p w14:paraId="00BC01C6" w14:textId="77777777" w:rsidR="00E412A9" w:rsidRPr="00D05611" w:rsidRDefault="00E412A9" w:rsidP="008D6145">
            <w:pPr>
              <w:pStyle w:val="Table"/>
            </w:pPr>
            <w:r w:rsidRPr="00D05611">
              <w:t>Directly linked with energy shape with bounds on the maximum and minimum hourly value</w:t>
            </w:r>
          </w:p>
        </w:tc>
      </w:tr>
      <w:tr w:rsidR="00F93E35" w:rsidRPr="00D05611" w14:paraId="362255B9"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0BF1FA08" w14:textId="5BAE480C" w:rsidR="00F93E35" w:rsidRPr="00D05611" w:rsidRDefault="00F93E35" w:rsidP="000145D0">
            <w:pPr>
              <w:pStyle w:val="Table"/>
            </w:pPr>
            <w:r>
              <w:t>GHG Adder</w:t>
            </w:r>
          </w:p>
        </w:tc>
        <w:tc>
          <w:tcPr>
            <w:tcW w:w="3566" w:type="dxa"/>
            <w:tcBorders>
              <w:top w:val="single" w:sz="4" w:space="0" w:color="auto"/>
              <w:left w:val="single" w:sz="4" w:space="0" w:color="auto"/>
              <w:bottom w:val="single" w:sz="4" w:space="0" w:color="auto"/>
              <w:right w:val="single" w:sz="4" w:space="0" w:color="auto"/>
            </w:tcBorders>
            <w:vAlign w:val="center"/>
          </w:tcPr>
          <w:p w14:paraId="5D11B456" w14:textId="62BEAAD3" w:rsidR="00F93E35" w:rsidRPr="00D05611" w:rsidRDefault="00F7796B" w:rsidP="000145D0">
            <w:pPr>
              <w:pStyle w:val="Table"/>
            </w:pPr>
            <w:r>
              <w:t>Difference</w:t>
            </w:r>
            <w:r w:rsidR="00F93E35">
              <w:t xml:space="preserve"> between </w:t>
            </w:r>
            <w:r w:rsidR="00DD6B5D">
              <w:t>total value of</w:t>
            </w:r>
            <w:r>
              <w:t xml:space="preserve"> </w:t>
            </w:r>
            <w:r w:rsidR="00DD6B5D">
              <w:t>CO2</w:t>
            </w:r>
            <w:r>
              <w:t xml:space="preserve"> and </w:t>
            </w:r>
            <w:r w:rsidR="00F93E35">
              <w:t xml:space="preserve">monetized </w:t>
            </w:r>
            <w:r>
              <w:t>c</w:t>
            </w:r>
            <w:r w:rsidR="00F93E35">
              <w:t>arbon cost</w:t>
            </w:r>
            <w:r w:rsidR="00DD6B5D">
              <w:t xml:space="preserve"> in the energy market prices</w:t>
            </w:r>
            <w:r>
              <w:t>.</w:t>
            </w:r>
          </w:p>
        </w:tc>
        <w:tc>
          <w:tcPr>
            <w:tcW w:w="3562" w:type="dxa"/>
            <w:tcBorders>
              <w:top w:val="single" w:sz="4" w:space="0" w:color="auto"/>
              <w:left w:val="single" w:sz="4" w:space="0" w:color="auto"/>
              <w:bottom w:val="single" w:sz="4" w:space="0" w:color="auto"/>
              <w:right w:val="single" w:sz="4" w:space="0" w:color="auto"/>
            </w:tcBorders>
            <w:vAlign w:val="center"/>
          </w:tcPr>
          <w:p w14:paraId="0B402043" w14:textId="6E075380" w:rsidR="00F93E35" w:rsidRPr="00D05611" w:rsidRDefault="00F7796B" w:rsidP="007072E1">
            <w:pPr>
              <w:pStyle w:val="Table"/>
            </w:pPr>
            <w:r>
              <w:t>Same as monetized carbon</w:t>
            </w:r>
          </w:p>
        </w:tc>
      </w:tr>
      <w:tr w:rsidR="00E412A9" w:rsidRPr="00D05611" w14:paraId="4790D633" w14:textId="77777777" w:rsidTr="008A6BDD">
        <w:tc>
          <w:tcPr>
            <w:tcW w:w="2448" w:type="dxa"/>
            <w:tcBorders>
              <w:top w:val="single" w:sz="4" w:space="0" w:color="auto"/>
              <w:left w:val="single" w:sz="4" w:space="0" w:color="auto"/>
              <w:bottom w:val="single" w:sz="4" w:space="0" w:color="auto"/>
              <w:right w:val="single" w:sz="4" w:space="0" w:color="auto"/>
            </w:tcBorders>
            <w:vAlign w:val="center"/>
          </w:tcPr>
          <w:p w14:paraId="60039556" w14:textId="77777777" w:rsidR="00E412A9" w:rsidRPr="00D05611" w:rsidRDefault="00E412A9" w:rsidP="000145D0">
            <w:pPr>
              <w:pStyle w:val="Table"/>
            </w:pPr>
            <w:r w:rsidRPr="00D05611">
              <w:t>Avoided RPS</w:t>
            </w:r>
          </w:p>
        </w:tc>
        <w:tc>
          <w:tcPr>
            <w:tcW w:w="3566" w:type="dxa"/>
            <w:tcBorders>
              <w:top w:val="single" w:sz="4" w:space="0" w:color="auto"/>
              <w:left w:val="single" w:sz="4" w:space="0" w:color="auto"/>
              <w:bottom w:val="single" w:sz="4" w:space="0" w:color="auto"/>
              <w:right w:val="single" w:sz="4" w:space="0" w:color="auto"/>
            </w:tcBorders>
            <w:vAlign w:val="center"/>
          </w:tcPr>
          <w:p w14:paraId="0484EEA5" w14:textId="7F7FE189" w:rsidR="00E412A9" w:rsidRPr="00D05611" w:rsidRDefault="00C97154" w:rsidP="000145D0">
            <w:pPr>
              <w:pStyle w:val="Table"/>
            </w:pPr>
            <w:r>
              <w:t>Set to zero to be consistent with GHG adder.</w:t>
            </w:r>
          </w:p>
        </w:tc>
        <w:tc>
          <w:tcPr>
            <w:tcW w:w="3562" w:type="dxa"/>
            <w:tcBorders>
              <w:top w:val="single" w:sz="4" w:space="0" w:color="auto"/>
              <w:left w:val="single" w:sz="4" w:space="0" w:color="auto"/>
              <w:bottom w:val="single" w:sz="4" w:space="0" w:color="auto"/>
              <w:right w:val="single" w:sz="4" w:space="0" w:color="auto"/>
            </w:tcBorders>
            <w:vAlign w:val="center"/>
          </w:tcPr>
          <w:p w14:paraId="7AC3E0B7" w14:textId="1F23BDBA" w:rsidR="00E412A9" w:rsidRPr="00D05611" w:rsidRDefault="00C97154" w:rsidP="007072E1">
            <w:pPr>
              <w:pStyle w:val="Table"/>
            </w:pPr>
            <w:r>
              <w:t>NA</w:t>
            </w:r>
          </w:p>
        </w:tc>
      </w:tr>
    </w:tbl>
    <w:p w14:paraId="1A7636F9" w14:textId="77777777" w:rsidR="000145D0" w:rsidRDefault="000145D0" w:rsidP="000145D0"/>
    <w:p w14:paraId="4427BD22" w14:textId="42AF59A8" w:rsidR="00E412A9" w:rsidRDefault="00E412A9" w:rsidP="000145D0">
      <w:r>
        <w:lastRenderedPageBreak/>
        <w:fldChar w:fldCharType="begin"/>
      </w:r>
      <w:r>
        <w:instrText xml:space="preserve"> REF _Ref248225677 \h </w:instrText>
      </w:r>
      <w:r>
        <w:fldChar w:fldCharType="separate"/>
      </w:r>
      <w:r w:rsidR="00FD431B" w:rsidRPr="000B055C">
        <w:t xml:space="preserve">Figure </w:t>
      </w:r>
      <w:r w:rsidR="00FD431B">
        <w:rPr>
          <w:noProof/>
        </w:rPr>
        <w:t>7</w:t>
      </w:r>
      <w:r>
        <w:fldChar w:fldCharType="end"/>
      </w:r>
      <w:r>
        <w:t>, below, shows a three-day snapshot of the avoided costs, broken out by component,</w:t>
      </w:r>
      <w:r w:rsidR="00C03B4C">
        <w:t xml:space="preserve"> in Climate Zone 4</w:t>
      </w:r>
      <w:r>
        <w:t xml:space="preserve">. As shown, the cost of </w:t>
      </w:r>
      <w:r w:rsidRPr="000145D0">
        <w:t>providing</w:t>
      </w:r>
      <w:r>
        <w:t xml:space="preserve"> an additional unit of electricity is significantly higher in the summer a</w:t>
      </w:r>
      <w:r w:rsidRPr="000145D0">
        <w:t>f</w:t>
      </w:r>
      <w:r>
        <w:t xml:space="preserve">ternoons than in the very early morning hours.  This chart also shows the relative magnitude of different components in this region in the summer for these days.  The highest peaks of total cost shown in </w:t>
      </w:r>
      <w:r>
        <w:fldChar w:fldCharType="begin"/>
      </w:r>
      <w:r>
        <w:instrText xml:space="preserve"> REF _Ref248225677 \h </w:instrText>
      </w:r>
      <w:r>
        <w:fldChar w:fldCharType="separate"/>
      </w:r>
      <w:r w:rsidR="00FD431B" w:rsidRPr="000B055C">
        <w:t xml:space="preserve">Figure </w:t>
      </w:r>
      <w:r w:rsidR="00FD431B">
        <w:rPr>
          <w:noProof/>
        </w:rPr>
        <w:t>7</w:t>
      </w:r>
      <w:r>
        <w:fldChar w:fldCharType="end"/>
      </w:r>
      <w:r>
        <w:t xml:space="preserve"> of over </w:t>
      </w:r>
      <w:r w:rsidRPr="008A6BDD">
        <w:t>$</w:t>
      </w:r>
      <w:r w:rsidR="00AA20F8">
        <w:t>20</w:t>
      </w:r>
      <w:r w:rsidR="001C712F" w:rsidRPr="008A6BDD">
        <w:t>,</w:t>
      </w:r>
      <w:r w:rsidR="1ADBD408" w:rsidRPr="008A6BDD">
        <w:t>0</w:t>
      </w:r>
      <w:r w:rsidR="001C712F" w:rsidRPr="008A6BDD">
        <w:t>00</w:t>
      </w:r>
      <w:r w:rsidRPr="008A6BDD">
        <w:t>/MWh</w:t>
      </w:r>
      <w:r>
        <w:t xml:space="preserve"> are driven primarily by the allocation of generation and T&amp;D capacity to the </w:t>
      </w:r>
      <w:r w:rsidR="001C712F">
        <w:t>peak</w:t>
      </w:r>
      <w:r>
        <w:t xml:space="preserve"> hours</w:t>
      </w:r>
      <w:r w:rsidR="00BB533C">
        <w:t xml:space="preserve"> (because of high demand in those hours)</w:t>
      </w:r>
      <w:r>
        <w:t xml:space="preserve">, but also by higher energy </w:t>
      </w:r>
      <w:r w:rsidR="001C712F">
        <w:t xml:space="preserve">market </w:t>
      </w:r>
      <w:r>
        <w:t xml:space="preserve">prices during the </w:t>
      </w:r>
      <w:r w:rsidR="00AA20F8">
        <w:t>late afternoon, early evening</w:t>
      </w:r>
      <w:r>
        <w:t>.</w:t>
      </w:r>
    </w:p>
    <w:p w14:paraId="438F908D" w14:textId="05BB5DCC" w:rsidR="00E412A9" w:rsidRDefault="00E412A9" w:rsidP="00087461">
      <w:pPr>
        <w:pStyle w:val="Caption"/>
      </w:pPr>
      <w:bookmarkStart w:id="14" w:name="_Ref248225677"/>
      <w:r w:rsidRPr="000B055C">
        <w:t xml:space="preserve">Figure </w:t>
      </w:r>
      <w:r w:rsidR="00E8092E" w:rsidRPr="00DA20DB">
        <w:fldChar w:fldCharType="begin"/>
      </w:r>
      <w:r w:rsidR="00E8092E" w:rsidRPr="000B055C">
        <w:instrText xml:space="preserve"> SEQ Figure \* ARABIC </w:instrText>
      </w:r>
      <w:r w:rsidR="00E8092E" w:rsidRPr="00DA20DB">
        <w:fldChar w:fldCharType="separate"/>
      </w:r>
      <w:r w:rsidR="00FD431B">
        <w:rPr>
          <w:noProof/>
        </w:rPr>
        <w:t>7</w:t>
      </w:r>
      <w:r w:rsidR="00E8092E" w:rsidRPr="00DA20DB">
        <w:rPr>
          <w:noProof/>
        </w:rPr>
        <w:fldChar w:fldCharType="end"/>
      </w:r>
      <w:bookmarkEnd w:id="14"/>
      <w:r w:rsidRPr="000B055C">
        <w:t>. Three-day s</w:t>
      </w:r>
      <w:r w:rsidR="00652ADA" w:rsidRPr="000B055C">
        <w:t>napshot of energy values in CZ4</w:t>
      </w:r>
      <w:r w:rsidR="001C712F" w:rsidRPr="000B055C">
        <w:t xml:space="preserve"> in 201</w:t>
      </w:r>
      <w:r w:rsidR="00AA20F8" w:rsidRPr="00B76B06">
        <w:t>8 (Pacific Standard Time)</w:t>
      </w:r>
    </w:p>
    <w:p w14:paraId="6DA8CE85" w14:textId="30CBC198" w:rsidR="1ADBD408" w:rsidRDefault="005B4A2A">
      <w:r>
        <w:rPr>
          <w:noProof/>
        </w:rPr>
        <w:drawing>
          <wp:inline distT="0" distB="0" distL="0" distR="0" wp14:anchorId="0CE600EB" wp14:editId="559EB0C0">
            <wp:extent cx="6053455" cy="271079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807" cy="2724382"/>
                    </a:xfrm>
                    <a:prstGeom prst="rect">
                      <a:avLst/>
                    </a:prstGeom>
                    <a:noFill/>
                  </pic:spPr>
                </pic:pic>
              </a:graphicData>
            </a:graphic>
          </wp:inline>
        </w:drawing>
      </w:r>
    </w:p>
    <w:p w14:paraId="7AA8D6DE" w14:textId="121B033A" w:rsidR="00E412A9" w:rsidRDefault="00F162F5" w:rsidP="000145D0">
      <w:r>
        <w:fldChar w:fldCharType="begin"/>
      </w:r>
      <w:r>
        <w:instrText xml:space="preserve"> REF _Ref452465814 \h </w:instrText>
      </w:r>
      <w:r>
        <w:fldChar w:fldCharType="separate"/>
      </w:r>
      <w:r w:rsidR="00FD431B">
        <w:t xml:space="preserve">Figure </w:t>
      </w:r>
      <w:r w:rsidR="00FD431B">
        <w:rPr>
          <w:noProof/>
        </w:rPr>
        <w:t>8</w:t>
      </w:r>
      <w:r>
        <w:fldChar w:fldCharType="end"/>
      </w:r>
      <w:r>
        <w:t xml:space="preserve"> </w:t>
      </w:r>
      <w:r w:rsidR="00E412A9">
        <w:t xml:space="preserve">shows average monthly value of </w:t>
      </w:r>
      <w:r w:rsidR="001C712F">
        <w:t>electricity</w:t>
      </w:r>
      <w:r w:rsidR="00E412A9">
        <w:t xml:space="preserve"> reductions, revealing the seasonal characteristics of the avoided costs.  The energy component dips in the spring, reflecting </w:t>
      </w:r>
      <w:r w:rsidR="00BB533C">
        <w:t xml:space="preserve">low energy prices due to </w:t>
      </w:r>
      <w:r w:rsidR="00E412A9">
        <w:t xml:space="preserve">increased hydro supplies and imports from the Northwest; and peaks in the summer months when demand for electricity is highest.  The value of capacity—both generation and T&amp;D—is concentrated in the summer months and results in significantly more value on average in these months.  </w:t>
      </w:r>
    </w:p>
    <w:p w14:paraId="57EA8B78" w14:textId="4B95B617" w:rsidR="00E412A9" w:rsidRDefault="00F162F5" w:rsidP="00F162F5">
      <w:pPr>
        <w:pStyle w:val="Caption"/>
      </w:pPr>
      <w:bookmarkStart w:id="15" w:name="_Ref452465814"/>
      <w:r>
        <w:lastRenderedPageBreak/>
        <w:t xml:space="preserve">Figure </w:t>
      </w:r>
      <w:r w:rsidR="00B8765B">
        <w:fldChar w:fldCharType="begin"/>
      </w:r>
      <w:r w:rsidR="00B8765B">
        <w:instrText xml:space="preserve"> SEQ Figure \* ARABIC </w:instrText>
      </w:r>
      <w:r w:rsidR="00B8765B">
        <w:fldChar w:fldCharType="separate"/>
      </w:r>
      <w:r w:rsidR="00FD431B">
        <w:rPr>
          <w:noProof/>
        </w:rPr>
        <w:t>8</w:t>
      </w:r>
      <w:r w:rsidR="00B8765B">
        <w:rPr>
          <w:noProof/>
        </w:rPr>
        <w:fldChar w:fldCharType="end"/>
      </w:r>
      <w:bookmarkEnd w:id="15"/>
      <w:r>
        <w:t xml:space="preserve">: </w:t>
      </w:r>
      <w:r w:rsidR="18005959">
        <w:t xml:space="preserve">Average monthly avoided cost in </w:t>
      </w:r>
      <w:r w:rsidR="00AA20F8">
        <w:t xml:space="preserve">CZ4 </w:t>
      </w:r>
      <w:r w:rsidR="18005959">
        <w:t xml:space="preserve">in </w:t>
      </w:r>
      <w:r w:rsidR="00AA20F8">
        <w:t>2018</w:t>
      </w:r>
    </w:p>
    <w:p w14:paraId="0EFDC508" w14:textId="7EE64FCB" w:rsidR="00AA20F8" w:rsidRDefault="0011637C" w:rsidP="00B76B06">
      <w:pPr>
        <w:spacing w:after="0"/>
      </w:pPr>
      <w:r>
        <w:rPr>
          <w:noProof/>
        </w:rPr>
        <w:drawing>
          <wp:inline distT="0" distB="0" distL="0" distR="0" wp14:anchorId="0B16685F" wp14:editId="2E1B9640">
            <wp:extent cx="5934075" cy="31286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777" cy="3140660"/>
                    </a:xfrm>
                    <a:prstGeom prst="rect">
                      <a:avLst/>
                    </a:prstGeom>
                    <a:noFill/>
                  </pic:spPr>
                </pic:pic>
              </a:graphicData>
            </a:graphic>
          </wp:inline>
        </w:drawing>
      </w:r>
    </w:p>
    <w:p w14:paraId="3CD39970" w14:textId="19307897" w:rsidR="57EA8B78" w:rsidRDefault="00F165CB" w:rsidP="00B76B06">
      <w:pPr>
        <w:pStyle w:val="NoSpacing"/>
        <w:spacing w:after="360"/>
        <w:rPr>
          <w:i/>
          <w:color w:val="315361" w:themeColor="text2"/>
        </w:rPr>
      </w:pPr>
      <w:r>
        <w:rPr>
          <w:i/>
          <w:color w:val="315361" w:themeColor="text2"/>
        </w:rPr>
        <w:t>Societal criteria pollutants have zero value, consistent with the 2017 update.</w:t>
      </w:r>
      <w:r w:rsidR="00C97154">
        <w:rPr>
          <w:i/>
          <w:color w:val="315361" w:themeColor="text2"/>
        </w:rPr>
        <w:t xml:space="preserve"> </w:t>
      </w:r>
    </w:p>
    <w:p w14:paraId="4D66668B" w14:textId="6A11531F" w:rsidR="00651409" w:rsidRDefault="00651409" w:rsidP="00651409">
      <w:pPr>
        <w:pStyle w:val="Caption"/>
      </w:pPr>
      <w:r>
        <w:t xml:space="preserve">Figure </w:t>
      </w:r>
      <w:r w:rsidR="00B8765B">
        <w:fldChar w:fldCharType="begin"/>
      </w:r>
      <w:r w:rsidR="00B8765B">
        <w:instrText xml:space="preserve"> SEQ Figure \* ARABIC </w:instrText>
      </w:r>
      <w:r w:rsidR="00B8765B">
        <w:fldChar w:fldCharType="separate"/>
      </w:r>
      <w:r w:rsidR="00FD431B">
        <w:rPr>
          <w:noProof/>
        </w:rPr>
        <w:t>9</w:t>
      </w:r>
      <w:r w:rsidR="00B8765B">
        <w:rPr>
          <w:noProof/>
        </w:rPr>
        <w:fldChar w:fldCharType="end"/>
      </w:r>
      <w:r>
        <w:t>: Average monthly avoided cost in CZ4 by hour of the day in 2018</w:t>
      </w:r>
    </w:p>
    <w:p w14:paraId="6C78AF4C" w14:textId="12DCD781" w:rsidR="00651409" w:rsidRDefault="00651409" w:rsidP="00651409">
      <w:pPr>
        <w:spacing w:after="0"/>
      </w:pPr>
      <w:r>
        <w:rPr>
          <w:noProof/>
        </w:rPr>
        <w:drawing>
          <wp:inline distT="0" distB="0" distL="0" distR="0" wp14:anchorId="29EB5394" wp14:editId="7585334D">
            <wp:extent cx="5913755" cy="311523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6205" cy="3127060"/>
                    </a:xfrm>
                    <a:prstGeom prst="rect">
                      <a:avLst/>
                    </a:prstGeom>
                    <a:noFill/>
                  </pic:spPr>
                </pic:pic>
              </a:graphicData>
            </a:graphic>
          </wp:inline>
        </w:drawing>
      </w:r>
    </w:p>
    <w:p w14:paraId="6CE9D76A" w14:textId="77777777" w:rsidR="00651409" w:rsidRDefault="00651409" w:rsidP="00651409">
      <w:pPr>
        <w:pStyle w:val="NoSpacing"/>
        <w:spacing w:after="360"/>
      </w:pPr>
      <w:r>
        <w:rPr>
          <w:i/>
          <w:color w:val="315361" w:themeColor="text2"/>
        </w:rPr>
        <w:t xml:space="preserve">Societal criteria pollutants have zero value, consistent with the 2017 update. </w:t>
      </w:r>
    </w:p>
    <w:p w14:paraId="738EEEA7" w14:textId="77777777" w:rsidR="00651409" w:rsidRDefault="00651409" w:rsidP="00B76B06">
      <w:pPr>
        <w:pStyle w:val="NoSpacing"/>
        <w:spacing w:after="360"/>
      </w:pPr>
    </w:p>
    <w:p w14:paraId="1124CA6B" w14:textId="34F59692" w:rsidR="00E412A9" w:rsidRDefault="00E412A9" w:rsidP="000145D0">
      <w:r>
        <w:fldChar w:fldCharType="begin"/>
      </w:r>
      <w:r>
        <w:instrText xml:space="preserve"> REF _Ref248225655 \h </w:instrText>
      </w:r>
      <w:r>
        <w:fldChar w:fldCharType="separate"/>
      </w:r>
      <w:r w:rsidR="00FD431B" w:rsidRPr="37120796">
        <w:t xml:space="preserve">Figure </w:t>
      </w:r>
      <w:r w:rsidR="00FD431B">
        <w:rPr>
          <w:noProof/>
        </w:rPr>
        <w:t>10</w:t>
      </w:r>
      <w:r>
        <w:fldChar w:fldCharType="end"/>
      </w:r>
      <w:r>
        <w:t xml:space="preserve"> shows the components of value for the highest value hours in sorted order of cost.  This chart shows the relative contribution to the highest hours of the year by component.  Note that most of the high cost hours occur in approximately the top </w:t>
      </w:r>
      <w:r w:rsidR="00C63ECA">
        <w:t xml:space="preserve">100 </w:t>
      </w:r>
      <w:r>
        <w:t>to 400 hours—this is because most of the value associated with capacity is concentrated in a limited number of hours.  While the timing and magnitude of these high costs differ by climate zone, the concentration of value in the high load hours is a characteristic of the avoided costs in all of California.</w:t>
      </w:r>
    </w:p>
    <w:p w14:paraId="21622D02" w14:textId="076772AA" w:rsidR="00E412A9" w:rsidRDefault="00E412A9" w:rsidP="00651409">
      <w:pPr>
        <w:pStyle w:val="Caption"/>
      </w:pPr>
      <w:bookmarkStart w:id="16" w:name="_Ref248225655"/>
      <w:r w:rsidRPr="37120796">
        <w:t xml:space="preserve">Figure </w:t>
      </w:r>
      <w:r w:rsidR="00B8765B">
        <w:fldChar w:fldCharType="begin"/>
      </w:r>
      <w:r w:rsidR="00B8765B">
        <w:instrText xml:space="preserve"> SEQ Figure \* ARABIC </w:instrText>
      </w:r>
      <w:r w:rsidR="00B8765B">
        <w:fldChar w:fldCharType="separate"/>
      </w:r>
      <w:r w:rsidR="00FD431B">
        <w:rPr>
          <w:noProof/>
        </w:rPr>
        <w:t>10</w:t>
      </w:r>
      <w:r w:rsidR="00B8765B">
        <w:rPr>
          <w:noProof/>
        </w:rPr>
        <w:fldChar w:fldCharType="end"/>
      </w:r>
      <w:bookmarkEnd w:id="16"/>
      <w:r w:rsidRPr="37120796">
        <w:t xml:space="preserve">. Price duration curve showing top 1,000 hours for </w:t>
      </w:r>
      <w:r w:rsidR="00C63ECA" w:rsidRPr="37120796">
        <w:t>CZ</w:t>
      </w:r>
      <w:r w:rsidR="00C63ECA">
        <w:t xml:space="preserve">4 </w:t>
      </w:r>
      <w:r w:rsidR="001359AF" w:rsidRPr="37120796">
        <w:t xml:space="preserve">in </w:t>
      </w:r>
      <w:r w:rsidR="00C63ECA" w:rsidRPr="37120796">
        <w:t>201</w:t>
      </w:r>
      <w:r w:rsidR="00C63ECA">
        <w:t>8</w:t>
      </w:r>
    </w:p>
    <w:p w14:paraId="4E656B8F" w14:textId="08A6A58E" w:rsidR="00AE63A1" w:rsidRPr="00C40E73" w:rsidRDefault="0011637C" w:rsidP="00FD431B">
      <w:r>
        <w:rPr>
          <w:noProof/>
        </w:rPr>
        <w:drawing>
          <wp:inline distT="0" distB="0" distL="0" distR="0" wp14:anchorId="34B7DF63" wp14:editId="70A0F720">
            <wp:extent cx="6020435" cy="302331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7111" cy="3031690"/>
                    </a:xfrm>
                    <a:prstGeom prst="rect">
                      <a:avLst/>
                    </a:prstGeom>
                    <a:noFill/>
                  </pic:spPr>
                </pic:pic>
              </a:graphicData>
            </a:graphic>
          </wp:inline>
        </w:drawing>
      </w:r>
      <w:r w:rsidR="00003F5F">
        <w:br w:type="page"/>
      </w:r>
      <w:r w:rsidR="00046DA9">
        <w:lastRenderedPageBreak/>
        <w:t xml:space="preserve">Avoided Cost </w:t>
      </w:r>
      <w:r w:rsidR="00CC5EF2">
        <w:t>Methodology</w:t>
      </w:r>
    </w:p>
    <w:p w14:paraId="23DC31E1" w14:textId="77777777" w:rsidR="005F3B80" w:rsidRDefault="005F3B80" w:rsidP="008A6BDD">
      <w:pPr>
        <w:pStyle w:val="Heading2"/>
      </w:pPr>
      <w:bookmarkStart w:id="17" w:name="_Toc514055034"/>
      <w:r>
        <w:t xml:space="preserve">Generation </w:t>
      </w:r>
      <w:r w:rsidR="00CC5EF2">
        <w:t>Energy</w:t>
      </w:r>
      <w:bookmarkEnd w:id="17"/>
    </w:p>
    <w:p w14:paraId="517251EA" w14:textId="3854BAAA" w:rsidR="005F3B80" w:rsidRPr="005F3B80" w:rsidRDefault="004D1CFA" w:rsidP="005F3B80">
      <w:r>
        <w:t xml:space="preserve">The </w:t>
      </w:r>
      <w:r w:rsidR="00C9731C">
        <w:t xml:space="preserve">avoided cost </w:t>
      </w:r>
      <w:r>
        <w:t xml:space="preserve">methodology starts with market prices that include CO2 costs, and decomposes the market price into an energy component and a CO2 component based on the </w:t>
      </w:r>
      <w:r w:rsidR="00DB268A">
        <w:t xml:space="preserve">most recent </w:t>
      </w:r>
      <w:r>
        <w:t>IEPR CO2 prices and the inferred market heat rates</w:t>
      </w:r>
      <w:r w:rsidR="00580D09" w:rsidRPr="37D802BE">
        <w:t>.</w:t>
      </w:r>
      <w:r w:rsidRPr="37D802BE">
        <w:t xml:space="preserve"> </w:t>
      </w:r>
      <w:r w:rsidR="005F3B80" w:rsidRPr="37D802BE">
        <w:t xml:space="preserve"> </w:t>
      </w:r>
      <w:r w:rsidR="004074FF">
        <w:t>The market prices are also adjusted by projected changes in the daily profile of market prices due to increased penetration of solar resources</w:t>
      </w:r>
      <w:r w:rsidR="00803C1D">
        <w:t xml:space="preserve"> on the system.  </w:t>
      </w:r>
    </w:p>
    <w:p w14:paraId="6DEAE29C" w14:textId="5701C079" w:rsidR="0007763F" w:rsidRPr="00C62D91" w:rsidRDefault="004B417D" w:rsidP="0007763F">
      <w:pPr>
        <w:numPr>
          <w:ilvl w:val="0"/>
          <w:numId w:val="9"/>
        </w:numPr>
      </w:pPr>
      <w:r>
        <w:t>Capital costs</w:t>
      </w:r>
      <w:r w:rsidR="00F7796B">
        <w:t xml:space="preserve"> </w:t>
      </w:r>
      <w:r w:rsidR="00E754D2">
        <w:t xml:space="preserve">and performance information </w:t>
      </w:r>
      <w:r>
        <w:t xml:space="preserve">for a CT </w:t>
      </w:r>
      <w:r w:rsidR="00F7796B">
        <w:t xml:space="preserve">and CCGT are from the 2017 IEPR assumptions.  </w:t>
      </w:r>
      <w:r w:rsidR="00F7796B" w:rsidRPr="00C62D91">
        <w:t xml:space="preserve">As with the prior avoided cost update, a book life of 20 years is assumed for both the CT and CCGT.  </w:t>
      </w:r>
      <w:r w:rsidR="00F7796B">
        <w:t>Financing assumptions have not been changed in this update.</w:t>
      </w:r>
    </w:p>
    <w:p w14:paraId="7D93D2AD" w14:textId="21CC1045" w:rsidR="0007763F" w:rsidRPr="00C62D91" w:rsidRDefault="0007763F" w:rsidP="00E754D2">
      <w:pPr>
        <w:numPr>
          <w:ilvl w:val="0"/>
          <w:numId w:val="9"/>
        </w:numPr>
      </w:pPr>
      <w:r w:rsidRPr="00C62D91">
        <w:t xml:space="preserve">The </w:t>
      </w:r>
      <w:r w:rsidR="46B53AD0" w:rsidRPr="00C62D91">
        <w:t>day ahead market price shapes are updated using SNL</w:t>
      </w:r>
      <w:r w:rsidRPr="00C62D91">
        <w:t xml:space="preserve"> </w:t>
      </w:r>
      <w:r w:rsidR="7E3A6006" w:rsidRPr="00C62D91">
        <w:t xml:space="preserve">day-ahead hourly price data for </w:t>
      </w:r>
      <w:r w:rsidR="00F7796B">
        <w:t>207</w:t>
      </w:r>
      <w:r w:rsidR="5AD56FFE" w:rsidRPr="00C62D91">
        <w:t xml:space="preserve">. </w:t>
      </w:r>
      <w:r w:rsidR="2BCC55FA" w:rsidRPr="00C62D91">
        <w:t xml:space="preserve">The real-time market price shapes are calculated using </w:t>
      </w:r>
      <w:r w:rsidR="00F7796B">
        <w:t>the 3</w:t>
      </w:r>
      <w:r w:rsidR="00F7796B" w:rsidRPr="00B76B06">
        <w:rPr>
          <w:vertAlign w:val="superscript"/>
        </w:rPr>
        <w:t>rd</w:t>
      </w:r>
      <w:r w:rsidR="00F7796B">
        <w:t xml:space="preserve"> highest</w:t>
      </w:r>
      <w:r w:rsidR="00F7796B" w:rsidRPr="00C62D91">
        <w:t xml:space="preserve"> </w:t>
      </w:r>
      <w:r w:rsidR="2BCC55FA" w:rsidRPr="00C62D91">
        <w:t xml:space="preserve">5-min </w:t>
      </w:r>
      <w:r w:rsidR="2478941C" w:rsidRPr="00C62D91">
        <w:t xml:space="preserve">price </w:t>
      </w:r>
      <w:r w:rsidR="00F7796B">
        <w:t>within each hourly interval</w:t>
      </w:r>
      <w:r w:rsidR="0E316727" w:rsidRPr="00C62D91">
        <w:t>.</w:t>
      </w:r>
      <w:r w:rsidR="00F7796B">
        <w:t xml:space="preserve"> Those quartile values are then calibrated so that the annual average of those quartile values matches the annual average of all 5-minute interval prices in 2017.</w:t>
      </w:r>
    </w:p>
    <w:p w14:paraId="7DE7C238" w14:textId="42A088BA" w:rsidR="00F214CF" w:rsidRPr="00C62D91" w:rsidRDefault="00F214CF" w:rsidP="00F214CF">
      <w:pPr>
        <w:pStyle w:val="Heading3"/>
      </w:pPr>
      <w:bookmarkStart w:id="18" w:name="_Toc514055035"/>
      <w:r w:rsidRPr="00C62D91">
        <w:t xml:space="preserve">Determination of </w:t>
      </w:r>
      <w:r w:rsidR="00EA4F73" w:rsidRPr="00C62D91">
        <w:t>e</w:t>
      </w:r>
      <w:r w:rsidRPr="00C62D91">
        <w:t xml:space="preserve">nergy </w:t>
      </w:r>
      <w:r w:rsidR="00EA4F73" w:rsidRPr="00C62D91">
        <w:t>m</w:t>
      </w:r>
      <w:r w:rsidRPr="00C62D91">
        <w:t xml:space="preserve">arket </w:t>
      </w:r>
      <w:r w:rsidR="00EA4F73" w:rsidRPr="00C62D91">
        <w:t>v</w:t>
      </w:r>
      <w:r w:rsidRPr="00C62D91">
        <w:t>alues</w:t>
      </w:r>
      <w:bookmarkEnd w:id="18"/>
    </w:p>
    <w:p w14:paraId="3F12E42B" w14:textId="75278138" w:rsidR="00F214CF" w:rsidRDefault="0007763F" w:rsidP="00F214CF">
      <w:r w:rsidRPr="00C62D91">
        <w:t>The</w:t>
      </w:r>
      <w:r w:rsidR="00F214CF" w:rsidRPr="00C62D91">
        <w:t xml:space="preserve"> average energy</w:t>
      </w:r>
      <w:r w:rsidR="00F214CF">
        <w:t xml:space="preserve"> cost </w:t>
      </w:r>
      <w:r>
        <w:t xml:space="preserve">in the near term </w:t>
      </w:r>
      <w:r w:rsidR="00F214CF">
        <w:t xml:space="preserve">is based on </w:t>
      </w:r>
      <w:r w:rsidR="00F214CF" w:rsidRPr="00F7796B">
        <w:t xml:space="preserve">the </w:t>
      </w:r>
      <w:r w:rsidR="00045E93" w:rsidRPr="00B76B06">
        <w:t>latest 22 trading day average</w:t>
      </w:r>
      <w:r w:rsidR="001A3909">
        <w:t xml:space="preserve"> on-peak and off-peak </w:t>
      </w:r>
      <w:r w:rsidR="00F214CF">
        <w:t>market price forecast</w:t>
      </w:r>
      <w:r w:rsidR="001A3909">
        <w:t>s for NP-15 and SP-15</w:t>
      </w:r>
      <w:r w:rsidR="006E704E">
        <w:t xml:space="preserve">, </w:t>
      </w:r>
      <w:r w:rsidR="006E7455">
        <w:t xml:space="preserve">which are then </w:t>
      </w:r>
      <w:r w:rsidR="006E704E">
        <w:t>averaged to calculate the system value</w:t>
      </w:r>
      <w:r w:rsidR="001A3909" w:rsidRPr="0B29B844">
        <w:t xml:space="preserve"> </w:t>
      </w:r>
      <w:r w:rsidR="00F214CF" w:rsidRPr="008A6BDD">
        <w:t xml:space="preserve">(available through </w:t>
      </w:r>
      <w:r w:rsidR="00307FEE" w:rsidRPr="008A6BDD">
        <w:t>202</w:t>
      </w:r>
      <w:r w:rsidR="00307FEE">
        <w:t>5</w:t>
      </w:r>
      <w:r w:rsidR="00307FEE" w:rsidRPr="008A6BDD">
        <w:t xml:space="preserve"> </w:t>
      </w:r>
      <w:r w:rsidR="00F214CF" w:rsidRPr="008A6BDD">
        <w:t xml:space="preserve">for the update in </w:t>
      </w:r>
      <w:r w:rsidR="00307FEE" w:rsidRPr="008A6BDD">
        <w:t>201</w:t>
      </w:r>
      <w:r w:rsidR="00307FEE">
        <w:t>8</w:t>
      </w:r>
      <w:r w:rsidR="00F214CF" w:rsidRPr="008A6BDD">
        <w:t>).</w:t>
      </w:r>
      <w:r w:rsidR="00F214CF" w:rsidRPr="0B29B844">
        <w:t xml:space="preserve">  </w:t>
      </w:r>
      <w:r w:rsidR="00F26268">
        <w:t>For the period after the available forward market prices</w:t>
      </w:r>
      <w:r w:rsidR="00F214CF">
        <w:t xml:space="preserve">, the method interpolates between the last available </w:t>
      </w:r>
      <w:r w:rsidR="002B1036">
        <w:t xml:space="preserve">futures </w:t>
      </w:r>
      <w:r w:rsidR="00F214CF">
        <w:t xml:space="preserve">market price and the long-run energy market price. The long-run energy market price is used for the resource balance and all subsequent years.  </w:t>
      </w:r>
      <w:r w:rsidR="39449FF6">
        <w:t>Note that if the resource balance year is set to present, the long-run energy market price is used in all years.</w:t>
      </w:r>
    </w:p>
    <w:p w14:paraId="69F6539B" w14:textId="07B4E6AB" w:rsidR="0007763F" w:rsidRDefault="00F214CF" w:rsidP="00F214CF">
      <w:r>
        <w:lastRenderedPageBreak/>
        <w:t xml:space="preserve">The annual long-run energy market price is set so that the CCGT’s energy market revenues plus the capacity market payment equal the fixed and variable costs </w:t>
      </w:r>
      <w:r w:rsidR="0007763F">
        <w:t xml:space="preserve">plus carbon costs </w:t>
      </w:r>
      <w:r>
        <w:t>of the CCGT (i.e.</w:t>
      </w:r>
      <w:r w:rsidR="00852A9A">
        <w:t>,</w:t>
      </w:r>
      <w:r>
        <w:t xml:space="preserve"> the CCGT is made whole).  </w:t>
      </w:r>
    </w:p>
    <w:p w14:paraId="52C808FB" w14:textId="5F2A8FA7" w:rsidR="00F214CF" w:rsidRDefault="00F214CF" w:rsidP="00F214CF">
      <w:r>
        <w:t xml:space="preserve">The long-run energy market price begins with the </w:t>
      </w:r>
      <w:r w:rsidR="302F6643">
        <w:t xml:space="preserve">implied heat rate in the last year that electricity market forwards are available. This implied heat rate is then </w:t>
      </w:r>
      <w:r w:rsidR="25219DA9">
        <w:t>held constant for all subsequent years. The market energy price i</w:t>
      </w:r>
      <w:r w:rsidR="2A0B41D1">
        <w:t xml:space="preserve">s calculated using the corresponding gas and carbon prices in each subsequent year along with variable O&amp;M costs. </w:t>
      </w:r>
      <w:r>
        <w:t>Th</w:t>
      </w:r>
      <w:r w:rsidR="011804CA">
        <w:t>is market energy</w:t>
      </w:r>
      <w:r>
        <w:t xml:space="preserve"> price is then increased or decreased with an energy market calibration factor so that the CCGT is made whole.  The energy market calibration factor is applied to both 1) the real-time market prices used to determine CT energy revenues and the value of capacity, and 2) the day-ahead energy market used to determine CCGT energy revenues.  This creates a feedback effect between the energy and capacity avoided costs.  The feedback effect is illustrated with the following example.</w:t>
      </w:r>
    </w:p>
    <w:p w14:paraId="5F0D6A56" w14:textId="77777777" w:rsidR="00F214CF" w:rsidRPr="00A00333" w:rsidRDefault="00F214CF" w:rsidP="00F214CF">
      <w:pPr>
        <w:ind w:left="720"/>
        <w:rPr>
          <w:i/>
        </w:rPr>
      </w:pPr>
      <w:r w:rsidRPr="25ED4B98">
        <w:rPr>
          <w:i/>
          <w:iCs/>
        </w:rPr>
        <w:t>Assume that the CCGT would collect more revenue through the capacity and energy markets than is needed to cover its costs.  The methodology decreases the calibration factor to decrease the day-ahead energy market prices and market revenues to make the CCGT whole.  To keep the real-time and day-ahead markets in sync, the methodology also would decrease the real-time energy market prices by the calibration factor.  The decrease in real-time energy market prices would result in lower net revenues for a CT, and therefore raise the value of capacity (as higher capacity payment revenue is needed to incent a new CT to build).  When we re-e</w:t>
      </w:r>
      <w:r w:rsidRPr="00C97CE1">
        <w:rPr>
          <w:i/>
          <w:iCs/>
        </w:rPr>
        <w:t xml:space="preserve">xamine the CCGT, the raised value of capacity </w:t>
      </w:r>
      <w:r w:rsidRPr="00C97CE1">
        <w:rPr>
          <w:i/>
          <w:iCs/>
        </w:rPr>
        <w:lastRenderedPageBreak/>
        <w:t>results in the CCGT collecting excess revenues, so the calibration factor needs to be decreased more, and the process repeats</w:t>
      </w:r>
      <w:r w:rsidRPr="25ED4B98">
        <w:rPr>
          <w:rStyle w:val="FootnoteReference"/>
          <w:i/>
          <w:iCs/>
        </w:rPr>
        <w:footnoteReference w:id="1"/>
      </w:r>
      <w:r w:rsidRPr="25ED4B98">
        <w:rPr>
          <w:i/>
          <w:iCs/>
        </w:rPr>
        <w:t>.</w:t>
      </w:r>
    </w:p>
    <w:p w14:paraId="657E0C13" w14:textId="6AECB866" w:rsidR="00F214CF" w:rsidRDefault="00F214CF" w:rsidP="005B5C9D">
      <w:pPr>
        <w:pStyle w:val="Caption"/>
        <w:keepLines w:val="0"/>
        <w:rPr>
          <w:b w:val="0"/>
        </w:rPr>
      </w:pPr>
      <w:r w:rsidRPr="485CB662">
        <w:lastRenderedPageBreak/>
        <w:t xml:space="preserve">Figure </w:t>
      </w:r>
      <w:r w:rsidR="00B8765B">
        <w:fldChar w:fldCharType="begin"/>
      </w:r>
      <w:r w:rsidR="00B8765B">
        <w:instrText xml:space="preserve"> SEQ Figure \* ARABIC </w:instrText>
      </w:r>
      <w:r w:rsidR="00B8765B">
        <w:fldChar w:fldCharType="separate"/>
      </w:r>
      <w:r w:rsidR="00FD431B">
        <w:rPr>
          <w:noProof/>
        </w:rPr>
        <w:t>11</w:t>
      </w:r>
      <w:r w:rsidR="00B8765B">
        <w:rPr>
          <w:noProof/>
        </w:rPr>
        <w:fldChar w:fldCharType="end"/>
      </w:r>
      <w:r w:rsidRPr="485CB662">
        <w:t>:  Annual Average Energy Avoided Costs</w:t>
      </w:r>
      <w:r>
        <w:rPr>
          <w:b w:val="0"/>
          <w:bCs w:val="0"/>
        </w:rPr>
        <w:t xml:space="preserve"> </w:t>
      </w:r>
      <w:r w:rsidR="001A55C0">
        <w:rPr>
          <w:b w:val="0"/>
          <w:bCs w:val="0"/>
          <w:noProof/>
        </w:rPr>
        <w:drawing>
          <wp:inline distT="0" distB="0" distL="0" distR="0" wp14:anchorId="33275532" wp14:editId="6657FB49">
            <wp:extent cx="5395595" cy="2615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2615565"/>
                    </a:xfrm>
                    <a:prstGeom prst="rect">
                      <a:avLst/>
                    </a:prstGeom>
                    <a:noFill/>
                  </pic:spPr>
                </pic:pic>
              </a:graphicData>
            </a:graphic>
          </wp:inline>
        </w:drawing>
      </w:r>
    </w:p>
    <w:p w14:paraId="78195550" w14:textId="77777777" w:rsidR="00F214CF" w:rsidRDefault="00F214CF" w:rsidP="0083579C">
      <w:pPr>
        <w:pStyle w:val="Heading3"/>
      </w:pPr>
      <w:bookmarkStart w:id="19" w:name="_Toc514055036"/>
      <w:r>
        <w:t>Hourly Shaping of Energy Costs</w:t>
      </w:r>
      <w:bookmarkEnd w:id="19"/>
    </w:p>
    <w:p w14:paraId="081CE58C" w14:textId="7BBE7E7D" w:rsidR="00311B77" w:rsidRDefault="005927B2" w:rsidP="00F214CF">
      <w:r>
        <w:t>The</w:t>
      </w:r>
      <w:r w:rsidR="00F214CF">
        <w:t xml:space="preserve"> annual energy avoided costs are converted to hourly values by multiplying the annual value by 8760 hourly market shapes.  </w:t>
      </w:r>
      <w:r>
        <w:t xml:space="preserve">The </w:t>
      </w:r>
      <w:r w:rsidR="00F214CF">
        <w:t xml:space="preserve">hourly shape is derived from day-ahead LMPs at load-aggregation points in northern and southern California obtained from the </w:t>
      </w:r>
      <w:r w:rsidR="00F7796B" w:rsidRPr="00F7796B">
        <w:t>S</w:t>
      </w:r>
      <w:r w:rsidR="00F7796B" w:rsidRPr="00B76B06">
        <w:t xml:space="preserve">&amp;P </w:t>
      </w:r>
      <w:proofErr w:type="spellStart"/>
      <w:r w:rsidR="00F7796B" w:rsidRPr="00B76B06">
        <w:t>Global’s</w:t>
      </w:r>
      <w:proofErr w:type="spellEnd"/>
      <w:r w:rsidR="00F7796B" w:rsidRPr="00F7796B">
        <w:t xml:space="preserve"> </w:t>
      </w:r>
      <w:r w:rsidR="44FFA002" w:rsidRPr="00F7796B">
        <w:t xml:space="preserve">day-ahead </w:t>
      </w:r>
      <w:r w:rsidR="3E1120AD" w:rsidRPr="00F7796B">
        <w:t xml:space="preserve">hourly pricing data for </w:t>
      </w:r>
      <w:r w:rsidR="00F7796B" w:rsidRPr="00B76B06">
        <w:t>2017</w:t>
      </w:r>
      <w:r w:rsidR="00F214CF" w:rsidRPr="00F7796B">
        <w:t>.</w:t>
      </w:r>
      <w:r w:rsidR="00F214CF">
        <w:t xml:space="preserve"> </w:t>
      </w:r>
      <w:r w:rsidR="001C3D63">
        <w:t>To</w:t>
      </w:r>
      <w:r w:rsidR="00F214CF">
        <w:t xml:space="preserve"> account for the effects of historical volatility in the spot market for natural gas, the hourly market prices are adjusted by the average daily gas price in California</w:t>
      </w:r>
      <w:r w:rsidR="7B87B3F9">
        <w:t>, the cost of carbon, and variable O&amp;M</w:t>
      </w:r>
      <w:r w:rsidR="00F214CF" w:rsidRPr="06E2600E">
        <w:t xml:space="preserve">. </w:t>
      </w:r>
      <w:r w:rsidR="006B6DB5">
        <w:t xml:space="preserve">The resulting hourly inferred heat rates are then adjusted for forecasted changes in </w:t>
      </w:r>
      <w:r w:rsidR="003D6B24">
        <w:t xml:space="preserve">market clearing heat rates based on the RPS Calculator </w:t>
      </w:r>
      <w:r w:rsidR="005C2E3E">
        <w:t>(</w:t>
      </w:r>
      <w:bookmarkStart w:id="20" w:name="_Hlk513819437"/>
      <w:r w:rsidR="005C2E3E">
        <w:t>RPSCalculator1xAAEE</w:t>
      </w:r>
      <w:bookmarkEnd w:id="20"/>
      <w:r w:rsidR="005C2E3E">
        <w:t>.xlsm</w:t>
      </w:r>
      <w:r w:rsidR="0048482A">
        <w:rPr>
          <w:rStyle w:val="FootnoteReference"/>
        </w:rPr>
        <w:footnoteReference w:id="2"/>
      </w:r>
      <w:r w:rsidR="005C2E3E">
        <w:t xml:space="preserve">).  The RPS calculator estimated monthly average prices by hour </w:t>
      </w:r>
      <w:r w:rsidR="004D68D1">
        <w:t>of the day (1-24)</w:t>
      </w:r>
      <w:r w:rsidR="00097618">
        <w:t xml:space="preserve"> through 2046</w:t>
      </w:r>
      <w:r w:rsidR="004D68D1">
        <w:t xml:space="preserve">, and the changes in the marginal heat rates </w:t>
      </w:r>
      <w:r w:rsidR="00097618">
        <w:t xml:space="preserve">relative to the base year (2017) </w:t>
      </w:r>
      <w:r w:rsidR="004D68D1">
        <w:t xml:space="preserve">are </w:t>
      </w:r>
      <w:r w:rsidR="002424AB">
        <w:t xml:space="preserve">added to or subtracted from the </w:t>
      </w:r>
      <w:r w:rsidR="009D4A1C">
        <w:t>inferred 2017 heat rates to reflect expected changes in market price profiles.</w:t>
      </w:r>
    </w:p>
    <w:p w14:paraId="7EEACC6E" w14:textId="698400BB" w:rsidR="00F214CF" w:rsidRDefault="00F214CF" w:rsidP="00F214CF">
      <w:r w:rsidRPr="008A6BDD">
        <w:lastRenderedPageBreak/>
        <w:t>The resulting hourly market heat rate curve is integrated into the avoided cost calculator, where, in combination with a monthly natural gas price forecast,</w:t>
      </w:r>
      <w:r w:rsidR="7B87B3F9" w:rsidRPr="008A6BDD">
        <w:t xml:space="preserve"> fore</w:t>
      </w:r>
      <w:r w:rsidR="10D2FEA0" w:rsidRPr="008A6BDD">
        <w:t>casted carbon prices, and variable O&amp;M</w:t>
      </w:r>
      <w:r w:rsidR="7B87B3F9" w:rsidRPr="008A6BDD">
        <w:t>,</w:t>
      </w:r>
      <w:r w:rsidRPr="008A6BDD">
        <w:t xml:space="preserve"> it yields an hourly shape for wholesale market energy prices in California.</w:t>
      </w:r>
    </w:p>
    <w:p w14:paraId="10B1873C" w14:textId="60137CEF" w:rsidR="00F214CF" w:rsidRDefault="00F214CF" w:rsidP="00F214CF">
      <w:r>
        <w:t xml:space="preserve">Total energy avoided costs are shown </w:t>
      </w:r>
      <w:r w:rsidR="008A562A">
        <w:t xml:space="preserve">in </w:t>
      </w:r>
      <w:r w:rsidR="008A562A">
        <w:fldChar w:fldCharType="begin"/>
      </w:r>
      <w:r w:rsidR="008A562A">
        <w:instrText xml:space="preserve"> REF _Ref315352285 \h </w:instrText>
      </w:r>
      <w:r w:rsidR="008A562A">
        <w:fldChar w:fldCharType="separate"/>
      </w:r>
      <w:r w:rsidR="00FD431B" w:rsidRPr="71D322B1">
        <w:t xml:space="preserve">Figure </w:t>
      </w:r>
      <w:r w:rsidR="00FD431B">
        <w:rPr>
          <w:noProof/>
        </w:rPr>
        <w:t>12</w:t>
      </w:r>
      <w:r w:rsidR="008A562A">
        <w:fldChar w:fldCharType="end"/>
      </w:r>
      <w:r w:rsidR="008A562A" w:rsidRPr="71D322B1">
        <w:t xml:space="preserve">. </w:t>
      </w:r>
      <w:r>
        <w:t xml:space="preserve">The </w:t>
      </w:r>
      <w:r w:rsidR="00E65EAE">
        <w:t xml:space="preserve">energy </w:t>
      </w:r>
      <w:r>
        <w:t>avoided costs are shown in descending order</w:t>
      </w:r>
      <w:r w:rsidR="71D322B1">
        <w:t xml:space="preserve"> </w:t>
      </w:r>
      <w:r w:rsidR="00E65EAE">
        <w:t xml:space="preserve">of total avoided costs </w:t>
      </w:r>
      <w:r w:rsidR="71D322B1">
        <w:t>for all 8760 hours of the year</w:t>
      </w:r>
      <w:r>
        <w:t xml:space="preserve">.  </w:t>
      </w:r>
    </w:p>
    <w:p w14:paraId="059DB23C" w14:textId="25F22D02" w:rsidR="00F214CF" w:rsidRPr="000C1C16" w:rsidRDefault="00F214CF" w:rsidP="00F214CF">
      <w:pPr>
        <w:pStyle w:val="Caption"/>
      </w:pPr>
      <w:bookmarkStart w:id="21" w:name="_Ref315352285"/>
      <w:r w:rsidRPr="71D322B1">
        <w:t xml:space="preserve">Figure </w:t>
      </w:r>
      <w:r w:rsidR="00B8765B">
        <w:fldChar w:fldCharType="begin"/>
      </w:r>
      <w:r w:rsidR="00B8765B">
        <w:instrText xml:space="preserve"> SEQ Figure \* ARABIC </w:instrText>
      </w:r>
      <w:r w:rsidR="00B8765B">
        <w:fldChar w:fldCharType="separate"/>
      </w:r>
      <w:r w:rsidR="00FD431B">
        <w:rPr>
          <w:noProof/>
        </w:rPr>
        <w:t>12</w:t>
      </w:r>
      <w:r w:rsidR="00B8765B">
        <w:rPr>
          <w:noProof/>
        </w:rPr>
        <w:fldChar w:fldCharType="end"/>
      </w:r>
      <w:bookmarkEnd w:id="21"/>
      <w:r w:rsidRPr="71D322B1">
        <w:t xml:space="preserve">:  Hourly </w:t>
      </w:r>
      <w:r w:rsidR="71D322B1" w:rsidRPr="71D322B1">
        <w:t>Energy</w:t>
      </w:r>
      <w:r w:rsidRPr="71D322B1">
        <w:t xml:space="preserve"> Avoided Costs for </w:t>
      </w:r>
      <w:r w:rsidR="00E65EAE" w:rsidRPr="71D322B1">
        <w:t>201</w:t>
      </w:r>
      <w:r w:rsidR="00E65EAE">
        <w:t>8</w:t>
      </w:r>
    </w:p>
    <w:p w14:paraId="117FCE20" w14:textId="26A758F4" w:rsidR="06E2600E" w:rsidRDefault="00F5344B">
      <w:r>
        <w:rPr>
          <w:noProof/>
        </w:rPr>
        <w:drawing>
          <wp:inline distT="0" distB="0" distL="0" distR="0" wp14:anchorId="2411FFEB" wp14:editId="020A9940">
            <wp:extent cx="5902325" cy="3462185"/>
            <wp:effectExtent l="0" t="0" r="3175" b="5080"/>
            <wp:docPr id="1321859146" name="Picture 132185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126" cy="3467347"/>
                    </a:xfrm>
                    <a:prstGeom prst="rect">
                      <a:avLst/>
                    </a:prstGeom>
                    <a:noFill/>
                  </pic:spPr>
                </pic:pic>
              </a:graphicData>
            </a:graphic>
          </wp:inline>
        </w:drawing>
      </w:r>
    </w:p>
    <w:p w14:paraId="69189DCB" w14:textId="0222339C" w:rsidR="00F139BD" w:rsidRDefault="00CC5EF2" w:rsidP="008A6BDD">
      <w:pPr>
        <w:pStyle w:val="Heading2"/>
      </w:pPr>
      <w:bookmarkStart w:id="22" w:name="_Toc514055037"/>
      <w:r>
        <w:t>Generation Capacity</w:t>
      </w:r>
      <w:bookmarkEnd w:id="22"/>
      <w:r>
        <w:t xml:space="preserve"> </w:t>
      </w:r>
    </w:p>
    <w:p w14:paraId="7522A3D6" w14:textId="069EAECE" w:rsidR="000B0B1C" w:rsidRDefault="000B0B1C" w:rsidP="008A6BDD">
      <w:r>
        <w:t>The long-run generation capacity cost is the levelized capital cost of a new simple cycle CT unit less the margin that the</w:t>
      </w:r>
      <w:r w:rsidRPr="25ED4B98">
        <w:t xml:space="preserve"> </w:t>
      </w:r>
      <w:r>
        <w:t>CT could earn from the energy and ancillary service markets.  The calculation has been updated to include carbon costs in both the bid prices for the CT and the market prices for energy.  Minor adjustments have also been made to the calculation of the CT levelized cost of capacity</w:t>
      </w:r>
      <w:r w:rsidRPr="25ED4B98">
        <w:t xml:space="preserve"> </w:t>
      </w:r>
      <w:r>
        <w:t>to be consistent with the method used for the CCGT calculations.</w:t>
      </w:r>
    </w:p>
    <w:p w14:paraId="10A4DB32" w14:textId="3776F225" w:rsidR="000B0B1C" w:rsidRPr="00813981" w:rsidRDefault="00A94233">
      <w:r>
        <w:lastRenderedPageBreak/>
        <w:t>Previously</w:t>
      </w:r>
      <w:r w:rsidR="000B0B1C">
        <w:t xml:space="preserve">, the generation capacity cost has transitioned from a near-term capacity cost based on Resource Adequacy costs, to the long-run capacity </w:t>
      </w:r>
      <w:r>
        <w:t>cost based on the Resource Balan</w:t>
      </w:r>
      <w:r w:rsidR="000B0B1C">
        <w:t xml:space="preserve">ce </w:t>
      </w:r>
      <w:r>
        <w:t xml:space="preserve">Year.  </w:t>
      </w:r>
      <w:r w:rsidR="005B5C9D" w:rsidRPr="005B5C9D">
        <w:t>D.16-06-007 essentially set the Resource Balance Year to zero, which resulted in the use of the long-run capacity cost for all years.  That is the approach taken starting with the 2016 Avoided Cost Calculator update.</w:t>
      </w:r>
      <w:r>
        <w:t xml:space="preserve">  </w:t>
      </w:r>
    </w:p>
    <w:p w14:paraId="706A7266" w14:textId="77777777" w:rsidR="00563271" w:rsidRDefault="00CC5EF2" w:rsidP="00563271">
      <w:pPr>
        <w:pStyle w:val="Heading3"/>
      </w:pPr>
      <w:bookmarkStart w:id="23" w:name="_Toc514055038"/>
      <w:r w:rsidRPr="078510A7">
        <w:t>Generation resource balance y</w:t>
      </w:r>
      <w:r w:rsidR="00563271" w:rsidRPr="078510A7">
        <w:t>ear</w:t>
      </w:r>
      <w:bookmarkEnd w:id="23"/>
    </w:p>
    <w:p w14:paraId="066360FD" w14:textId="66BAE044" w:rsidR="45640DAA" w:rsidRDefault="00F7796B">
      <w:r>
        <w:t>Consistent with past Decisions on the resource balance year, we assume that the first year of the forecast is the resource balance year</w:t>
      </w:r>
    </w:p>
    <w:p w14:paraId="32BB5EBA" w14:textId="77777777" w:rsidR="00563271" w:rsidRDefault="00CC5EF2" w:rsidP="00563271">
      <w:pPr>
        <w:pStyle w:val="Heading3"/>
      </w:pPr>
      <w:bookmarkStart w:id="24" w:name="_Toc514055039"/>
      <w:r>
        <w:t>CT d</w:t>
      </w:r>
      <w:r w:rsidR="00563271">
        <w:t>ispatch</w:t>
      </w:r>
      <w:bookmarkEnd w:id="24"/>
    </w:p>
    <w:p w14:paraId="592DCAF4" w14:textId="38D6DF25" w:rsidR="0074491A" w:rsidRDefault="004F7BD4" w:rsidP="0074491A">
      <w:r>
        <w:t>To determine the long-run value of capacity, the</w:t>
      </w:r>
      <w:r w:rsidR="00AE63A1" w:rsidRPr="00233ED0">
        <w:t xml:space="preserve"> avoided cost model performs an</w:t>
      </w:r>
      <w:r w:rsidR="00AE63A1">
        <w:t xml:space="preserve"> hourly dispatch of a </w:t>
      </w:r>
      <w:r w:rsidR="00B01953">
        <w:t xml:space="preserve">new </w:t>
      </w:r>
      <w:r w:rsidR="00AE63A1">
        <w:t xml:space="preserve">CT to determine energy market net revenues. </w:t>
      </w:r>
      <w:r w:rsidR="00E606BB" w:rsidDel="008E4349">
        <w:t xml:space="preserve">The CT’s net </w:t>
      </w:r>
      <w:r w:rsidR="00E606BB">
        <w:t>margin is</w:t>
      </w:r>
      <w:r w:rsidR="00E606BB" w:rsidDel="008E4349">
        <w:t xml:space="preserve"> calculated assuming that the unit dispatches at full capacity in each hour that the real-time price exceeds its operating cost (the sum of fuel costs</w:t>
      </w:r>
      <w:r w:rsidR="002522D1" w:rsidRPr="640A206A">
        <w:t xml:space="preserve">, </w:t>
      </w:r>
      <w:r w:rsidR="00E606BB" w:rsidDel="008E4349">
        <w:t>variable O&amp;M</w:t>
      </w:r>
      <w:r w:rsidR="002522D1">
        <w:t>, and carbon costs</w:t>
      </w:r>
      <w:r w:rsidR="00E606BB" w:rsidRPr="640A206A" w:rsidDel="008E4349">
        <w:t>)</w:t>
      </w:r>
      <w:r w:rsidR="00E606BB">
        <w:t>.  In each hour that it operates, the unit earns the difference between the market price and its operating costs</w:t>
      </w:r>
      <w:r w:rsidR="000637DE">
        <w:t xml:space="preserve">, plus an </w:t>
      </w:r>
      <w:r w:rsidR="000637DE" w:rsidRPr="00F409D0">
        <w:t>additional 2.74% of the market price for ancillary services</w:t>
      </w:r>
      <w:r w:rsidR="000637DE" w:rsidRPr="00F409D0">
        <w:rPr>
          <w:rStyle w:val="FootnoteReference"/>
        </w:rPr>
        <w:footnoteReference w:id="3"/>
      </w:r>
      <w:r w:rsidR="000637DE" w:rsidRPr="00F409D0">
        <w:t>.</w:t>
      </w:r>
      <w:r w:rsidR="000637DE" w:rsidRPr="640A206A">
        <w:t xml:space="preserve"> </w:t>
      </w:r>
      <w:r w:rsidR="00E606BB" w:rsidDel="008E4349">
        <w:t xml:space="preserve"> In each hour where the market prices are below the operating cost, the unit is assumed to shut down.</w:t>
      </w:r>
      <w:r w:rsidR="00E606BB">
        <w:t xml:space="preserve">  The dispatch uses the real-time market shape (not the day-ahead market shape), and adjusts for </w:t>
      </w:r>
      <w:r w:rsidR="00CC3913">
        <w:t xml:space="preserve">changes in natural gas prices, </w:t>
      </w:r>
      <w:r w:rsidR="00E606BB">
        <w:t xml:space="preserve">temperature performance degradation using average monthly </w:t>
      </w:r>
      <w:r w:rsidR="00E606BB">
        <w:lastRenderedPageBreak/>
        <w:t>9am – 10pm temperatures</w:t>
      </w:r>
      <w:r w:rsidR="00563271">
        <w:t xml:space="preserve"> (see </w:t>
      </w:r>
      <w:r w:rsidR="00CC3913">
        <w:t xml:space="preserve">the </w:t>
      </w:r>
      <w:r w:rsidR="00563271">
        <w:t>section</w:t>
      </w:r>
      <w:r w:rsidR="00CC3913" w:rsidRPr="640A206A">
        <w:t xml:space="preserve"> </w:t>
      </w:r>
      <w:r w:rsidR="00CC3913" w:rsidRPr="002D70BF">
        <w:fldChar w:fldCharType="begin"/>
      </w:r>
      <w:r w:rsidR="00CC3913" w:rsidRPr="008A6BDD">
        <w:rPr>
          <w:i/>
        </w:rPr>
        <w:instrText xml:space="preserve"> REF _Ref451875436 \h </w:instrText>
      </w:r>
      <w:r w:rsidR="00CC3913">
        <w:rPr>
          <w:i/>
        </w:rPr>
        <w:instrText xml:space="preserve"> \* MERGEFORMAT </w:instrText>
      </w:r>
      <w:r w:rsidR="00CC3913" w:rsidRPr="002D70BF">
        <w:rPr>
          <w:i/>
        </w:rPr>
        <w:fldChar w:fldCharType="separate"/>
      </w:r>
      <w:r w:rsidR="00FD431B" w:rsidRPr="00FD431B">
        <w:rPr>
          <w:i/>
          <w:iCs/>
        </w:rPr>
        <w:t>Temperature effect on unit performance</w:t>
      </w:r>
      <w:r w:rsidR="00CC3913" w:rsidRPr="002D70BF">
        <w:fldChar w:fldCharType="end"/>
      </w:r>
      <w:r w:rsidR="00CC3913">
        <w:t xml:space="preserve"> on page </w:t>
      </w:r>
      <w:r w:rsidR="00CC3913">
        <w:fldChar w:fldCharType="begin"/>
      </w:r>
      <w:r w:rsidR="00CC3913">
        <w:instrText xml:space="preserve"> PAGEREF _Ref451875439 \h </w:instrText>
      </w:r>
      <w:r w:rsidR="00CC3913">
        <w:fldChar w:fldCharType="separate"/>
      </w:r>
      <w:r w:rsidR="00FD431B">
        <w:rPr>
          <w:noProof/>
        </w:rPr>
        <w:t>24</w:t>
      </w:r>
      <w:r w:rsidR="00CC3913">
        <w:fldChar w:fldCharType="end"/>
      </w:r>
      <w:r w:rsidR="00CC3913">
        <w:t>), and a market calibration factor</w:t>
      </w:r>
      <w:r w:rsidR="00CC3913">
        <w:rPr>
          <w:rStyle w:val="FootnoteReference"/>
        </w:rPr>
        <w:footnoteReference w:id="4"/>
      </w:r>
      <w:r w:rsidR="00CC3913" w:rsidRPr="640A206A">
        <w:t xml:space="preserve">. </w:t>
      </w:r>
    </w:p>
    <w:p w14:paraId="4CCFD41F" w14:textId="794092FD" w:rsidR="0074491A" w:rsidRDefault="00563271" w:rsidP="0074491A">
      <w:r>
        <w:t xml:space="preserve">The </w:t>
      </w:r>
      <w:r w:rsidR="0074491A">
        <w:t xml:space="preserve">market revenues earned in the energy and AS markets are subtracted from the fixed and variable costs </w:t>
      </w:r>
      <w:r w:rsidR="002522D1">
        <w:t xml:space="preserve">(including carbon </w:t>
      </w:r>
      <w:r w:rsidR="00852A9A">
        <w:t xml:space="preserve">allowance </w:t>
      </w:r>
      <w:r w:rsidR="002522D1">
        <w:t xml:space="preserve">costs) </w:t>
      </w:r>
      <w:r w:rsidR="0074491A">
        <w:t xml:space="preserve">of operating a CT to determine the residual capacity </w:t>
      </w:r>
      <w:r w:rsidR="00CC3913">
        <w:t>cost</w:t>
      </w:r>
      <w:r w:rsidR="0074491A">
        <w:t xml:space="preserve">. </w:t>
      </w:r>
      <w:r w:rsidR="00CC3913">
        <w:t xml:space="preserve"> The residual capacity cost is the additional revenue that a new CT would require </w:t>
      </w:r>
      <w:r w:rsidR="001C3D63">
        <w:t>to</w:t>
      </w:r>
      <w:r w:rsidR="00CC3913">
        <w:t xml:space="preserve"> fully cover its fixed costs and return on investment, and is used as a proxy for the long-term avoided cost of generation capacity. </w:t>
      </w:r>
      <w:r w:rsidR="0074491A">
        <w:t xml:space="preserve"> The</w:t>
      </w:r>
      <w:r w:rsidR="00CC3913">
        <w:t xml:space="preserve"> generation</w:t>
      </w:r>
      <w:r w:rsidR="0074491A">
        <w:t xml:space="preserve"> capacity </w:t>
      </w:r>
      <w:r w:rsidR="00CC3913">
        <w:t xml:space="preserve">cost </w:t>
      </w:r>
      <w:r w:rsidR="0074491A">
        <w:t>calculations are performed using both Northern California and Southern California market prices and weather information.  The cost of a new CT, however, is the same for both Northern and Southern California.  Consistent with the DR methodology</w:t>
      </w:r>
      <w:r w:rsidR="002522D1">
        <w:t xml:space="preserve"> implemented in the prior avoided cost model</w:t>
      </w:r>
      <w:r w:rsidR="0074491A">
        <w:t xml:space="preserve">, the final </w:t>
      </w:r>
      <w:r w:rsidR="00CC3913">
        <w:t xml:space="preserve">generation </w:t>
      </w:r>
      <w:r w:rsidR="0074491A">
        <w:t xml:space="preserve">capacity </w:t>
      </w:r>
      <w:r w:rsidR="00CC3913">
        <w:t xml:space="preserve">cost </w:t>
      </w:r>
      <w:r w:rsidR="0074491A">
        <w:t xml:space="preserve">for each year is the average of the results for Northern and Southern California (50% Northern and 50% Southern). </w:t>
      </w:r>
    </w:p>
    <w:p w14:paraId="10430848" w14:textId="294FFD4F" w:rsidR="002522D1" w:rsidRDefault="001C372A" w:rsidP="0074491A">
      <w:r>
        <w:t>In addition to data updates, the</w:t>
      </w:r>
      <w:r w:rsidR="002522D1">
        <w:t xml:space="preserve"> CT dispatch incorporates two methodology changes</w:t>
      </w:r>
    </w:p>
    <w:p w14:paraId="2D09EBF2" w14:textId="48E0D731" w:rsidR="002522D1" w:rsidRDefault="002522D1" w:rsidP="008A6BDD">
      <w:pPr>
        <w:pStyle w:val="ListParagraph"/>
        <w:numPr>
          <w:ilvl w:val="0"/>
          <w:numId w:val="10"/>
        </w:numPr>
      </w:pPr>
      <w:r>
        <w:t xml:space="preserve">Carbon </w:t>
      </w:r>
      <w:r w:rsidR="102CAC07">
        <w:t>and variable O&amp;</w:t>
      </w:r>
      <w:r w:rsidR="2FCE3C6F">
        <w:t>M costs</w:t>
      </w:r>
      <w:r w:rsidR="102CAC07" w:rsidRPr="2FCE3C6F">
        <w:t xml:space="preserve"> </w:t>
      </w:r>
      <w:r>
        <w:t>are included in the CT dispatch bids and market revenue calculations because such carbon costs are recovered through the energy market.</w:t>
      </w:r>
    </w:p>
    <w:p w14:paraId="242CA169" w14:textId="1F5B79E9" w:rsidR="2693F1C5" w:rsidRDefault="002522D1" w:rsidP="008A6BDD">
      <w:pPr>
        <w:pStyle w:val="ListParagraph"/>
        <w:numPr>
          <w:ilvl w:val="0"/>
          <w:numId w:val="10"/>
        </w:numPr>
        <w:spacing w:before="0"/>
      </w:pPr>
      <w:r>
        <w:t>The hourly real-time market shape i</w:t>
      </w:r>
      <w:r w:rsidR="42C633DC">
        <w:t>s base</w:t>
      </w:r>
      <w:r w:rsidR="00037DDF">
        <w:t>d</w:t>
      </w:r>
      <w:r w:rsidR="42C633DC">
        <w:t xml:space="preserve"> on</w:t>
      </w:r>
      <w:r>
        <w:t xml:space="preserve"> the 2015 shape a</w:t>
      </w:r>
      <w:r w:rsidR="42C633DC">
        <w:t>nd h</w:t>
      </w:r>
      <w:r w:rsidR="2BE6A0B9">
        <w:t>eld constant for all future years</w:t>
      </w:r>
      <w:r w:rsidR="001C372A" w:rsidRPr="25ED4B98">
        <w:t>.</w:t>
      </w:r>
      <w:r w:rsidR="2BE6A0B9" w:rsidRPr="2BE6A0B9">
        <w:t xml:space="preserve"> This shape is not adjusted </w:t>
      </w:r>
      <w:r w:rsidR="2693F1C5" w:rsidRPr="2BE6A0B9">
        <w:t xml:space="preserve">in the same way as </w:t>
      </w:r>
      <w:r w:rsidR="2BE6A0B9" w:rsidRPr="2BE6A0B9">
        <w:t>the</w:t>
      </w:r>
      <w:r w:rsidR="76C5D7BC" w:rsidRPr="76C5D7BC">
        <w:t xml:space="preserve"> day-ahead price shape due to the disconnect </w:t>
      </w:r>
      <w:r w:rsidR="2693F1C5" w:rsidRPr="2693F1C5">
        <w:t xml:space="preserve">between the </w:t>
      </w:r>
      <w:r w:rsidR="2693F1C5">
        <w:t xml:space="preserve">two </w:t>
      </w:r>
      <w:r w:rsidR="0B69799C" w:rsidRPr="0B69799C">
        <w:t>as well as large increase in volatility seen in the real-time price shape.</w:t>
      </w:r>
    </w:p>
    <w:p w14:paraId="13609320" w14:textId="5F9465B3" w:rsidR="003F52C9" w:rsidRDefault="003F52C9" w:rsidP="008A6BDD">
      <w:pPr>
        <w:pStyle w:val="ListParagraph"/>
        <w:numPr>
          <w:ilvl w:val="0"/>
          <w:numId w:val="10"/>
        </w:numPr>
        <w:spacing w:before="0"/>
      </w:pPr>
      <w:r>
        <w:t xml:space="preserve">The hourly real time shape is based on </w:t>
      </w:r>
      <w:r w:rsidR="00992562">
        <w:t>the 3</w:t>
      </w:r>
      <w:r w:rsidR="00992562" w:rsidRPr="00B76B06">
        <w:rPr>
          <w:vertAlign w:val="superscript"/>
        </w:rPr>
        <w:t>rd</w:t>
      </w:r>
      <w:r w:rsidR="00992562">
        <w:t xml:space="preserve"> highest 5-minute interval value within the hour, rather than a simple average of all 12 intervals within the hour.</w:t>
      </w:r>
    </w:p>
    <w:p w14:paraId="6EBECD85" w14:textId="60233663" w:rsidR="0051165A" w:rsidRDefault="0074491A" w:rsidP="0051165A">
      <w:pPr>
        <w:pStyle w:val="Caption"/>
      </w:pPr>
      <w:r w:rsidRPr="6D85341E">
        <w:lastRenderedPageBreak/>
        <w:t xml:space="preserve">Figure </w:t>
      </w:r>
      <w:r w:rsidR="00B8765B">
        <w:fldChar w:fldCharType="begin"/>
      </w:r>
      <w:r w:rsidR="00B8765B">
        <w:instrText xml:space="preserve"> SEQ Figure \* ARABIC </w:instrText>
      </w:r>
      <w:r w:rsidR="00B8765B">
        <w:fldChar w:fldCharType="separate"/>
      </w:r>
      <w:r w:rsidR="00FD431B">
        <w:rPr>
          <w:noProof/>
        </w:rPr>
        <w:t>13</w:t>
      </w:r>
      <w:r w:rsidR="00B8765B">
        <w:rPr>
          <w:noProof/>
        </w:rPr>
        <w:fldChar w:fldCharType="end"/>
      </w:r>
      <w:r w:rsidRPr="6D85341E">
        <w:t xml:space="preserve">:  Statewide Generation Capacity Value </w:t>
      </w:r>
      <w:r w:rsidR="55D88296" w:rsidRPr="6D85341E">
        <w:t>before</w:t>
      </w:r>
      <w:r w:rsidR="60156D2A" w:rsidRPr="25ED4B98">
        <w:t xml:space="preserve"> </w:t>
      </w:r>
      <w:r w:rsidRPr="6D85341E">
        <w:t xml:space="preserve">Temperature </w:t>
      </w:r>
      <w:r w:rsidR="60156D2A" w:rsidRPr="6D85341E">
        <w:t>and Loss</w:t>
      </w:r>
      <w:r w:rsidR="60156D2A" w:rsidRPr="25ED4B98">
        <w:t xml:space="preserve"> </w:t>
      </w:r>
      <w:r w:rsidRPr="6D85341E">
        <w:t>Adjustments</w:t>
      </w:r>
    </w:p>
    <w:p w14:paraId="666C776A" w14:textId="394C140D" w:rsidR="0D366BC7" w:rsidRDefault="00F5344B" w:rsidP="0051165A">
      <w:pPr>
        <w:pStyle w:val="Caption"/>
        <w:jc w:val="center"/>
        <w:rPr>
          <w:b w:val="0"/>
          <w:bCs w:val="0"/>
        </w:rPr>
      </w:pPr>
      <w:r>
        <w:rPr>
          <w:b w:val="0"/>
          <w:bCs w:val="0"/>
          <w:noProof/>
        </w:rPr>
        <w:drawing>
          <wp:inline distT="0" distB="0" distL="0" distR="0" wp14:anchorId="659BB571" wp14:editId="5F8FAECD">
            <wp:extent cx="6019800" cy="2745894"/>
            <wp:effectExtent l="0" t="0" r="0" b="0"/>
            <wp:docPr id="1321859149" name="Picture 132185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804" cy="2750913"/>
                    </a:xfrm>
                    <a:prstGeom prst="rect">
                      <a:avLst/>
                    </a:prstGeom>
                    <a:noFill/>
                  </pic:spPr>
                </pic:pic>
              </a:graphicData>
            </a:graphic>
          </wp:inline>
        </w:drawing>
      </w:r>
    </w:p>
    <w:p w14:paraId="329DE065" w14:textId="173F662A" w:rsidR="00F409D0" w:rsidRPr="00DA20DB" w:rsidRDefault="00F409D0" w:rsidP="00B76B06">
      <w:r>
        <w:t xml:space="preserve">Note that the avoided cost methodology update process has not allowed for a re-visiting of the long-run energy and capacity estimation methods.  </w:t>
      </w:r>
      <w:r w:rsidR="008E72DD">
        <w:t>There has been a</w:t>
      </w:r>
      <w:r>
        <w:t xml:space="preserve"> substantial shift in the composition of the grid </w:t>
      </w:r>
      <w:r w:rsidR="008E72DD">
        <w:t>and nature of</w:t>
      </w:r>
      <w:r>
        <w:t xml:space="preserve"> resource additions </w:t>
      </w:r>
      <w:r w:rsidR="008E72DD">
        <w:t>since the</w:t>
      </w:r>
      <w:r>
        <w:t xml:space="preserve"> methodology was originally formulated in 200</w:t>
      </w:r>
      <w:r w:rsidR="008E72DD">
        <w:t>4.  The constant decline in capacity value after 2030 further suggests that a reexamination of the methodology is warranted.</w:t>
      </w:r>
    </w:p>
    <w:p w14:paraId="6A358BE7" w14:textId="1FA55FC6" w:rsidR="00F214CF" w:rsidRDefault="00F214CF" w:rsidP="00F214CF">
      <w:r>
        <w:t xml:space="preserve">   </w:t>
      </w:r>
    </w:p>
    <w:p w14:paraId="2344FF13" w14:textId="77777777" w:rsidR="0074491A" w:rsidRPr="000145D0" w:rsidRDefault="0074491A" w:rsidP="0074491A">
      <w:pPr>
        <w:pStyle w:val="Heading3"/>
      </w:pPr>
      <w:bookmarkStart w:id="25" w:name="_Ref451875436"/>
      <w:bookmarkStart w:id="26" w:name="_Ref451875439"/>
      <w:bookmarkStart w:id="27" w:name="_Toc514055040"/>
      <w:r w:rsidRPr="000145D0">
        <w:t>Temperature effect on unit performance</w:t>
      </w:r>
      <w:bookmarkEnd w:id="25"/>
      <w:bookmarkEnd w:id="26"/>
      <w:bookmarkEnd w:id="27"/>
    </w:p>
    <w:p w14:paraId="28FA53CC" w14:textId="77777777" w:rsidR="00AE63A1" w:rsidRDefault="0074491A" w:rsidP="000145D0">
      <w:r>
        <w:t>The</w:t>
      </w:r>
      <w:r w:rsidR="00CC5EF2">
        <w:t xml:space="preserve"> </w:t>
      </w:r>
      <w:r w:rsidR="00AE63A1">
        <w:t>capacity value as $ per kW of degraded capacity, rather than $ per kW of nameplate capacity</w:t>
      </w:r>
      <w:r>
        <w:t xml:space="preserve"> to account for the effects of temperature</w:t>
      </w:r>
      <w:r w:rsidR="00AE63A1">
        <w:t xml:space="preserve">.  This re-expression increases the $/kW capacity value by </w:t>
      </w:r>
      <w:r w:rsidR="00B01953">
        <w:t xml:space="preserve">about </w:t>
      </w:r>
      <w:r w:rsidR="000145D0">
        <w:t xml:space="preserve">8%.  The use of the degraded capacity </w:t>
      </w:r>
      <w:r w:rsidR="00397CE6">
        <w:t>was</w:t>
      </w:r>
      <w:r w:rsidR="000145D0">
        <w:t xml:space="preserve"> introduced in the DR proceeding to more precisely model to operation of a combustion turbine at different ambient temperature conditions throughout the year.</w:t>
      </w:r>
      <w:r w:rsidR="00397CE6">
        <w:t xml:space="preserve">  Use of degraded, rather than nameplate, capacity value results an increase in the capacity value because combustion turbines perform at lower efficiencies when the ambient temperature is high.</w:t>
      </w:r>
    </w:p>
    <w:p w14:paraId="266D6F0F" w14:textId="7C4BB68A" w:rsidR="00E606BB" w:rsidRDefault="00E606BB" w:rsidP="00452851">
      <w:r>
        <w:lastRenderedPageBreak/>
        <w:t>The CT’s rated heat rate and nameplate capacity characterize the unit’s performance at ISO conditions,</w:t>
      </w:r>
      <w:r>
        <w:rPr>
          <w:rStyle w:val="FootnoteReference"/>
        </w:rPr>
        <w:footnoteReference w:id="5"/>
      </w:r>
      <w:r>
        <w:t xml:space="preserve"> but the unit’s actual performance deviates substantially from these ratings throughout the year.  In California, deviations from rated performance are due primarily to hourly variations in temperature.  </w:t>
      </w:r>
      <w:r>
        <w:fldChar w:fldCharType="begin"/>
      </w:r>
      <w:r>
        <w:instrText xml:space="preserve"> REF _Ref278704493 \h </w:instrText>
      </w:r>
      <w:r>
        <w:fldChar w:fldCharType="separate"/>
      </w:r>
      <w:r w:rsidR="00FD431B">
        <w:t xml:space="preserve">Figure </w:t>
      </w:r>
      <w:r w:rsidR="00FD431B">
        <w:rPr>
          <w:noProof/>
        </w:rPr>
        <w:t>14</w:t>
      </w:r>
      <w:r>
        <w:fldChar w:fldCharType="end"/>
      </w:r>
      <w:r>
        <w:t xml:space="preserve"> shows the relationship between temperature and performance for a GE LM6000 SPRINT gas turbine, a reasonable proxy for current CT technology.</w:t>
      </w:r>
    </w:p>
    <w:p w14:paraId="4F4A63E5" w14:textId="37BEF3ED" w:rsidR="00E606BB" w:rsidRDefault="00E606BB" w:rsidP="00087461">
      <w:pPr>
        <w:pStyle w:val="Caption"/>
      </w:pPr>
      <w:bookmarkStart w:id="28" w:name="_Ref278704493"/>
      <w:bookmarkStart w:id="29" w:name="_Ref278704488"/>
      <w:r>
        <w:t xml:space="preserve">Figure </w:t>
      </w:r>
      <w:r w:rsidR="00B8765B">
        <w:fldChar w:fldCharType="begin"/>
      </w:r>
      <w:r w:rsidR="00B8765B">
        <w:instrText xml:space="preserve"> SEQ Figure \* ARABIC </w:instrText>
      </w:r>
      <w:r w:rsidR="00B8765B">
        <w:fldChar w:fldCharType="separate"/>
      </w:r>
      <w:r w:rsidR="00FD431B">
        <w:rPr>
          <w:noProof/>
        </w:rPr>
        <w:t>14</w:t>
      </w:r>
      <w:r w:rsidR="00B8765B">
        <w:rPr>
          <w:noProof/>
        </w:rPr>
        <w:fldChar w:fldCharType="end"/>
      </w:r>
      <w:bookmarkEnd w:id="28"/>
      <w:r>
        <w:t>. Temperature-performance curve for a GE LM6000 SPRINT combustion turbine.</w:t>
      </w:r>
      <w:bookmarkEnd w:id="29"/>
    </w:p>
    <w:p w14:paraId="73E73309" w14:textId="6C0F2E8E" w:rsidR="00E606BB" w:rsidRDefault="007A19C3" w:rsidP="000145D0">
      <w:pPr>
        <w:pStyle w:val="SeattleBody"/>
      </w:pPr>
      <w:r>
        <w:rPr>
          <w:noProof/>
        </w:rPr>
        <w:drawing>
          <wp:inline distT="0" distB="0" distL="0" distR="0" wp14:anchorId="31802275" wp14:editId="711FCD2D">
            <wp:extent cx="4572000" cy="2771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2771775"/>
                    </a:xfrm>
                    <a:prstGeom prst="rect">
                      <a:avLst/>
                    </a:prstGeom>
                    <a:noFill/>
                    <a:ln>
                      <a:noFill/>
                    </a:ln>
                  </pic:spPr>
                </pic:pic>
              </a:graphicData>
            </a:graphic>
          </wp:inline>
        </w:drawing>
      </w:r>
    </w:p>
    <w:p w14:paraId="079DE13A" w14:textId="77777777" w:rsidR="00E606BB" w:rsidRDefault="00E606BB" w:rsidP="000145D0">
      <w:r>
        <w:t>The effect of temperature on performance is incorporated into the calculation of the CT residual; several performance corrections are considered:</w:t>
      </w:r>
    </w:p>
    <w:p w14:paraId="4ED61269" w14:textId="77777777" w:rsidR="00E606BB" w:rsidRDefault="00E606BB" w:rsidP="000145D0">
      <w:pPr>
        <w:numPr>
          <w:ilvl w:val="0"/>
          <w:numId w:val="4"/>
        </w:numPr>
      </w:pPr>
      <w:r>
        <w:t>In the calculation of the CT’s dispatch, the heat rate is assumed to vary on a monthly basis.  In each month, E3 calculates an average day-time temperature based on hourly temperature data throughout the state and uses this value to adjust the heat rate—and thereby the operating cost—within that month.</w:t>
      </w:r>
    </w:p>
    <w:p w14:paraId="058D23A9" w14:textId="77777777" w:rsidR="00E606BB" w:rsidRDefault="00E606BB" w:rsidP="000145D0">
      <w:pPr>
        <w:numPr>
          <w:ilvl w:val="0"/>
          <w:numId w:val="4"/>
        </w:numPr>
      </w:pPr>
      <w:r>
        <w:lastRenderedPageBreak/>
        <w:t>Plant output is also assumed to vary on a monthly basis; the same average day-time temperature is used to determine the correct adjustment.  This adjustment affects the revenue collected by the plant in the real-time market.  For instance, if the plant’s output is 90% of nameplate capacity in a given month, its net revenues will equal 90% of what it would have received had it been able to operate at nameplate capacity.</w:t>
      </w:r>
    </w:p>
    <w:p w14:paraId="129DB1E3" w14:textId="5106C89C" w:rsidR="00E606BB" w:rsidRDefault="00E606BB" w:rsidP="000145D0">
      <w:pPr>
        <w:numPr>
          <w:ilvl w:val="0"/>
          <w:numId w:val="4"/>
        </w:numPr>
      </w:pPr>
      <w:r>
        <w:t>The resulting capacity residual is originally calculated as the value per nameplate kilowatt—however, during the peak periods during which a CT is necessary for resource adequacy, high temperatures will result in a significant capacity derat</w:t>
      </w:r>
      <w:r w:rsidR="005A20A3">
        <w:t>ion</w:t>
      </w:r>
      <w:r>
        <w:t xml:space="preserve">.  Consequently, the value of capacity is increased by approximately 10% to reflect the plant’s reduced output during the top 250 load hours of the year as shown in </w:t>
      </w:r>
      <w:r>
        <w:fldChar w:fldCharType="begin"/>
      </w:r>
      <w:r>
        <w:instrText xml:space="preserve"> REF _Ref278719804 \h </w:instrText>
      </w:r>
      <w:r>
        <w:fldChar w:fldCharType="separate"/>
      </w:r>
      <w:r w:rsidR="00FD431B">
        <w:t xml:space="preserve">Figure </w:t>
      </w:r>
      <w:r w:rsidR="00FD431B">
        <w:rPr>
          <w:noProof/>
        </w:rPr>
        <w:t>15</w:t>
      </w:r>
      <w:r>
        <w:fldChar w:fldCharType="end"/>
      </w:r>
      <w:r>
        <w:t>.</w:t>
      </w:r>
    </w:p>
    <w:p w14:paraId="46BDFA60" w14:textId="77777777" w:rsidR="00087461" w:rsidRDefault="00087461" w:rsidP="00087461">
      <w:r>
        <w:t xml:space="preserve">The forecast annual generation capacity values are shown below.  </w:t>
      </w:r>
    </w:p>
    <w:p w14:paraId="013B1576" w14:textId="6B360D77" w:rsidR="00E606BB" w:rsidRDefault="00E606BB" w:rsidP="009336FE">
      <w:pPr>
        <w:pStyle w:val="Caption"/>
      </w:pPr>
      <w:bookmarkStart w:id="30" w:name="_Ref278719804"/>
      <w:r>
        <w:t xml:space="preserve">Figure </w:t>
      </w:r>
      <w:r w:rsidR="00B8765B">
        <w:fldChar w:fldCharType="begin"/>
      </w:r>
      <w:r w:rsidR="00B8765B">
        <w:instrText xml:space="preserve"> SEQ Figure \* ARABIC </w:instrText>
      </w:r>
      <w:r w:rsidR="00B8765B">
        <w:fldChar w:fldCharType="separate"/>
      </w:r>
      <w:r w:rsidR="00FD431B">
        <w:rPr>
          <w:noProof/>
        </w:rPr>
        <w:t>15</w:t>
      </w:r>
      <w:r w:rsidR="00B8765B">
        <w:rPr>
          <w:noProof/>
        </w:rPr>
        <w:fldChar w:fldCharType="end"/>
      </w:r>
      <w:bookmarkEnd w:id="30"/>
      <w:r>
        <w:t>. Adjustment of capacity value to account for temperature derat</w:t>
      </w:r>
      <w:r w:rsidR="003503C4">
        <w:t>i</w:t>
      </w:r>
      <w:r w:rsidR="009336FE">
        <w:t xml:space="preserve">ng during periods of peak load </w:t>
      </w:r>
      <w:r w:rsidR="38643851">
        <w:t>(losses still excluded)</w:t>
      </w:r>
    </w:p>
    <w:p w14:paraId="77E4A29F" w14:textId="58045FBE" w:rsidR="0D366BC7" w:rsidRDefault="00F5344B">
      <w:r>
        <w:rPr>
          <w:noProof/>
        </w:rPr>
        <w:drawing>
          <wp:inline distT="0" distB="0" distL="0" distR="0" wp14:anchorId="771DD0F3" wp14:editId="03206E49">
            <wp:extent cx="5924550" cy="2713233"/>
            <wp:effectExtent l="0" t="0" r="0" b="0"/>
            <wp:docPr id="1321859150" name="Picture 132185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5634" cy="2722889"/>
                    </a:xfrm>
                    <a:prstGeom prst="rect">
                      <a:avLst/>
                    </a:prstGeom>
                    <a:noFill/>
                  </pic:spPr>
                </pic:pic>
              </a:graphicData>
            </a:graphic>
          </wp:inline>
        </w:drawing>
      </w:r>
    </w:p>
    <w:p w14:paraId="395A6FB8" w14:textId="77777777" w:rsidR="00A3513A" w:rsidRPr="000145D0" w:rsidRDefault="00CC5EF2" w:rsidP="00A3513A">
      <w:pPr>
        <w:pStyle w:val="Heading3"/>
      </w:pPr>
      <w:bookmarkStart w:id="31" w:name="_Toc514055041"/>
      <w:r>
        <w:t>Planning reserve margin and l</w:t>
      </w:r>
      <w:r w:rsidR="00A3513A">
        <w:t>osses</w:t>
      </w:r>
      <w:bookmarkEnd w:id="31"/>
    </w:p>
    <w:p w14:paraId="5D7CBAE3" w14:textId="77777777" w:rsidR="003503C4" w:rsidRDefault="00A3513A" w:rsidP="00087461">
      <w:r>
        <w:t xml:space="preserve">The capacity value is increased to account for both the Planning Reserve Margin (PRM) and losses.  </w:t>
      </w:r>
      <w:r w:rsidR="005D270E">
        <w:t xml:space="preserve">Resource Adequacy rules set capacity procurement targets for Load Serving Entities </w:t>
      </w:r>
      <w:r w:rsidR="005D270E">
        <w:lastRenderedPageBreak/>
        <w:t>based on 1.15% of their forecasted load.</w:t>
      </w:r>
      <w:r w:rsidR="005D270E">
        <w:rPr>
          <w:rStyle w:val="FootnoteReference"/>
        </w:rPr>
        <w:footnoteReference w:id="6"/>
      </w:r>
      <w:r w:rsidR="005D270E">
        <w:t xml:space="preserve">  The must also account for losses in delivering electricity from the generator to the customer, based on </w:t>
      </w:r>
      <w:r w:rsidR="00CD0E8C">
        <w:t>peak</w:t>
      </w:r>
      <w:r w:rsidR="005D270E">
        <w:t xml:space="preserve"> loss factors for each utility.  The capacity value is therefore increased by the </w:t>
      </w:r>
      <w:r w:rsidR="00B71A17">
        <w:t xml:space="preserve">PRM </w:t>
      </w:r>
      <w:r w:rsidR="005D270E">
        <w:t xml:space="preserve">and the applicable loss factors for each utility. </w:t>
      </w:r>
      <w:r w:rsidR="00CD0E8C">
        <w:t>Note that peak loss factors are used for generation and T&amp;D capacity while TOU loss factors</w:t>
      </w:r>
      <w:r w:rsidR="0056388C">
        <w:t xml:space="preserve"> are used for energy.</w:t>
      </w:r>
    </w:p>
    <w:p w14:paraId="4FDA7BEB" w14:textId="0CD4E732" w:rsidR="001C372A" w:rsidRDefault="001C372A" w:rsidP="001C372A">
      <w:pPr>
        <w:pStyle w:val="Heading3"/>
      </w:pPr>
      <w:bookmarkStart w:id="32" w:name="_Toc514055042"/>
      <w:bookmarkStart w:id="33" w:name="_Toc271574658"/>
      <w:bookmarkStart w:id="34" w:name="_Toc271575307"/>
      <w:r w:rsidRPr="08DBACB0">
        <w:t>Hourly allocation of capacity value</w:t>
      </w:r>
      <w:bookmarkEnd w:id="32"/>
    </w:p>
    <w:p w14:paraId="605C949F" w14:textId="4FE37611" w:rsidR="001C372A" w:rsidRDefault="69FA55F3" w:rsidP="008A6BDD">
      <w:r>
        <w:t>T</w:t>
      </w:r>
      <w:r w:rsidR="25651DA7">
        <w:t>he capacity values ($/kW-</w:t>
      </w:r>
      <w:proofErr w:type="spellStart"/>
      <w:r w:rsidR="25651DA7">
        <w:t>yr</w:t>
      </w:r>
      <w:proofErr w:type="spellEnd"/>
      <w:r w:rsidR="5E3DF426" w:rsidRPr="25ED4B98">
        <w:t>)</w:t>
      </w:r>
      <w:r w:rsidR="25651DA7" w:rsidRPr="25ED4B98">
        <w:t xml:space="preserve">, </w:t>
      </w:r>
      <w:r w:rsidR="5E3DF426">
        <w:t>after</w:t>
      </w:r>
      <w:r w:rsidR="5E3DF426" w:rsidRPr="25ED4B98">
        <w:t xml:space="preserve"> </w:t>
      </w:r>
      <w:r w:rsidR="25651DA7">
        <w:t>adjust</w:t>
      </w:r>
      <w:r w:rsidR="5E3DF426">
        <w:t>ing</w:t>
      </w:r>
      <w:r w:rsidR="25651DA7">
        <w:t xml:space="preserve"> for temperature, losses, and planning reserve margin</w:t>
      </w:r>
      <w:r w:rsidR="25651DA7" w:rsidRPr="25ED4B98">
        <w:t xml:space="preserve">, </w:t>
      </w:r>
      <w:r w:rsidR="4B7BB10F">
        <w:t xml:space="preserve">are then allocated to the hours of the year with highest system capacity need using the E3 RECAP model. </w:t>
      </w:r>
      <w:r w:rsidR="000C333A">
        <w:t>Using 63 years of historical load and generation data, the model determ</w:t>
      </w:r>
      <w:r w:rsidR="71465D1C">
        <w:t>ines the expected unserved energy (EUE) for each month/hour/day-type time period in the year.</w:t>
      </w:r>
      <w:r w:rsidR="5E3DF426" w:rsidRPr="25ED4B98">
        <w:t xml:space="preserve"> </w:t>
      </w:r>
      <w:r w:rsidR="6988F8FA" w:rsidRPr="6988F8FA">
        <w:t xml:space="preserve">As </w:t>
      </w:r>
      <w:r w:rsidR="6036B4E3" w:rsidRPr="6036B4E3">
        <w:t xml:space="preserve">renewable penetrations increase, EUE shifts from the afternoon to evenings as well as </w:t>
      </w:r>
      <w:r w:rsidR="5EF73D66" w:rsidRPr="6036B4E3">
        <w:t>to a relatively more weekends</w:t>
      </w:r>
      <w:r w:rsidR="1851181F" w:rsidRPr="25ED4B98">
        <w:t xml:space="preserve">. </w:t>
      </w:r>
      <w:r w:rsidR="6839749B" w:rsidRPr="6839749B">
        <w:t>A</w:t>
      </w:r>
      <w:r w:rsidR="5844988A" w:rsidRPr="5844988A">
        <w:t xml:space="preserve"> snapshot of these hourly EUE values in 2020 is shown below</w:t>
      </w:r>
      <w:r w:rsidR="001C372A">
        <w:rPr>
          <w:noProof/>
        </w:rPr>
        <w:drawing>
          <wp:inline distT="0" distB="0" distL="0" distR="0" wp14:anchorId="0B9DC016" wp14:editId="42C2CF45">
            <wp:extent cx="5943600" cy="2000250"/>
            <wp:effectExtent l="0" t="0" r="0" b="0"/>
            <wp:docPr id="11527100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000250"/>
                    </a:xfrm>
                    <a:prstGeom prst="rect">
                      <a:avLst/>
                    </a:prstGeom>
                  </pic:spPr>
                </pic:pic>
              </a:graphicData>
            </a:graphic>
          </wp:inline>
        </w:drawing>
      </w:r>
    </w:p>
    <w:p w14:paraId="5065A1F6" w14:textId="04A9909B" w:rsidR="67BA36CA" w:rsidRDefault="67BA36CA">
      <w:pPr>
        <w:rPr>
          <w:rFonts w:eastAsia="Calibri"/>
        </w:rPr>
      </w:pPr>
      <w:r w:rsidRPr="008A6BDD">
        <w:rPr>
          <w:rFonts w:eastAsia="Calibri"/>
        </w:rPr>
        <w:t xml:space="preserve">These month/hour/day-type </w:t>
      </w:r>
      <w:r w:rsidR="5266027F" w:rsidRPr="008A6BDD">
        <w:rPr>
          <w:rFonts w:eastAsia="Calibri"/>
        </w:rPr>
        <w:t xml:space="preserve">EUE values are then allocated to days of the year using </w:t>
      </w:r>
      <w:r w:rsidR="6E38BAE7" w:rsidRPr="008A6BDD">
        <w:rPr>
          <w:rFonts w:eastAsia="Calibri"/>
        </w:rPr>
        <w:t xml:space="preserve">the </w:t>
      </w:r>
      <w:r w:rsidR="004E798B">
        <w:rPr>
          <w:rFonts w:eastAsia="Calibri"/>
        </w:rPr>
        <w:t>2017</w:t>
      </w:r>
      <w:r w:rsidR="004E798B" w:rsidRPr="008A6BDD">
        <w:rPr>
          <w:rFonts w:eastAsia="Calibri"/>
        </w:rPr>
        <w:t xml:space="preserve"> </w:t>
      </w:r>
      <w:r w:rsidR="6E38BAE7" w:rsidRPr="008A6BDD">
        <w:rPr>
          <w:rFonts w:eastAsia="Calibri"/>
        </w:rPr>
        <w:t xml:space="preserve">daily temperature record for consistency with energy prices. </w:t>
      </w:r>
      <w:r w:rsidR="17C45E1D" w:rsidRPr="008A6BDD">
        <w:rPr>
          <w:rFonts w:eastAsia="Calibri"/>
        </w:rPr>
        <w:t xml:space="preserve">A load-weighted </w:t>
      </w:r>
      <w:r w:rsidR="17C1CD6C" w:rsidRPr="008A6BDD">
        <w:rPr>
          <w:rFonts w:eastAsia="Calibri"/>
        </w:rPr>
        <w:t xml:space="preserve">daily </w:t>
      </w:r>
      <w:r w:rsidR="17C45E1D" w:rsidRPr="008A6BDD">
        <w:rPr>
          <w:rFonts w:eastAsia="Calibri"/>
        </w:rPr>
        <w:t xml:space="preserve">maximum statewide temperature is calculated and all </w:t>
      </w:r>
      <w:r w:rsidR="587D81CD" w:rsidRPr="008A6BDD">
        <w:rPr>
          <w:rFonts w:eastAsia="Calibri"/>
        </w:rPr>
        <w:t xml:space="preserve">hours in </w:t>
      </w:r>
      <w:r w:rsidR="17C45E1D" w:rsidRPr="008A6BDD">
        <w:rPr>
          <w:rFonts w:eastAsia="Calibri"/>
        </w:rPr>
        <w:t>days w</w:t>
      </w:r>
      <w:r w:rsidR="17C1CD6C" w:rsidRPr="008A6BDD">
        <w:rPr>
          <w:rFonts w:eastAsia="Calibri"/>
        </w:rPr>
        <w:t>here this value exceeds 90</w:t>
      </w:r>
      <w:r w:rsidR="750C1CC8" w:rsidRPr="008A6BDD">
        <w:rPr>
          <w:rFonts w:eastAsia="Calibri"/>
        </w:rPr>
        <w:t xml:space="preserve"> degrees F </w:t>
      </w:r>
      <w:r w:rsidR="750C1CC8" w:rsidRPr="008A6BDD">
        <w:rPr>
          <w:rFonts w:eastAsia="Calibri"/>
        </w:rPr>
        <w:lastRenderedPageBreak/>
        <w:t>receive the correspon</w:t>
      </w:r>
      <w:r w:rsidR="6C81CD12" w:rsidRPr="008A6BDD">
        <w:rPr>
          <w:rFonts w:eastAsia="Calibri"/>
        </w:rPr>
        <w:t>d</w:t>
      </w:r>
      <w:r w:rsidR="750C1CC8" w:rsidRPr="008A6BDD">
        <w:rPr>
          <w:rFonts w:eastAsia="Calibri"/>
        </w:rPr>
        <w:t>ing</w:t>
      </w:r>
      <w:r w:rsidR="6C81CD12" w:rsidRPr="008A6BDD">
        <w:rPr>
          <w:rFonts w:eastAsia="Calibri"/>
        </w:rPr>
        <w:t xml:space="preserve"> </w:t>
      </w:r>
      <w:r w:rsidR="587D81CD" w:rsidRPr="008A6BDD">
        <w:rPr>
          <w:rFonts w:eastAsia="Calibri"/>
        </w:rPr>
        <w:t xml:space="preserve">month/hour/day-type </w:t>
      </w:r>
      <w:r w:rsidR="6C81CD12" w:rsidRPr="008A6BDD">
        <w:rPr>
          <w:rFonts w:eastAsia="Calibri"/>
        </w:rPr>
        <w:t>EUE value from RECAP.</w:t>
      </w:r>
      <w:r w:rsidR="3397BAC1" w:rsidRPr="008A6BDD">
        <w:rPr>
          <w:rFonts w:eastAsia="Calibri"/>
        </w:rPr>
        <w:t xml:space="preserve"> </w:t>
      </w:r>
      <w:r w:rsidR="2072C5D2" w:rsidRPr="008A6BDD">
        <w:rPr>
          <w:rFonts w:eastAsia="Calibri"/>
        </w:rPr>
        <w:t>The resulting 8760 hourly capacity allocators are shown below.</w:t>
      </w:r>
    </w:p>
    <w:p w14:paraId="72F20021" w14:textId="632EEF2E" w:rsidR="00702E17" w:rsidRDefault="00702E17" w:rsidP="00B76B06">
      <w:pPr>
        <w:pStyle w:val="Caption"/>
      </w:pPr>
      <w:r>
        <w:t xml:space="preserve">Figure </w:t>
      </w:r>
      <w:r w:rsidR="00B8765B">
        <w:fldChar w:fldCharType="begin"/>
      </w:r>
      <w:r w:rsidR="00B8765B">
        <w:instrText xml:space="preserve"> SEQ Figure \* ARABIC </w:instrText>
      </w:r>
      <w:r w:rsidR="00B8765B">
        <w:fldChar w:fldCharType="separate"/>
      </w:r>
      <w:r w:rsidR="00FD431B">
        <w:rPr>
          <w:noProof/>
        </w:rPr>
        <w:t>16</w:t>
      </w:r>
      <w:r w:rsidR="00B8765B">
        <w:rPr>
          <w:noProof/>
        </w:rPr>
        <w:fldChar w:fldCharType="end"/>
      </w:r>
      <w:r>
        <w:t>:  Generation Capacity Hourly Allocation Factors (2020)</w:t>
      </w:r>
    </w:p>
    <w:p w14:paraId="151A7687" w14:textId="781D3371" w:rsidR="00F03153" w:rsidRDefault="00702E17" w:rsidP="008A6BDD">
      <w:r w:rsidRPr="00702E17" w:rsidDel="00702E17">
        <w:t xml:space="preserve">  </w:t>
      </w:r>
      <w:r>
        <w:rPr>
          <w:noProof/>
        </w:rPr>
        <w:drawing>
          <wp:inline distT="0" distB="0" distL="0" distR="0" wp14:anchorId="26419F84" wp14:editId="756FC032">
            <wp:extent cx="5753100" cy="3368587"/>
            <wp:effectExtent l="0" t="0" r="0" b="3810"/>
            <wp:docPr id="491430603" name="Picture 4914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589" cy="3372972"/>
                    </a:xfrm>
                    <a:prstGeom prst="rect">
                      <a:avLst/>
                    </a:prstGeom>
                    <a:noFill/>
                  </pic:spPr>
                </pic:pic>
              </a:graphicData>
            </a:graphic>
          </wp:inline>
        </w:drawing>
      </w:r>
    </w:p>
    <w:p w14:paraId="3D31F5B1" w14:textId="4F695FC7" w:rsidR="002D1092" w:rsidRDefault="002D1092" w:rsidP="008A6BDD">
      <w:r>
        <w:t>A downloadable version of RECAP can be found online.</w:t>
      </w:r>
      <w:r>
        <w:rPr>
          <w:rStyle w:val="FootnoteReference"/>
        </w:rPr>
        <w:footnoteReference w:id="7"/>
      </w:r>
      <w:r>
        <w:t xml:space="preserve"> The results shown above use this version of the model along with load and renewable generation forecasts consistent with the LTPP “Default – AAEE Sensitivity” scenario. </w:t>
      </w:r>
      <w:r w:rsidR="00F165CB">
        <w:t xml:space="preserve"> While the hourly allocations were updated, the underlying RECAP analysis was not changed in this update.</w:t>
      </w:r>
    </w:p>
    <w:p w14:paraId="3341C746" w14:textId="77777777" w:rsidR="00F03153" w:rsidRDefault="00F03153" w:rsidP="008A6BDD">
      <w:pPr>
        <w:pStyle w:val="Heading2"/>
      </w:pPr>
      <w:bookmarkStart w:id="35" w:name="_Toc514055043"/>
      <w:r>
        <w:t>Ancillary Services (AS)</w:t>
      </w:r>
      <w:bookmarkEnd w:id="33"/>
      <w:bookmarkEnd w:id="34"/>
      <w:bookmarkEnd w:id="35"/>
    </w:p>
    <w:p w14:paraId="7D86A50A" w14:textId="77777777" w:rsidR="00F03153" w:rsidRDefault="00F03153" w:rsidP="00F03153">
      <w:r>
        <w:t xml:space="preserve">Besides reducing the cost of wholesale purchases, reductions in demand at the meter result in additional value from the associated reduction in required procurement of ancillary services. </w:t>
      </w:r>
      <w:r>
        <w:lastRenderedPageBreak/>
        <w:t>The CAISO MRTU markets include four types of ancillary services: regulation up and down, spinning reserves, and non-spinning reserves.  The procurement of regulation services is generally independent of load; consequently, behind-the-meter load reductions and distributed generation exports will not affect their procurement.  However, both spinning and non-spinning reserves are directly linked to load—i</w:t>
      </w:r>
      <w:r w:rsidRPr="009662C9">
        <w:t xml:space="preserve">n accordance with WECC reliability standards, the California ISO </w:t>
      </w:r>
      <w:r>
        <w:t>must maintain</w:t>
      </w:r>
      <w:r w:rsidRPr="009662C9">
        <w:t xml:space="preserve"> an operating reserve equal to 5% of load served by hydro generators and 7% of loa</w:t>
      </w:r>
      <w:r>
        <w:t>d served by thermal generators.</w:t>
      </w:r>
    </w:p>
    <w:p w14:paraId="31765DF4" w14:textId="181FBFD4" w:rsidR="00F03153" w:rsidRDefault="00F03153" w:rsidP="00F03153">
      <w:r>
        <w:t xml:space="preserve">As a result, load reductions do result in a reduction in the procurement of reserves; the value of this reduced procurement is included as a value stream in the Avoided Cost Calculator.  It is assumed that the value of avoided reserves procurement scales with the value of energy in each hour throughout the year.  According to the CAISO’s </w:t>
      </w:r>
      <w:r w:rsidR="00CC71B3" w:rsidRPr="00336CA6">
        <w:t>201</w:t>
      </w:r>
      <w:r w:rsidR="00CC71B3">
        <w:t>5</w:t>
      </w:r>
      <w:r w:rsidR="00CC71B3" w:rsidRPr="42C633DC">
        <w:t xml:space="preserve"> </w:t>
      </w:r>
      <w:r w:rsidRPr="00336CA6">
        <w:t>Annual Report on Market Issues and Performance</w:t>
      </w:r>
      <w:r>
        <w:rPr>
          <w:rStyle w:val="FootnoteReference"/>
        </w:rPr>
        <w:footnoteReference w:id="8"/>
      </w:r>
      <w:r w:rsidRPr="42C633DC">
        <w:t xml:space="preserve">, </w:t>
      </w:r>
      <w:r w:rsidR="000B0B1C">
        <w:t>ancillary service costs in</w:t>
      </w:r>
      <w:r w:rsidRPr="42C633DC">
        <w:t xml:space="preserve"> </w:t>
      </w:r>
      <w:r w:rsidR="00702E17">
        <w:t>201</w:t>
      </w:r>
      <w:r w:rsidR="008256EE">
        <w:t>5</w:t>
      </w:r>
      <w:r w:rsidR="00702E17">
        <w:t xml:space="preserve"> </w:t>
      </w:r>
      <w:r>
        <w:t xml:space="preserve">averaged </w:t>
      </w:r>
      <w:r w:rsidR="00702E17">
        <w:t>1.6</w:t>
      </w:r>
      <w:r w:rsidR="000B0B1C">
        <w:t>% of the</w:t>
      </w:r>
      <w:r w:rsidRPr="42C633DC">
        <w:t xml:space="preserve"> </w:t>
      </w:r>
      <w:r w:rsidR="000B0B1C">
        <w:t xml:space="preserve">wholesale </w:t>
      </w:r>
      <w:r>
        <w:t xml:space="preserve">energy </w:t>
      </w:r>
      <w:r w:rsidR="000B0B1C">
        <w:t>costs</w:t>
      </w:r>
      <w:r>
        <w:t xml:space="preserve">.  E3 uses this </w:t>
      </w:r>
      <w:r w:rsidR="000B0B1C">
        <w:t xml:space="preserve">percentage </w:t>
      </w:r>
      <w:r>
        <w:t>to assess the value of avoided A/S procurement in each hour.</w:t>
      </w:r>
    </w:p>
    <w:p w14:paraId="24FF3415" w14:textId="77777777" w:rsidR="00273CE0" w:rsidRPr="00D52504" w:rsidRDefault="00273CE0">
      <w:pPr>
        <w:pStyle w:val="Heading2"/>
      </w:pPr>
      <w:bookmarkStart w:id="36" w:name="_Toc514055044"/>
      <w:r>
        <w:t>T&amp;D Capacity</w:t>
      </w:r>
      <w:bookmarkEnd w:id="36"/>
    </w:p>
    <w:p w14:paraId="6D7DC652" w14:textId="1130EDB1" w:rsidR="00273CE0" w:rsidRPr="00D52504" w:rsidRDefault="00273CE0" w:rsidP="00273CE0">
      <w:r>
        <w:t xml:space="preserve">The avoided electricity avoided costs include the value of reducing the need for transmission and distribution capacity expansion.  Of the six avoided cost components, T&amp;D costs are unique in that both the value and hourly allocation are location specific.  Avoided T&amp;D costs are determined separately for each utility.  The avoided T&amp;D costs </w:t>
      </w:r>
      <w:r w:rsidR="00702E17">
        <w:t xml:space="preserve">are the same as those used in the 2017 Avoided Cost Update. </w:t>
      </w:r>
      <w:r>
        <w:t>The T&amp;D avoided costs escalate by 2% per year in nominal terms.</w:t>
      </w:r>
    </w:p>
    <w:p w14:paraId="0D2E1694" w14:textId="10D98864" w:rsidR="00273CE0" w:rsidRDefault="00273CE0" w:rsidP="00273CE0">
      <w:pPr>
        <w:pStyle w:val="Caption"/>
      </w:pPr>
      <w:r>
        <w:lastRenderedPageBreak/>
        <w:t xml:space="preserve">Table </w:t>
      </w:r>
      <w:r w:rsidR="00B8765B">
        <w:fldChar w:fldCharType="begin"/>
      </w:r>
      <w:r w:rsidR="00B8765B">
        <w:instrText xml:space="preserve"> SEQ Table \* ARABIC </w:instrText>
      </w:r>
      <w:r w:rsidR="00B8765B">
        <w:fldChar w:fldCharType="separate"/>
      </w:r>
      <w:r w:rsidR="00FD431B">
        <w:rPr>
          <w:noProof/>
        </w:rPr>
        <w:t>3</w:t>
      </w:r>
      <w:r w:rsidR="00B8765B">
        <w:rPr>
          <w:noProof/>
        </w:rPr>
        <w:fldChar w:fldCharType="end"/>
      </w:r>
      <w:r>
        <w:t xml:space="preserve">:  T&amp;D Capacity Costs </w:t>
      </w:r>
      <w:r w:rsidR="003A7B2B">
        <w:t>for SCE and SDG&amp;E</w:t>
      </w:r>
    </w:p>
    <w:p w14:paraId="43179013" w14:textId="18A57B40" w:rsidR="003A7B2B" w:rsidRDefault="005A1FFC" w:rsidP="008A6BDD">
      <w:pPr>
        <w:pStyle w:val="NoSpacing"/>
      </w:pPr>
      <w:r w:rsidRPr="005A1FFC">
        <w:rPr>
          <w:noProof/>
          <w:lang w:eastAsia="en-US"/>
        </w:rPr>
        <w:drawing>
          <wp:inline distT="0" distB="0" distL="0" distR="0" wp14:anchorId="2DBEE102" wp14:editId="7C425AE2">
            <wp:extent cx="4678680" cy="116395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8680" cy="1163955"/>
                    </a:xfrm>
                    <a:prstGeom prst="rect">
                      <a:avLst/>
                    </a:prstGeom>
                    <a:noFill/>
                    <a:ln>
                      <a:noFill/>
                    </a:ln>
                  </pic:spPr>
                </pic:pic>
              </a:graphicData>
            </a:graphic>
          </wp:inline>
        </w:drawing>
      </w:r>
    </w:p>
    <w:p w14:paraId="69D06D95" w14:textId="6C20BB3E" w:rsidR="003A7B2B" w:rsidRPr="008A6BDD" w:rsidRDefault="00510478" w:rsidP="008A6BDD">
      <w:pPr>
        <w:pStyle w:val="NoSpacing"/>
        <w:spacing w:before="120"/>
        <w:rPr>
          <w:sz w:val="20"/>
        </w:rPr>
      </w:pPr>
      <w:r w:rsidRPr="00813981">
        <w:rPr>
          <w:sz w:val="20"/>
          <w:szCs w:val="20"/>
        </w:rPr>
        <w:t>SCE 2015 General Rate Case:</w:t>
      </w:r>
      <w:r w:rsidR="003A7B2B" w:rsidRPr="008A6BDD">
        <w:rPr>
          <w:sz w:val="20"/>
          <w:szCs w:val="20"/>
        </w:rPr>
        <w:t xml:space="preserve">  http://docs.cpuc.ca.gov/PublishedDocs/Efile/G000/M155/K034/155034804.PDF, p.6</w:t>
      </w:r>
    </w:p>
    <w:p w14:paraId="278F0CDA" w14:textId="1E79009E" w:rsidR="003A7B2B" w:rsidRPr="008A6BDD" w:rsidRDefault="00510478" w:rsidP="008A6BDD">
      <w:pPr>
        <w:pStyle w:val="NoSpacing"/>
        <w:spacing w:before="120"/>
        <w:rPr>
          <w:sz w:val="20"/>
        </w:rPr>
      </w:pPr>
      <w:r w:rsidRPr="00813981">
        <w:rPr>
          <w:sz w:val="20"/>
          <w:szCs w:val="20"/>
        </w:rPr>
        <w:t xml:space="preserve">SDG&amp;E 2015 General Rate Case:  </w:t>
      </w:r>
      <w:r w:rsidR="003A7B2B" w:rsidRPr="008A6BDD">
        <w:rPr>
          <w:sz w:val="20"/>
          <w:szCs w:val="20"/>
        </w:rPr>
        <w:t>https://www.sdge.com/sites/default/files/regulatory/Saxe%20Clean%20w_Attachments.pdf  Attachment A</w:t>
      </w:r>
    </w:p>
    <w:p w14:paraId="3464C99A" w14:textId="77777777" w:rsidR="003A7B2B" w:rsidRDefault="003A7B2B" w:rsidP="008A6BDD">
      <w:pPr>
        <w:pStyle w:val="Caption"/>
        <w:spacing w:before="120"/>
      </w:pPr>
    </w:p>
    <w:p w14:paraId="06BAD99D" w14:textId="5876F2D3" w:rsidR="003A7B2B" w:rsidRPr="00F150F9" w:rsidRDefault="003A7B2B" w:rsidP="003A7B2B">
      <w:pPr>
        <w:pStyle w:val="Caption"/>
      </w:pPr>
      <w:r>
        <w:t xml:space="preserve">Table </w:t>
      </w:r>
      <w:r w:rsidRPr="008A6BDD">
        <w:fldChar w:fldCharType="begin"/>
      </w:r>
      <w:r>
        <w:instrText xml:space="preserve"> SEQ Table \* ARABIC </w:instrText>
      </w:r>
      <w:r w:rsidRPr="008A6BDD">
        <w:fldChar w:fldCharType="separate"/>
      </w:r>
      <w:r w:rsidR="00FD431B">
        <w:rPr>
          <w:noProof/>
        </w:rPr>
        <w:t>4</w:t>
      </w:r>
      <w:r w:rsidRPr="008A6BDD">
        <w:fldChar w:fldCharType="end"/>
      </w:r>
      <w:r>
        <w:t>:  T&amp;D Capacity Costs for PG&amp;E</w:t>
      </w:r>
    </w:p>
    <w:p w14:paraId="2AF2ED82" w14:textId="65EEF73C" w:rsidR="00273CE0" w:rsidRDefault="005A1FFC" w:rsidP="008A6BDD">
      <w:pPr>
        <w:pStyle w:val="NoSpacing"/>
      </w:pPr>
      <w:r w:rsidRPr="005A1FFC">
        <w:rPr>
          <w:noProof/>
          <w:lang w:eastAsia="en-US"/>
        </w:rPr>
        <w:drawing>
          <wp:inline distT="0" distB="0" distL="0" distR="0" wp14:anchorId="6DCCA44D" wp14:editId="0511C5CA">
            <wp:extent cx="5943600" cy="40415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41582"/>
                    </a:xfrm>
                    <a:prstGeom prst="rect">
                      <a:avLst/>
                    </a:prstGeom>
                    <a:noFill/>
                    <a:ln>
                      <a:noFill/>
                    </a:ln>
                  </pic:spPr>
                </pic:pic>
              </a:graphicData>
            </a:graphic>
          </wp:inline>
        </w:drawing>
      </w:r>
    </w:p>
    <w:p w14:paraId="18C840C9" w14:textId="547E15AA" w:rsidR="003A7B2B" w:rsidRPr="008A6BDD" w:rsidRDefault="003A7B2B" w:rsidP="008A6BDD">
      <w:pPr>
        <w:pStyle w:val="NoSpacing"/>
        <w:rPr>
          <w:i/>
          <w:sz w:val="20"/>
        </w:rPr>
      </w:pPr>
      <w:r w:rsidRPr="008A6BDD">
        <w:rPr>
          <w:i/>
          <w:iCs/>
          <w:sz w:val="20"/>
          <w:szCs w:val="20"/>
        </w:rPr>
        <w:t>* Secondary values converted from $/FLT to $/PCAF using ratios of FLT demand to PCAF demand in each Division</w:t>
      </w:r>
    </w:p>
    <w:p w14:paraId="639BA95C" w14:textId="4DE0922F" w:rsidR="003A7B2B" w:rsidRPr="008A6BDD" w:rsidRDefault="003A7B2B" w:rsidP="008A6BDD">
      <w:pPr>
        <w:pStyle w:val="NoSpacing"/>
        <w:rPr>
          <w:i/>
          <w:sz w:val="20"/>
        </w:rPr>
      </w:pPr>
      <w:r w:rsidRPr="008A6BDD">
        <w:rPr>
          <w:i/>
          <w:iCs/>
          <w:sz w:val="20"/>
          <w:szCs w:val="20"/>
        </w:rPr>
        <w:t xml:space="preserve">PG&amp;E 2014 General Rate Case:  http://docs.cpuc.ca.gov/PublishedDocs/Efile/G000/M099/K767/99767963.PDF  </w:t>
      </w:r>
      <w:proofErr w:type="spellStart"/>
      <w:r w:rsidRPr="008A6BDD">
        <w:rPr>
          <w:i/>
          <w:iCs/>
          <w:sz w:val="20"/>
          <w:szCs w:val="20"/>
        </w:rPr>
        <w:t>pg</w:t>
      </w:r>
      <w:proofErr w:type="spellEnd"/>
      <w:r w:rsidRPr="008A6BDD">
        <w:rPr>
          <w:i/>
          <w:iCs/>
          <w:sz w:val="20"/>
          <w:szCs w:val="20"/>
        </w:rPr>
        <w:t xml:space="preserve"> A2-A3</w:t>
      </w:r>
    </w:p>
    <w:p w14:paraId="448E5425" w14:textId="6B686D96" w:rsidR="00273CE0" w:rsidRPr="00E72735" w:rsidRDefault="00273CE0" w:rsidP="00273CE0">
      <w:r>
        <w:lastRenderedPageBreak/>
        <w:t xml:space="preserve">The value of deferring distribution investments is highly dependent the type and size of the equipment deferred and the rate of load growth, both of which vary significantly by location.  Furthermore, some distribution costs are driven by distance or number of customers rather than load and are therefore not avoided with reduced energy consumption.  However, expediency and data limitations preclude analysis at a feeder by feeder level for a statewide analysis of avoided costs.  </w:t>
      </w:r>
      <w:r w:rsidR="00510478">
        <w:t xml:space="preserve">A more detailed examination of distribution avoided costs is currently underway for the IOUs as part of the Distribution Resource Plan proceeding (R.14-08-013). </w:t>
      </w:r>
      <w:r>
        <w:t xml:space="preserve">The costs taken from utility rate case filings are used as a reasonable proxy for the long-run marginal cost T&amp;D investment that is avoided over time with the addition of distributed energy resources.  </w:t>
      </w:r>
    </w:p>
    <w:p w14:paraId="233ED799" w14:textId="5C9E842D" w:rsidR="00273CE0" w:rsidRDefault="00273CE0" w:rsidP="00273CE0">
      <w:r>
        <w:t>The value of deferring transmission and distribution investments is adjusted for losses during the peak</w:t>
      </w:r>
      <w:r w:rsidR="008A562A">
        <w:t xml:space="preserve"> period using the factors shown </w:t>
      </w:r>
      <w:r>
        <w:t>in</w:t>
      </w:r>
      <w:r w:rsidR="008A562A">
        <w:t xml:space="preserve"> </w:t>
      </w:r>
      <w:r w:rsidR="008A562A">
        <w:fldChar w:fldCharType="begin"/>
      </w:r>
      <w:r w:rsidR="008A562A">
        <w:instrText xml:space="preserve"> REF _Ref315352400 \h </w:instrText>
      </w:r>
      <w:r w:rsidR="008A562A">
        <w:fldChar w:fldCharType="separate"/>
      </w:r>
      <w:r w:rsidR="00FD431B">
        <w:t xml:space="preserve">Table </w:t>
      </w:r>
      <w:r w:rsidR="00FD431B">
        <w:rPr>
          <w:noProof/>
        </w:rPr>
        <w:t>5</w:t>
      </w:r>
      <w:r w:rsidR="008A562A">
        <w:fldChar w:fldCharType="end"/>
      </w:r>
      <w:r w:rsidR="008A562A">
        <w:t xml:space="preserve"> </w:t>
      </w:r>
      <w:r>
        <w:t>and</w:t>
      </w:r>
      <w:r w:rsidR="008A562A">
        <w:t xml:space="preserve"> </w:t>
      </w:r>
      <w:r w:rsidR="008A562A">
        <w:fldChar w:fldCharType="begin"/>
      </w:r>
      <w:r w:rsidR="008A562A">
        <w:instrText xml:space="preserve"> REF _Ref315352406 \h </w:instrText>
      </w:r>
      <w:r w:rsidR="008A562A">
        <w:fldChar w:fldCharType="separate"/>
      </w:r>
      <w:r w:rsidR="00FD431B">
        <w:t xml:space="preserve">Table </w:t>
      </w:r>
      <w:r w:rsidR="00FD431B">
        <w:rPr>
          <w:noProof/>
        </w:rPr>
        <w:t>6</w:t>
      </w:r>
      <w:r w:rsidR="008A562A">
        <w:fldChar w:fldCharType="end"/>
      </w:r>
      <w:r>
        <w:t>.  These factors are lower than the energy and generation capacity loss factors because they represent losses from secondary meter to only the distribution or transmission facilities.</w:t>
      </w:r>
    </w:p>
    <w:p w14:paraId="3CE1DF59" w14:textId="3A146061" w:rsidR="00273CE0" w:rsidRDefault="00273CE0" w:rsidP="00273CE0">
      <w:pPr>
        <w:pStyle w:val="Caption"/>
      </w:pPr>
      <w:bookmarkStart w:id="37" w:name="_Ref315352400"/>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5</w:t>
      </w:r>
      <w:r w:rsidR="00813981" w:rsidRPr="008A6BDD">
        <w:fldChar w:fldCharType="end"/>
      </w:r>
      <w:bookmarkEnd w:id="37"/>
      <w:r>
        <w:t>. Losses factors for SCE and SDG&amp;E transmission and distribution capacity.</w:t>
      </w:r>
    </w:p>
    <w:tbl>
      <w:tblPr>
        <w:tblStyle w:val="TableGrid8"/>
        <w:tblW w:w="0" w:type="auto"/>
        <w:tblLook w:val="01E0" w:firstRow="1" w:lastRow="1" w:firstColumn="1" w:lastColumn="1" w:noHBand="0" w:noVBand="0"/>
        <w:tblCaption w:val=""/>
        <w:tblDescription w:val=""/>
      </w:tblPr>
      <w:tblGrid>
        <w:gridCol w:w="1417"/>
        <w:gridCol w:w="721"/>
        <w:gridCol w:w="907"/>
      </w:tblGrid>
      <w:tr w:rsidR="00273CE0" w:rsidRPr="00D05611" w14:paraId="4A951EBE" w14:textId="77777777" w:rsidTr="008A6BDD">
        <w:trPr>
          <w:cnfStyle w:val="100000000000" w:firstRow="1" w:lastRow="0" w:firstColumn="0" w:lastColumn="0" w:oddVBand="0" w:evenVBand="0" w:oddHBand="0" w:evenHBand="0" w:firstRowFirstColumn="0" w:firstRowLastColumn="0" w:lastRowFirstColumn="0" w:lastRowLastColumn="0"/>
        </w:trPr>
        <w:tc>
          <w:tcPr>
            <w:tcW w:w="0" w:type="dxa"/>
            <w:shd w:val="clear" w:color="auto" w:fill="034E6E" w:themeFill="accent1"/>
          </w:tcPr>
          <w:p w14:paraId="40424035" w14:textId="77777777" w:rsidR="00273CE0" w:rsidRPr="00D05611" w:rsidRDefault="00273CE0" w:rsidP="002E5AEA">
            <w:pPr>
              <w:spacing w:before="0" w:after="0" w:line="240" w:lineRule="auto"/>
            </w:pPr>
          </w:p>
        </w:tc>
        <w:tc>
          <w:tcPr>
            <w:tcW w:w="0" w:type="dxa"/>
          </w:tcPr>
          <w:p w14:paraId="48A61A27" w14:textId="77777777" w:rsidR="00273CE0" w:rsidRPr="00325C9D" w:rsidRDefault="00273CE0" w:rsidP="002E5AEA">
            <w:pPr>
              <w:spacing w:before="0" w:after="0" w:line="240" w:lineRule="auto"/>
              <w:jc w:val="center"/>
              <w:rPr>
                <w:b w:val="0"/>
              </w:rPr>
            </w:pPr>
            <w:r w:rsidRPr="00813981">
              <w:rPr>
                <w:b w:val="0"/>
                <w:bCs w:val="0"/>
              </w:rPr>
              <w:t>SCE</w:t>
            </w:r>
          </w:p>
        </w:tc>
        <w:tc>
          <w:tcPr>
            <w:cnfStyle w:val="000100000000" w:firstRow="0" w:lastRow="0" w:firstColumn="0" w:lastColumn="1" w:oddVBand="0" w:evenVBand="0" w:oddHBand="0" w:evenHBand="0" w:firstRowFirstColumn="0" w:firstRowLastColumn="0" w:lastRowFirstColumn="0" w:lastRowLastColumn="0"/>
            <w:tcW w:w="0" w:type="dxa"/>
          </w:tcPr>
          <w:p w14:paraId="27462F66" w14:textId="77777777" w:rsidR="00273CE0" w:rsidRPr="00325C9D" w:rsidRDefault="00273CE0" w:rsidP="002E5AEA">
            <w:pPr>
              <w:spacing w:before="0" w:after="0" w:line="240" w:lineRule="auto"/>
              <w:jc w:val="center"/>
            </w:pPr>
            <w:r w:rsidRPr="00813981">
              <w:rPr>
                <w:b w:val="0"/>
                <w:bCs w:val="0"/>
              </w:rPr>
              <w:t>SDG&amp;E</w:t>
            </w:r>
          </w:p>
        </w:tc>
      </w:tr>
      <w:tr w:rsidR="00273CE0" w:rsidRPr="00D05611" w14:paraId="33D07CA3" w14:textId="77777777" w:rsidTr="008A6BDD">
        <w:tc>
          <w:tcPr>
            <w:tcW w:w="0" w:type="dxa"/>
          </w:tcPr>
          <w:p w14:paraId="55C92BD3" w14:textId="77777777" w:rsidR="00273CE0" w:rsidRPr="00D05611" w:rsidRDefault="00273CE0" w:rsidP="002E5AEA">
            <w:pPr>
              <w:spacing w:before="0" w:after="0" w:line="240" w:lineRule="auto"/>
            </w:pPr>
            <w:r w:rsidRPr="008A6BDD">
              <w:rPr>
                <w:rFonts w:asciiTheme="minorHAnsi" w:eastAsiaTheme="minorEastAsia" w:hAnsiTheme="minorHAnsi" w:cstheme="minorBidi"/>
                <w:sz w:val="22"/>
                <w:szCs w:val="22"/>
              </w:rPr>
              <w:t>Distribution</w:t>
            </w:r>
          </w:p>
        </w:tc>
        <w:tc>
          <w:tcPr>
            <w:tcW w:w="0" w:type="dxa"/>
          </w:tcPr>
          <w:p w14:paraId="21A31E76"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1.022</w:t>
            </w:r>
          </w:p>
        </w:tc>
        <w:tc>
          <w:tcPr>
            <w:cnfStyle w:val="000100000000" w:firstRow="0" w:lastRow="0" w:firstColumn="0" w:lastColumn="1" w:oddVBand="0" w:evenVBand="0" w:oddHBand="0" w:evenHBand="0" w:firstRowFirstColumn="0" w:firstRowLastColumn="0" w:lastRowFirstColumn="0" w:lastRowLastColumn="0"/>
            <w:tcW w:w="0" w:type="dxa"/>
          </w:tcPr>
          <w:p w14:paraId="09D4626C"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1.043</w:t>
            </w:r>
          </w:p>
        </w:tc>
      </w:tr>
      <w:tr w:rsidR="00273CE0" w:rsidRPr="00D05611" w14:paraId="4AD681EA" w14:textId="77777777" w:rsidTr="008A6BDD">
        <w:trPr>
          <w:cnfStyle w:val="010000000000" w:firstRow="0" w:lastRow="1" w:firstColumn="0" w:lastColumn="0" w:oddVBand="0" w:evenVBand="0" w:oddHBand="0" w:evenHBand="0" w:firstRowFirstColumn="0" w:firstRowLastColumn="0" w:lastRowFirstColumn="0" w:lastRowLastColumn="0"/>
        </w:trPr>
        <w:tc>
          <w:tcPr>
            <w:tcW w:w="0" w:type="dxa"/>
          </w:tcPr>
          <w:p w14:paraId="604A43EB" w14:textId="77777777" w:rsidR="00273CE0" w:rsidRPr="00D05611" w:rsidRDefault="00273CE0" w:rsidP="002E5AEA">
            <w:pPr>
              <w:spacing w:before="0" w:after="0" w:line="240" w:lineRule="auto"/>
            </w:pPr>
            <w:r w:rsidRPr="008A6BDD">
              <w:rPr>
                <w:rFonts w:asciiTheme="minorHAnsi" w:eastAsiaTheme="minorEastAsia" w:hAnsiTheme="minorHAnsi" w:cstheme="minorBidi"/>
                <w:sz w:val="22"/>
                <w:szCs w:val="22"/>
              </w:rPr>
              <w:t>Transmission</w:t>
            </w:r>
          </w:p>
        </w:tc>
        <w:tc>
          <w:tcPr>
            <w:tcW w:w="0" w:type="dxa"/>
          </w:tcPr>
          <w:p w14:paraId="1C1C6BE2"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1.054</w:t>
            </w:r>
          </w:p>
        </w:tc>
        <w:tc>
          <w:tcPr>
            <w:cnfStyle w:val="000100000000" w:firstRow="0" w:lastRow="0" w:firstColumn="0" w:lastColumn="1" w:oddVBand="0" w:evenVBand="0" w:oddHBand="0" w:evenHBand="0" w:firstRowFirstColumn="0" w:firstRowLastColumn="0" w:lastRowFirstColumn="0" w:lastRowLastColumn="0"/>
            <w:tcW w:w="0" w:type="dxa"/>
          </w:tcPr>
          <w:p w14:paraId="09638AF5" w14:textId="77777777" w:rsidR="00273CE0" w:rsidRPr="00D05611" w:rsidRDefault="00273CE0" w:rsidP="002E5AEA">
            <w:pPr>
              <w:spacing w:before="0" w:after="0" w:line="240" w:lineRule="auto"/>
              <w:jc w:val="center"/>
            </w:pPr>
            <w:r w:rsidRPr="008A6BDD">
              <w:rPr>
                <w:rFonts w:asciiTheme="minorHAnsi" w:eastAsiaTheme="minorEastAsia" w:hAnsiTheme="minorHAnsi" w:cstheme="minorBidi"/>
                <w:sz w:val="22"/>
                <w:szCs w:val="22"/>
              </w:rPr>
              <w:t>1.071</w:t>
            </w:r>
          </w:p>
        </w:tc>
      </w:tr>
    </w:tbl>
    <w:p w14:paraId="2242CE98" w14:textId="77777777" w:rsidR="00273CE0" w:rsidRDefault="00273CE0" w:rsidP="00273CE0"/>
    <w:p w14:paraId="77FC55DD" w14:textId="66E97060" w:rsidR="00273CE0" w:rsidRDefault="00273CE0" w:rsidP="00273CE0">
      <w:pPr>
        <w:pStyle w:val="Caption"/>
      </w:pPr>
      <w:bookmarkStart w:id="38" w:name="_Ref315352406"/>
      <w:r>
        <w:lastRenderedPageBreak/>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6</w:t>
      </w:r>
      <w:r w:rsidR="00813981" w:rsidRPr="008A6BDD">
        <w:fldChar w:fldCharType="end"/>
      </w:r>
      <w:bookmarkEnd w:id="38"/>
      <w:r>
        <w:t>:  Losses factors for PG&amp;E transmission and distribution capacity.</w:t>
      </w:r>
    </w:p>
    <w:tbl>
      <w:tblPr>
        <w:tblStyle w:val="ListTable3-Accent11"/>
        <w:tblW w:w="7000" w:type="dxa"/>
        <w:tblLook w:val="04A0" w:firstRow="1" w:lastRow="0" w:firstColumn="1" w:lastColumn="0" w:noHBand="0" w:noVBand="1"/>
        <w:tblCaption w:val=""/>
        <w:tblDescription w:val=""/>
      </w:tblPr>
      <w:tblGrid>
        <w:gridCol w:w="2517"/>
        <w:gridCol w:w="2331"/>
        <w:gridCol w:w="2152"/>
      </w:tblGrid>
      <w:tr w:rsidR="00273CE0" w:rsidRPr="002D7E26" w14:paraId="70AA445E" w14:textId="77777777" w:rsidTr="008A6BDD">
        <w:trPr>
          <w:cnfStyle w:val="100000000000" w:firstRow="1" w:lastRow="0" w:firstColumn="0" w:lastColumn="0" w:oddVBand="0" w:evenVBand="0" w:oddHBand="0" w:evenHBand="0" w:firstRowFirstColumn="0" w:firstRowLastColumn="0" w:lastRowFirstColumn="0" w:lastRowLastColumn="0"/>
          <w:cantSplit/>
          <w:trHeight w:val="525"/>
        </w:trPr>
        <w:tc>
          <w:tcPr>
            <w:cnfStyle w:val="001000000100" w:firstRow="0" w:lastRow="0" w:firstColumn="1" w:lastColumn="0" w:oddVBand="0" w:evenVBand="0" w:oddHBand="0" w:evenHBand="0" w:firstRowFirstColumn="1" w:firstRowLastColumn="0" w:lastRowFirstColumn="0" w:lastRowLastColumn="0"/>
            <w:tcW w:w="0" w:type="dxa"/>
            <w:noWrap/>
          </w:tcPr>
          <w:p w14:paraId="2676E56A" w14:textId="77777777" w:rsidR="00273CE0" w:rsidRPr="002D7E26" w:rsidRDefault="00273CE0" w:rsidP="002E5AEA">
            <w:pPr>
              <w:keepNext/>
              <w:keepLines/>
              <w:spacing w:before="0" w:after="0" w:line="240" w:lineRule="auto"/>
              <w:jc w:val="center"/>
              <w:rPr>
                <w:rFonts w:cs="Times New Roman"/>
                <w:color w:val="000000"/>
                <w:szCs w:val="20"/>
              </w:rPr>
            </w:pPr>
          </w:p>
        </w:tc>
        <w:tc>
          <w:tcPr>
            <w:tcW w:w="0" w:type="dxa"/>
          </w:tcPr>
          <w:p w14:paraId="3A4BDD2A" w14:textId="77777777" w:rsidR="00273CE0" w:rsidRPr="002D7E26" w:rsidRDefault="00273CE0" w:rsidP="002E5AEA">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8A6BDD">
              <w:rPr>
                <w:rFonts w:asciiTheme="minorHAnsi" w:eastAsiaTheme="minorEastAsia" w:hAnsiTheme="minorHAnsi" w:cstheme="minorBidi"/>
                <w:color w:val="auto"/>
                <w:sz w:val="22"/>
                <w:szCs w:val="22"/>
              </w:rPr>
              <w:t>Transmission</w:t>
            </w:r>
          </w:p>
        </w:tc>
        <w:tc>
          <w:tcPr>
            <w:tcW w:w="0" w:type="dxa"/>
          </w:tcPr>
          <w:p w14:paraId="0B705CF1" w14:textId="77777777" w:rsidR="00273CE0" w:rsidRPr="002D7E26" w:rsidRDefault="00273CE0" w:rsidP="002E5AEA">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szCs w:val="20"/>
              </w:rPr>
            </w:pPr>
            <w:r w:rsidRPr="008A6BDD">
              <w:rPr>
                <w:rFonts w:asciiTheme="minorHAnsi" w:eastAsiaTheme="minorEastAsia" w:hAnsiTheme="minorHAnsi" w:cstheme="minorBidi"/>
                <w:color w:val="auto"/>
                <w:sz w:val="22"/>
                <w:szCs w:val="22"/>
              </w:rPr>
              <w:t>Distribution</w:t>
            </w:r>
          </w:p>
        </w:tc>
      </w:tr>
      <w:tr w:rsidR="00273CE0" w:rsidRPr="002D7E26" w14:paraId="6FD06492" w14:textId="77777777" w:rsidTr="008A6BDD">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0" w:type="dxa"/>
            <w:noWrap/>
          </w:tcPr>
          <w:p w14:paraId="4F0DBA8A"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CENTRAL COAST   </w:t>
            </w:r>
          </w:p>
        </w:tc>
        <w:tc>
          <w:tcPr>
            <w:tcW w:w="0" w:type="dxa"/>
            <w:noWrap/>
          </w:tcPr>
          <w:p w14:paraId="5CBA2BA7"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1.053</w:t>
            </w:r>
          </w:p>
        </w:tc>
        <w:tc>
          <w:tcPr>
            <w:tcW w:w="0" w:type="dxa"/>
            <w:noWrap/>
          </w:tcPr>
          <w:p w14:paraId="6D29989B"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422AC01C"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28AF3565"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DE ANZA         </w:t>
            </w:r>
          </w:p>
        </w:tc>
        <w:tc>
          <w:tcPr>
            <w:tcW w:w="0" w:type="dxa"/>
            <w:noWrap/>
          </w:tcPr>
          <w:p w14:paraId="64A01D02"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1.050</w:t>
            </w:r>
          </w:p>
        </w:tc>
        <w:tc>
          <w:tcPr>
            <w:tcW w:w="0" w:type="dxa"/>
            <w:noWrap/>
          </w:tcPr>
          <w:p w14:paraId="6D85D434"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6343D76F"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7D18B754"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DIABLO          </w:t>
            </w:r>
          </w:p>
        </w:tc>
        <w:tc>
          <w:tcPr>
            <w:tcW w:w="0" w:type="dxa"/>
            <w:noWrap/>
          </w:tcPr>
          <w:p w14:paraId="383E0475"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1.045</w:t>
            </w:r>
          </w:p>
        </w:tc>
        <w:tc>
          <w:tcPr>
            <w:tcW w:w="0" w:type="dxa"/>
            <w:noWrap/>
          </w:tcPr>
          <w:p w14:paraId="3E3DC88E"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6453EDB0"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CACB416"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EAST BAY        </w:t>
            </w:r>
          </w:p>
        </w:tc>
        <w:tc>
          <w:tcPr>
            <w:tcW w:w="0" w:type="dxa"/>
            <w:noWrap/>
          </w:tcPr>
          <w:p w14:paraId="48858602"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1.042</w:t>
            </w:r>
          </w:p>
        </w:tc>
        <w:tc>
          <w:tcPr>
            <w:tcW w:w="0" w:type="dxa"/>
            <w:noWrap/>
          </w:tcPr>
          <w:p w14:paraId="4572E8A5"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13615D2D"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2D25A6C"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FRESNO          </w:t>
            </w:r>
          </w:p>
        </w:tc>
        <w:tc>
          <w:tcPr>
            <w:tcW w:w="0" w:type="dxa"/>
            <w:noWrap/>
          </w:tcPr>
          <w:p w14:paraId="5AE3A0C6"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1.076</w:t>
            </w:r>
          </w:p>
        </w:tc>
        <w:tc>
          <w:tcPr>
            <w:tcW w:w="0" w:type="dxa"/>
            <w:noWrap/>
          </w:tcPr>
          <w:p w14:paraId="699BA6F8"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1A5D8D2C"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9403C1A"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KERN            </w:t>
            </w:r>
          </w:p>
        </w:tc>
        <w:tc>
          <w:tcPr>
            <w:tcW w:w="0" w:type="dxa"/>
            <w:noWrap/>
          </w:tcPr>
          <w:p w14:paraId="504E6020"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1.065</w:t>
            </w:r>
          </w:p>
        </w:tc>
        <w:tc>
          <w:tcPr>
            <w:tcW w:w="0" w:type="dxa"/>
            <w:noWrap/>
          </w:tcPr>
          <w:p w14:paraId="69CA8BAE"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1.023</w:t>
            </w:r>
          </w:p>
        </w:tc>
      </w:tr>
      <w:tr w:rsidR="00273CE0" w:rsidRPr="009B1072" w14:paraId="6EE69968"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1FD873C"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LOS PADRES      </w:t>
            </w:r>
          </w:p>
        </w:tc>
        <w:tc>
          <w:tcPr>
            <w:tcW w:w="0" w:type="dxa"/>
            <w:noWrap/>
          </w:tcPr>
          <w:p w14:paraId="4639CFC1"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1.060</w:t>
            </w:r>
          </w:p>
        </w:tc>
        <w:tc>
          <w:tcPr>
            <w:tcW w:w="0" w:type="dxa"/>
            <w:noWrap/>
          </w:tcPr>
          <w:p w14:paraId="32E3F97A"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09E0733E"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1F980DB0"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MISSION         </w:t>
            </w:r>
          </w:p>
        </w:tc>
        <w:tc>
          <w:tcPr>
            <w:tcW w:w="0" w:type="dxa"/>
            <w:noWrap/>
          </w:tcPr>
          <w:p w14:paraId="2751E9C9"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1.047</w:t>
            </w:r>
          </w:p>
        </w:tc>
        <w:tc>
          <w:tcPr>
            <w:tcW w:w="0" w:type="dxa"/>
            <w:noWrap/>
          </w:tcPr>
          <w:p w14:paraId="0C829D7D"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BBE723A"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2B1D929"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NORTH BAY       </w:t>
            </w:r>
          </w:p>
        </w:tc>
        <w:tc>
          <w:tcPr>
            <w:tcW w:w="0" w:type="dxa"/>
            <w:noWrap/>
          </w:tcPr>
          <w:p w14:paraId="7BE49FE1"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1.053</w:t>
            </w:r>
          </w:p>
        </w:tc>
        <w:tc>
          <w:tcPr>
            <w:tcW w:w="0" w:type="dxa"/>
            <w:noWrap/>
          </w:tcPr>
          <w:p w14:paraId="0CD67E78"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474F083E"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7430CA1F"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NORTH COAST     </w:t>
            </w:r>
          </w:p>
        </w:tc>
        <w:tc>
          <w:tcPr>
            <w:tcW w:w="0" w:type="dxa"/>
            <w:noWrap/>
          </w:tcPr>
          <w:p w14:paraId="0EC70A2A"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1.060</w:t>
            </w:r>
          </w:p>
        </w:tc>
        <w:tc>
          <w:tcPr>
            <w:tcW w:w="0" w:type="dxa"/>
            <w:noWrap/>
          </w:tcPr>
          <w:p w14:paraId="04DDAD53"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F77BB56"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DFC0A1D"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NORTH VALLEY    </w:t>
            </w:r>
          </w:p>
        </w:tc>
        <w:tc>
          <w:tcPr>
            <w:tcW w:w="0" w:type="dxa"/>
            <w:noWrap/>
          </w:tcPr>
          <w:p w14:paraId="091CE157"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1.073</w:t>
            </w:r>
          </w:p>
        </w:tc>
        <w:tc>
          <w:tcPr>
            <w:tcW w:w="0" w:type="dxa"/>
            <w:noWrap/>
          </w:tcPr>
          <w:p w14:paraId="33FD822D"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1.021</w:t>
            </w:r>
          </w:p>
        </w:tc>
      </w:tr>
      <w:tr w:rsidR="00273CE0" w:rsidRPr="002D7E26" w14:paraId="7F17A057"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F5A948E"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PENINSULA       </w:t>
            </w:r>
          </w:p>
        </w:tc>
        <w:tc>
          <w:tcPr>
            <w:tcW w:w="0" w:type="dxa"/>
            <w:noWrap/>
          </w:tcPr>
          <w:p w14:paraId="6101DBE8"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1.050</w:t>
            </w:r>
          </w:p>
        </w:tc>
        <w:tc>
          <w:tcPr>
            <w:tcW w:w="0" w:type="dxa"/>
            <w:noWrap/>
          </w:tcPr>
          <w:p w14:paraId="1F5E48B2"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C07162B"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86F14FA"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SACRAMENTO      </w:t>
            </w:r>
          </w:p>
        </w:tc>
        <w:tc>
          <w:tcPr>
            <w:tcW w:w="0" w:type="dxa"/>
            <w:noWrap/>
          </w:tcPr>
          <w:p w14:paraId="68849FE5"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1.052</w:t>
            </w:r>
          </w:p>
        </w:tc>
        <w:tc>
          <w:tcPr>
            <w:tcW w:w="0" w:type="dxa"/>
            <w:noWrap/>
          </w:tcPr>
          <w:p w14:paraId="42F715AB"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1F8473EC"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56EA2951"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SAN FRANCISCO   </w:t>
            </w:r>
          </w:p>
        </w:tc>
        <w:tc>
          <w:tcPr>
            <w:tcW w:w="0" w:type="dxa"/>
            <w:noWrap/>
          </w:tcPr>
          <w:p w14:paraId="703FDD04"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1.045</w:t>
            </w:r>
          </w:p>
        </w:tc>
        <w:tc>
          <w:tcPr>
            <w:tcW w:w="0" w:type="dxa"/>
            <w:noWrap/>
          </w:tcPr>
          <w:p w14:paraId="5D0EE56D"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1F8ED614"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375FD8BC"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SAN JOSE        </w:t>
            </w:r>
          </w:p>
        </w:tc>
        <w:tc>
          <w:tcPr>
            <w:tcW w:w="0" w:type="dxa"/>
            <w:noWrap/>
          </w:tcPr>
          <w:p w14:paraId="730A8062"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1.052</w:t>
            </w:r>
          </w:p>
        </w:tc>
        <w:tc>
          <w:tcPr>
            <w:tcW w:w="0" w:type="dxa"/>
            <w:noWrap/>
          </w:tcPr>
          <w:p w14:paraId="74EC1281"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1.018</w:t>
            </w:r>
          </w:p>
        </w:tc>
      </w:tr>
      <w:tr w:rsidR="00273CE0" w:rsidRPr="002D7E26" w14:paraId="4A3F9E80" w14:textId="77777777" w:rsidTr="008A6BDD">
        <w:trPr>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45B77071"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SIERRA          </w:t>
            </w:r>
          </w:p>
        </w:tc>
        <w:tc>
          <w:tcPr>
            <w:tcW w:w="0" w:type="dxa"/>
            <w:noWrap/>
          </w:tcPr>
          <w:p w14:paraId="29617B37"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1.054</w:t>
            </w:r>
          </w:p>
        </w:tc>
        <w:tc>
          <w:tcPr>
            <w:tcW w:w="0" w:type="dxa"/>
            <w:noWrap/>
          </w:tcPr>
          <w:p w14:paraId="1BC0B07E"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1.020</w:t>
            </w:r>
          </w:p>
        </w:tc>
      </w:tr>
      <w:tr w:rsidR="00273CE0" w:rsidRPr="002D7E26" w14:paraId="4E885B4C" w14:textId="77777777" w:rsidTr="008A6BD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0" w:type="dxa"/>
            <w:noWrap/>
          </w:tcPr>
          <w:p w14:paraId="05B06E58"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STOCKTON        </w:t>
            </w:r>
          </w:p>
        </w:tc>
        <w:tc>
          <w:tcPr>
            <w:tcW w:w="0" w:type="dxa"/>
            <w:noWrap/>
          </w:tcPr>
          <w:p w14:paraId="5C85D147"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1.066</w:t>
            </w:r>
          </w:p>
        </w:tc>
        <w:tc>
          <w:tcPr>
            <w:tcW w:w="0" w:type="dxa"/>
            <w:noWrap/>
          </w:tcPr>
          <w:p w14:paraId="14BA6A2F" w14:textId="77777777" w:rsidR="00273CE0" w:rsidRPr="002D7E26" w:rsidRDefault="00273CE0" w:rsidP="002E5AEA">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r w:rsidR="00273CE0" w:rsidRPr="002D7E26" w14:paraId="5DF6138B" w14:textId="77777777" w:rsidTr="008A6BDD">
        <w:trPr>
          <w:cantSplit/>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602364B9" w14:textId="77777777" w:rsidR="00273CE0" w:rsidRPr="002D7E26" w:rsidRDefault="00273CE0" w:rsidP="002E5AEA">
            <w:pPr>
              <w:keepNext/>
              <w:keepLines/>
              <w:spacing w:before="0" w:after="0" w:line="240" w:lineRule="auto"/>
              <w:rPr>
                <w:rFonts w:cs="Times New Roman"/>
                <w:color w:val="000000"/>
                <w:szCs w:val="20"/>
              </w:rPr>
            </w:pPr>
            <w:r w:rsidRPr="008A6BDD">
              <w:rPr>
                <w:rFonts w:asciiTheme="minorHAnsi" w:eastAsiaTheme="minorEastAsia" w:hAnsiTheme="minorHAnsi" w:cstheme="minorBidi"/>
                <w:color w:val="000000"/>
                <w:sz w:val="22"/>
                <w:szCs w:val="22"/>
              </w:rPr>
              <w:t xml:space="preserve">YOSEMITE        </w:t>
            </w:r>
          </w:p>
        </w:tc>
        <w:tc>
          <w:tcPr>
            <w:tcW w:w="0" w:type="dxa"/>
            <w:noWrap/>
          </w:tcPr>
          <w:p w14:paraId="48DBFF8C"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1.067</w:t>
            </w:r>
          </w:p>
        </w:tc>
        <w:tc>
          <w:tcPr>
            <w:tcW w:w="0" w:type="dxa"/>
            <w:noWrap/>
          </w:tcPr>
          <w:p w14:paraId="3AE77EBE" w14:textId="77777777" w:rsidR="00273CE0" w:rsidRPr="002D7E26" w:rsidRDefault="00273CE0" w:rsidP="002E5AEA">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0"/>
              </w:rPr>
            </w:pPr>
            <w:r w:rsidRPr="008A6BDD">
              <w:rPr>
                <w:rFonts w:asciiTheme="minorHAnsi" w:eastAsiaTheme="minorEastAsia" w:hAnsiTheme="minorHAnsi" w:cstheme="minorBidi"/>
                <w:color w:val="000000"/>
                <w:sz w:val="22"/>
                <w:szCs w:val="22"/>
              </w:rPr>
              <w:t>1.019</w:t>
            </w:r>
          </w:p>
        </w:tc>
      </w:tr>
    </w:tbl>
    <w:p w14:paraId="44589124" w14:textId="77777777" w:rsidR="00273CE0" w:rsidRDefault="00273CE0" w:rsidP="00273CE0"/>
    <w:p w14:paraId="14C4DD29" w14:textId="77777777" w:rsidR="00273CE0" w:rsidRDefault="00CC5EF2" w:rsidP="00273CE0">
      <w:pPr>
        <w:pStyle w:val="Heading3"/>
      </w:pPr>
      <w:bookmarkStart w:id="39" w:name="_Toc514055045"/>
      <w:r>
        <w:t>Hourly allocation of T&amp;D capacity cost</w:t>
      </w:r>
      <w:bookmarkEnd w:id="39"/>
    </w:p>
    <w:p w14:paraId="6B0A72CA" w14:textId="1B8B5889" w:rsidR="00AD07EB" w:rsidRDefault="00F50167" w:rsidP="00273CE0">
      <w:r>
        <w:t>The allocation of T&amp;D capacity costs to hours of year is based</w:t>
      </w:r>
      <w:r w:rsidR="000C5FA9">
        <w:t xml:space="preserve"> on</w:t>
      </w:r>
      <w:r w:rsidR="00F1292E">
        <w:t xml:space="preserve"> </w:t>
      </w:r>
      <w:r w:rsidR="00AD07EB">
        <w:t>regressio</w:t>
      </w:r>
      <w:r w:rsidR="000C5FA9">
        <w:t>n</w:t>
      </w:r>
      <w:r w:rsidR="00AD07EB">
        <w:t xml:space="preserve"> estimate</w:t>
      </w:r>
      <w:r w:rsidR="000C5FA9">
        <w:t>s</w:t>
      </w:r>
      <w:r w:rsidR="00AD07EB">
        <w:t xml:space="preserve"> of distribution hourly loads</w:t>
      </w:r>
      <w:r w:rsidR="00B86B31">
        <w:rPr>
          <w:rStyle w:val="FootnoteReference"/>
        </w:rPr>
        <w:footnoteReference w:id="9"/>
      </w:r>
      <w:r w:rsidR="00AD07EB">
        <w:t>.  The regression models are based on actual utility hourly distribution demands and the corresponding temperature in the distribution area.  Using dummy variables, lag terms, and cross product terms, the regression</w:t>
      </w:r>
      <w:r w:rsidR="00AD07EB" w:rsidRPr="69141258">
        <w:t xml:space="preserve"> </w:t>
      </w:r>
      <w:r w:rsidR="00AD07EB">
        <w:t xml:space="preserve">models are able to simulate the distribution </w:t>
      </w:r>
      <w:r w:rsidR="00AD07EB">
        <w:lastRenderedPageBreak/>
        <w:t>loads with about 90% accuracy (adjusted r-square)</w:t>
      </w:r>
      <w:r w:rsidR="00AD07EB">
        <w:rPr>
          <w:rStyle w:val="FootnoteReference"/>
        </w:rPr>
        <w:footnoteReference w:id="10"/>
      </w:r>
      <w:r w:rsidR="00AD07EB" w:rsidRPr="69141258">
        <w:t xml:space="preserve">.  </w:t>
      </w:r>
      <w:r w:rsidR="000E5EF4">
        <w:t xml:space="preserve"> To forecast the impact of local solar PV on the distribution loads, the analysis also subtracts off a forecast level of hourly PV generation from the distribution</w:t>
      </w:r>
      <w:r w:rsidR="000E5EF4" w:rsidRPr="69141258">
        <w:t xml:space="preserve"> </w:t>
      </w:r>
      <w:r w:rsidR="00FE3FAE">
        <w:t xml:space="preserve">load to produce an adjusted </w:t>
      </w:r>
      <w:r w:rsidR="000E5EF4">
        <w:t xml:space="preserve">distribution load shape.  The PV generation shape is based on the local area solar insolation, and the magnitude of the PV generation is based on the incremental statewide 2015 IEPR Mid-Demand forecast of solar penetration.  </w:t>
      </w:r>
      <w:r w:rsidR="000E5EF4" w:rsidRPr="69141258">
        <w:t xml:space="preserve">50 percent of the statewide incremental PV is assumed to be installed equally on a per-capital basis across the state, and the remaining 50% is assumed to be installed in proportion to </w:t>
      </w:r>
      <w:r w:rsidR="00FE3FAE" w:rsidRPr="69141258">
        <w:t>the 2013</w:t>
      </w:r>
      <w:r w:rsidR="000E5EF4" w:rsidRPr="69141258">
        <w:t xml:space="preserve"> per-capita installations.</w:t>
      </w:r>
      <w:r w:rsidR="000E5EF4" w:rsidRPr="42C633DC">
        <w:t xml:space="preserve"> </w:t>
      </w:r>
    </w:p>
    <w:p w14:paraId="736BA0D5" w14:textId="0F72B0BB" w:rsidR="00FE3FAE" w:rsidRDefault="00C920DD" w:rsidP="008A6BDD">
      <w:r>
        <w:t>On</w:t>
      </w:r>
      <w:r w:rsidR="000E5EF4">
        <w:t>c</w:t>
      </w:r>
      <w:r>
        <w:t xml:space="preserve">e the </w:t>
      </w:r>
      <w:r w:rsidR="00FE3FAE">
        <w:t xml:space="preserve">adjusted </w:t>
      </w:r>
      <w:r>
        <w:t xml:space="preserve">distribution loads are simulated using </w:t>
      </w:r>
      <w:r w:rsidR="008013E0">
        <w:t xml:space="preserve">2017 </w:t>
      </w:r>
      <w:r>
        <w:t>weather data for each climate zone</w:t>
      </w:r>
      <w:r w:rsidR="00FE3FAE">
        <w:t xml:space="preserve"> and the PV penetrations</w:t>
      </w:r>
      <w:r>
        <w:t xml:space="preserve">, </w:t>
      </w:r>
      <w:r w:rsidR="00273CE0">
        <w:t xml:space="preserve"> </w:t>
      </w:r>
      <w:r>
        <w:t>we allocate</w:t>
      </w:r>
      <w:r w:rsidR="00273CE0">
        <w:t xml:space="preserve"> the T&amp;D capacity value in each climate zone to the hours of the year during which the system is most likely to be constrained and require upgrades—the hours of highest local load.  </w:t>
      </w:r>
      <w:r w:rsidR="000E5EF4">
        <w:t xml:space="preserve">The allocation factors are derived using the peak capacity allocation factors method, with the additional constraint that the peak period contain between 20 and </w:t>
      </w:r>
      <w:r w:rsidR="008013E0">
        <w:t xml:space="preserve">250 </w:t>
      </w:r>
      <w:r w:rsidR="000E5EF4">
        <w:t>hours for the year.</w:t>
      </w:r>
    </w:p>
    <w:p w14:paraId="2AA1DE80" w14:textId="77777777" w:rsidR="00FE3FAE" w:rsidRDefault="00FE3FAE" w:rsidP="008A6BDD">
      <w:pPr>
        <w:ind w:left="720"/>
      </w:pPr>
      <w:r>
        <w:t>PCAF[</w:t>
      </w:r>
      <w:proofErr w:type="spellStart"/>
      <w:r>
        <w:t>a,h</w:t>
      </w:r>
      <w:proofErr w:type="spellEnd"/>
      <w:r>
        <w:t xml:space="preserve">] = </w:t>
      </w:r>
      <w:r w:rsidRPr="25ED4B98">
        <w:t>(</w:t>
      </w:r>
      <w:r>
        <w:t>Load[</w:t>
      </w:r>
      <w:proofErr w:type="spellStart"/>
      <w:r>
        <w:t>a,h</w:t>
      </w:r>
      <w:proofErr w:type="spellEnd"/>
      <w:r w:rsidRPr="25ED4B98">
        <w:t>] –</w:t>
      </w:r>
      <w:r>
        <w:t xml:space="preserve"> Threshold[a]</w:t>
      </w:r>
      <w:r w:rsidRPr="25ED4B98">
        <w:t>)</w:t>
      </w:r>
      <w:r>
        <w:t xml:space="preserve"> / Sum of all positive (Load[</w:t>
      </w:r>
      <w:proofErr w:type="spellStart"/>
      <w:r>
        <w:t>a,h</w:t>
      </w:r>
      <w:proofErr w:type="spellEnd"/>
      <w:r>
        <w:t>] – Threshold[a])</w:t>
      </w:r>
    </w:p>
    <w:p w14:paraId="34CF4ABF" w14:textId="77777777" w:rsidR="00FE3FAE" w:rsidRDefault="00FE3FAE" w:rsidP="008A6BDD">
      <w:pPr>
        <w:pStyle w:val="NoSpacing"/>
      </w:pPr>
      <w:r>
        <w:t xml:space="preserve">Where </w:t>
      </w:r>
    </w:p>
    <w:p w14:paraId="58D3B48C" w14:textId="58B86388" w:rsidR="00FE3FAE" w:rsidRDefault="00FE3FAE" w:rsidP="008A6BDD">
      <w:pPr>
        <w:pStyle w:val="NoSpacing"/>
        <w:ind w:left="720"/>
      </w:pPr>
      <w:r>
        <w:t xml:space="preserve">a is the climate zone area, </w:t>
      </w:r>
    </w:p>
    <w:p w14:paraId="58A4C029" w14:textId="77777777" w:rsidR="00FE3FAE" w:rsidRDefault="00FE3FAE" w:rsidP="008A6BDD">
      <w:pPr>
        <w:pStyle w:val="NoSpacing"/>
        <w:ind w:left="720"/>
      </w:pPr>
      <w:r>
        <w:t xml:space="preserve">h is hour of the year, </w:t>
      </w:r>
    </w:p>
    <w:p w14:paraId="5B32CCE5" w14:textId="77777777" w:rsidR="00FE3FAE" w:rsidRDefault="00FE3FAE" w:rsidP="008A6BDD">
      <w:pPr>
        <w:pStyle w:val="NoSpacing"/>
        <w:ind w:left="720"/>
      </w:pPr>
      <w:r>
        <w:t xml:space="preserve">Load is the net distribution load, and </w:t>
      </w:r>
    </w:p>
    <w:p w14:paraId="51566584" w14:textId="0C0F22D5" w:rsidR="00A701FB" w:rsidRDefault="00FE3FAE" w:rsidP="008A6BDD">
      <w:pPr>
        <w:pStyle w:val="NoSpacing"/>
        <w:ind w:left="720"/>
      </w:pPr>
      <w:r>
        <w:t xml:space="preserve">Threshold is the area maximum demand less one standard deviation, or the closest value that satisfies the constraint of between 20 and </w:t>
      </w:r>
      <w:r w:rsidR="0097348C">
        <w:t>250</w:t>
      </w:r>
      <w:r>
        <w:t xml:space="preserve"> hours with loads above the threshold.</w:t>
      </w:r>
    </w:p>
    <w:p w14:paraId="034CB740" w14:textId="73D3ED3A" w:rsidR="00273CE0" w:rsidRPr="00020926" w:rsidRDefault="002D70BF" w:rsidP="008A6BDD">
      <w:r w:rsidRPr="00C97CE1">
        <w:fldChar w:fldCharType="begin"/>
      </w:r>
      <w:r w:rsidRPr="002D70BF">
        <w:instrText xml:space="preserve"> REF _Ref452192165 \h </w:instrText>
      </w:r>
      <w:r>
        <w:instrText xml:space="preserve"> \* MERGEFORMAT </w:instrText>
      </w:r>
      <w:r w:rsidRPr="00C97CE1">
        <w:fldChar w:fldCharType="separate"/>
      </w:r>
      <w:r w:rsidR="00FD431B" w:rsidRPr="002D70BF">
        <w:t xml:space="preserve">Figure </w:t>
      </w:r>
      <w:r w:rsidR="00FD431B">
        <w:t>17</w:t>
      </w:r>
      <w:r w:rsidRPr="00C97CE1">
        <w:fldChar w:fldCharType="end"/>
      </w:r>
      <w:r>
        <w:t xml:space="preserve"> shows a summary of the updated T&amp;D allocation factors for Climate Zone 3 (</w:t>
      </w:r>
      <w:r w:rsidR="0052767F">
        <w:t>San Francisco</w:t>
      </w:r>
      <w:r>
        <w:t>) in 20</w:t>
      </w:r>
      <w:r w:rsidR="002F7669">
        <w:t>20</w:t>
      </w:r>
      <w:r>
        <w:t>.  The blue line shows the total allocation weight for each hour of the day (in Pacific Standard Time) and the gray bars show the total allocation weight by month (top axis, and right axis).  The chart title also indicates that the</w:t>
      </w:r>
      <w:r w:rsidRPr="25ED4B98">
        <w:t xml:space="preserve"> </w:t>
      </w:r>
      <w:r>
        <w:t>allocation factors are based on behind</w:t>
      </w:r>
      <w:r w:rsidRPr="25ED4B98">
        <w:t>-</w:t>
      </w:r>
      <w:r>
        <w:lastRenderedPageBreak/>
        <w:t>the</w:t>
      </w:r>
      <w:r w:rsidRPr="25ED4B98">
        <w:t>-</w:t>
      </w:r>
      <w:r>
        <w:t>meter PV proving an additional 6.4% of the electricity needs in the climate zone since 2010.  The PV values are incremental</w:t>
      </w:r>
      <w:r w:rsidRPr="25ED4B98">
        <w:t xml:space="preserve"> </w:t>
      </w:r>
      <w:r>
        <w:t>to 2010 because that is the year of the</w:t>
      </w:r>
      <w:r w:rsidR="00651754">
        <w:t xml:space="preserve"> utility load data used as the basis for the simulated area loads.  The additional PV output is subtracted from the simulated loads to estimate the adjusted net loads for the climate zone.</w:t>
      </w:r>
      <w:r w:rsidRPr="25ED4B98">
        <w:t xml:space="preserve"> </w:t>
      </w:r>
    </w:p>
    <w:p w14:paraId="311EBADD" w14:textId="5C023150" w:rsidR="00273CE0" w:rsidRDefault="00273CE0" w:rsidP="00273CE0">
      <w:pPr>
        <w:pStyle w:val="Caption"/>
      </w:pPr>
      <w:bookmarkStart w:id="40" w:name="_Ref452192165"/>
      <w:bookmarkStart w:id="41" w:name="_Ref452193067"/>
      <w:r w:rsidRPr="002D70BF">
        <w:t xml:space="preserve">Figure </w:t>
      </w:r>
      <w:r w:rsidR="00813981" w:rsidRPr="008A6BDD">
        <w:fldChar w:fldCharType="begin"/>
      </w:r>
      <w:r w:rsidR="00813981" w:rsidRPr="002D70BF">
        <w:instrText xml:space="preserve"> SEQ Figure \* ARABIC </w:instrText>
      </w:r>
      <w:r w:rsidR="00813981" w:rsidRPr="008A6BDD">
        <w:fldChar w:fldCharType="separate"/>
      </w:r>
      <w:r w:rsidR="00FD431B">
        <w:rPr>
          <w:noProof/>
        </w:rPr>
        <w:t>17</w:t>
      </w:r>
      <w:r w:rsidR="00813981" w:rsidRPr="008A6BDD">
        <w:fldChar w:fldCharType="end"/>
      </w:r>
      <w:bookmarkEnd w:id="40"/>
      <w:r w:rsidRPr="63B5EF78">
        <w:t xml:space="preserve">. </w:t>
      </w:r>
      <w:r w:rsidR="00651754">
        <w:t>Updated T&amp;D Allocation Factors for CZ3 in 20</w:t>
      </w:r>
      <w:bookmarkEnd w:id="41"/>
      <w:r w:rsidR="002F7669">
        <w:t>20</w:t>
      </w:r>
    </w:p>
    <w:p w14:paraId="55A4072D" w14:textId="6016570D" w:rsidR="002D70BF" w:rsidRDefault="0052767F" w:rsidP="00273CE0">
      <w:r>
        <w:rPr>
          <w:noProof/>
        </w:rPr>
        <w:drawing>
          <wp:inline distT="0" distB="0" distL="0" distR="0" wp14:anchorId="42C162DD" wp14:editId="0F476402">
            <wp:extent cx="4752975" cy="2892659"/>
            <wp:effectExtent l="0" t="0" r="0" b="3175"/>
            <wp:docPr id="12"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FAD3F1-F0C1-46D3-B39D-A3C626B5F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FAD3F1-F0C1-46D3-B39D-A3C626B5F4C5}"/>
                        </a:ext>
                      </a:extLst>
                    </pic:cNvPr>
                    <pic:cNvPicPr>
                      <a:picLocks noChangeAspect="1"/>
                    </pic:cNvPicPr>
                  </pic:nvPicPr>
                  <pic:blipFill rotWithShape="1">
                    <a:blip r:embed="rId29"/>
                    <a:srcRect t="66840"/>
                    <a:stretch/>
                  </pic:blipFill>
                  <pic:spPr bwMode="auto">
                    <a:xfrm>
                      <a:off x="0" y="0"/>
                      <a:ext cx="4768362" cy="2902024"/>
                    </a:xfrm>
                    <a:prstGeom prst="rect">
                      <a:avLst/>
                    </a:prstGeom>
                    <a:ln>
                      <a:noFill/>
                    </a:ln>
                    <a:extLst>
                      <a:ext uri="{53640926-AAD7-44D8-BBD7-CCE9431645EC}">
                        <a14:shadowObscured xmlns:a14="http://schemas.microsoft.com/office/drawing/2010/main"/>
                      </a:ext>
                    </a:extLst>
                  </pic:spPr>
                </pic:pic>
              </a:graphicData>
            </a:graphic>
          </wp:inline>
        </w:drawing>
      </w:r>
    </w:p>
    <w:p w14:paraId="631ACC8B" w14:textId="3F4CBB08" w:rsidR="00651754" w:rsidRDefault="00651754" w:rsidP="00273CE0">
      <w:r>
        <w:fldChar w:fldCharType="begin"/>
      </w:r>
      <w:r>
        <w:instrText xml:space="preserve"> REF _Ref452192722 \h </w:instrText>
      </w:r>
      <w:r>
        <w:fldChar w:fldCharType="separate"/>
      </w:r>
      <w:r w:rsidR="00FD431B" w:rsidRPr="00EB036A">
        <w:t xml:space="preserve">Figure </w:t>
      </w:r>
      <w:r w:rsidR="00FD431B">
        <w:rPr>
          <w:noProof/>
        </w:rPr>
        <w:t>18</w:t>
      </w:r>
      <w:r>
        <w:fldChar w:fldCharType="end"/>
      </w:r>
      <w:r>
        <w:t xml:space="preserve"> shows the same information for climate zone 3 in 2030.  In 2030 the behind-the-meter PV is modeled as providing 20.2% of the electricity needs in the climate zone.  This higher PV output</w:t>
      </w:r>
      <w:r w:rsidR="12C13018">
        <w:t xml:space="preserve"> </w:t>
      </w:r>
      <w:r>
        <w:t>results in less need for summer afternoon peak capacity.  This shits the allocation factors to later in the day/evening, as well as shifting more weight to the non-summer months.  Summary charts for all 16 climate zones are presented in the Appendix.</w:t>
      </w:r>
      <w:r w:rsidRPr="12C13018">
        <w:t xml:space="preserve"> </w:t>
      </w:r>
    </w:p>
    <w:p w14:paraId="4F5C27F7" w14:textId="4DCC2D3F" w:rsidR="002D70BF" w:rsidRDefault="00651754" w:rsidP="008A6BDD">
      <w:pPr>
        <w:pStyle w:val="Caption"/>
      </w:pPr>
      <w:bookmarkStart w:id="42" w:name="_Ref452192722"/>
      <w:r w:rsidRPr="00EB036A">
        <w:lastRenderedPageBreak/>
        <w:t xml:space="preserve">Figure </w:t>
      </w:r>
      <w:r w:rsidRPr="008A6BDD">
        <w:fldChar w:fldCharType="begin"/>
      </w:r>
      <w:r w:rsidRPr="00EB036A">
        <w:instrText xml:space="preserve"> SEQ Figure \* ARABIC </w:instrText>
      </w:r>
      <w:r w:rsidRPr="008A6BDD">
        <w:fldChar w:fldCharType="separate"/>
      </w:r>
      <w:r w:rsidR="00FD431B">
        <w:rPr>
          <w:noProof/>
        </w:rPr>
        <w:t>18</w:t>
      </w:r>
      <w:r w:rsidRPr="008A6BDD">
        <w:fldChar w:fldCharType="end"/>
      </w:r>
      <w:bookmarkEnd w:id="42"/>
      <w:r w:rsidRPr="00EB036A">
        <w:t xml:space="preserve">. </w:t>
      </w:r>
      <w:r>
        <w:t>Updated T&amp;D Allocation Factors for CZ3 in 2030</w:t>
      </w:r>
    </w:p>
    <w:p w14:paraId="7F59927F" w14:textId="7023498C" w:rsidR="002F7669" w:rsidRDefault="00C20EC9" w:rsidP="00273CE0">
      <w:r>
        <w:rPr>
          <w:noProof/>
        </w:rPr>
        <w:drawing>
          <wp:inline distT="0" distB="0" distL="0" distR="0" wp14:anchorId="070CD076" wp14:editId="2F21A241">
            <wp:extent cx="4736849" cy="28575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67129"/>
                    <a:stretch/>
                  </pic:blipFill>
                  <pic:spPr bwMode="auto">
                    <a:xfrm>
                      <a:off x="0" y="0"/>
                      <a:ext cx="4746760" cy="2863479"/>
                    </a:xfrm>
                    <a:prstGeom prst="rect">
                      <a:avLst/>
                    </a:prstGeom>
                    <a:noFill/>
                    <a:ln>
                      <a:noFill/>
                    </a:ln>
                    <a:extLst>
                      <a:ext uri="{53640926-AAD7-44D8-BBD7-CCE9431645EC}">
                        <a14:shadowObscured xmlns:a14="http://schemas.microsoft.com/office/drawing/2010/main"/>
                      </a:ext>
                    </a:extLst>
                  </pic:spPr>
                </pic:pic>
              </a:graphicData>
            </a:graphic>
          </wp:inline>
        </w:drawing>
      </w:r>
    </w:p>
    <w:p w14:paraId="7E188736" w14:textId="5BBC01F9" w:rsidR="002F7669" w:rsidRDefault="002F7669" w:rsidP="00273CE0">
      <w:r>
        <w:t>The 2020 allocation factors are used for all years up to and including 2020, and the 2030 shapes are used for 2030 and all subsequent years.  A simple linear interpolation is applied to the interim years.</w:t>
      </w:r>
    </w:p>
    <w:p w14:paraId="56A48B1E" w14:textId="11BF6BD1" w:rsidR="002F7669" w:rsidRDefault="002F7669" w:rsidP="008A6BDD">
      <w:pPr>
        <w:pStyle w:val="Caption"/>
      </w:pPr>
      <w:r>
        <w:lastRenderedPageBreak/>
        <w:t xml:space="preserve">Table </w:t>
      </w:r>
      <w:r w:rsidR="00B8765B">
        <w:fldChar w:fldCharType="begin"/>
      </w:r>
      <w:r w:rsidR="00B8765B">
        <w:instrText xml:space="preserve"> SEQ Table \* ARABIC </w:instrText>
      </w:r>
      <w:r w:rsidR="00B8765B">
        <w:fldChar w:fldCharType="separate"/>
      </w:r>
      <w:r w:rsidR="00FD431B">
        <w:rPr>
          <w:noProof/>
        </w:rPr>
        <w:t>7</w:t>
      </w:r>
      <w:r w:rsidR="00B8765B">
        <w:rPr>
          <w:noProof/>
        </w:rPr>
        <w:fldChar w:fldCharType="end"/>
      </w:r>
      <w:r>
        <w:t>:  Percentage of Electricity Demand Met by Behind-the-Meter PV</w:t>
      </w:r>
    </w:p>
    <w:tbl>
      <w:tblPr>
        <w:tblStyle w:val="ListTable3-Accent11"/>
        <w:tblW w:w="0" w:type="auto"/>
        <w:tblLook w:val="04A0" w:firstRow="1" w:lastRow="0" w:firstColumn="1" w:lastColumn="0" w:noHBand="0" w:noVBand="1"/>
      </w:tblPr>
      <w:tblGrid>
        <w:gridCol w:w="1418"/>
        <w:gridCol w:w="961"/>
        <w:gridCol w:w="1244"/>
      </w:tblGrid>
      <w:tr w:rsidR="002F7669" w14:paraId="1FC00400" w14:textId="77777777" w:rsidTr="008A6BD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auto"/>
            <w:noWrap/>
            <w:hideMark/>
          </w:tcPr>
          <w:p w14:paraId="231BE34C" w14:textId="4E94C237" w:rsidR="002F7669" w:rsidRPr="008A6BDD" w:rsidRDefault="002F7669" w:rsidP="008A6BDD">
            <w:pPr>
              <w:keepNext/>
              <w:keepLines/>
              <w:spacing w:before="0" w:after="0" w:line="240" w:lineRule="auto"/>
              <w:rPr>
                <w:rFonts w:cs="Times New Roman"/>
                <w:sz w:val="22"/>
                <w:szCs w:val="22"/>
              </w:rPr>
            </w:pPr>
            <w:r>
              <w:rPr>
                <w:sz w:val="22"/>
                <w:szCs w:val="22"/>
              </w:rPr>
              <w:t>Climate Zone</w:t>
            </w:r>
          </w:p>
        </w:tc>
        <w:tc>
          <w:tcPr>
            <w:tcW w:w="0" w:type="auto"/>
            <w:noWrap/>
            <w:hideMark/>
          </w:tcPr>
          <w:p w14:paraId="7FEB9A85" w14:textId="7599B3A4" w:rsidR="002F7669" w:rsidRPr="008A6BDD" w:rsidRDefault="002F7669" w:rsidP="008A6BDD">
            <w:pPr>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8A6BDD">
              <w:rPr>
                <w:color w:val="auto"/>
                <w:sz w:val="22"/>
                <w:szCs w:val="22"/>
              </w:rPr>
              <w:t xml:space="preserve">      </w:t>
            </w:r>
            <w:r>
              <w:rPr>
                <w:sz w:val="22"/>
                <w:szCs w:val="22"/>
              </w:rPr>
              <w:t>2020</w:t>
            </w:r>
            <w:r w:rsidRPr="008A6BDD">
              <w:rPr>
                <w:color w:val="auto"/>
                <w:sz w:val="22"/>
                <w:szCs w:val="22"/>
              </w:rPr>
              <w:t xml:space="preserve"> </w:t>
            </w:r>
          </w:p>
        </w:tc>
        <w:tc>
          <w:tcPr>
            <w:tcW w:w="1244" w:type="dxa"/>
            <w:noWrap/>
            <w:hideMark/>
          </w:tcPr>
          <w:p w14:paraId="0C93DE33" w14:textId="48F6194B" w:rsidR="002F7669" w:rsidRPr="008A6BDD" w:rsidRDefault="002F7669" w:rsidP="008A6BDD">
            <w:pPr>
              <w:keepNext/>
              <w:keepLines/>
              <w:spacing w:before="0" w:after="0" w:line="240" w:lineRule="auto"/>
              <w:jc w:val="right"/>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2030</w:t>
            </w:r>
          </w:p>
        </w:tc>
      </w:tr>
      <w:tr w:rsidR="002F7669" w14:paraId="36286209"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6633B1" w14:textId="77777777" w:rsidR="002F7669" w:rsidRDefault="002F7669" w:rsidP="008A6BDD">
            <w:pPr>
              <w:keepNext/>
              <w:keepLines/>
              <w:spacing w:before="0" w:after="0" w:line="240" w:lineRule="auto"/>
              <w:rPr>
                <w:color w:val="000000"/>
                <w:sz w:val="22"/>
                <w:szCs w:val="22"/>
              </w:rPr>
            </w:pPr>
            <w:r>
              <w:rPr>
                <w:color w:val="000000"/>
                <w:sz w:val="22"/>
                <w:szCs w:val="22"/>
              </w:rPr>
              <w:t>CZ1</w:t>
            </w:r>
          </w:p>
        </w:tc>
        <w:tc>
          <w:tcPr>
            <w:tcW w:w="0" w:type="auto"/>
            <w:noWrap/>
            <w:hideMark/>
          </w:tcPr>
          <w:p w14:paraId="7FD9CFE9"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6.2%</w:t>
            </w:r>
          </w:p>
        </w:tc>
        <w:tc>
          <w:tcPr>
            <w:tcW w:w="1244" w:type="dxa"/>
            <w:noWrap/>
            <w:hideMark/>
          </w:tcPr>
          <w:p w14:paraId="620A09D7"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18.1%</w:t>
            </w:r>
          </w:p>
        </w:tc>
      </w:tr>
      <w:tr w:rsidR="002F7669" w14:paraId="6E7B2AE1"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5C072" w14:textId="77777777" w:rsidR="002F7669" w:rsidRDefault="002F7669" w:rsidP="008A6BDD">
            <w:pPr>
              <w:keepNext/>
              <w:keepLines/>
              <w:spacing w:before="0" w:after="0" w:line="240" w:lineRule="auto"/>
              <w:rPr>
                <w:color w:val="000000"/>
                <w:sz w:val="22"/>
                <w:szCs w:val="22"/>
              </w:rPr>
            </w:pPr>
            <w:r>
              <w:rPr>
                <w:color w:val="000000"/>
                <w:sz w:val="22"/>
                <w:szCs w:val="22"/>
              </w:rPr>
              <w:t>CZ2</w:t>
            </w:r>
          </w:p>
        </w:tc>
        <w:tc>
          <w:tcPr>
            <w:tcW w:w="0" w:type="auto"/>
            <w:noWrap/>
            <w:hideMark/>
          </w:tcPr>
          <w:p w14:paraId="7CF4B2B2"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10.1%</w:t>
            </w:r>
          </w:p>
        </w:tc>
        <w:tc>
          <w:tcPr>
            <w:tcW w:w="1244" w:type="dxa"/>
            <w:noWrap/>
            <w:hideMark/>
          </w:tcPr>
          <w:p w14:paraId="52785C56"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24.2%</w:t>
            </w:r>
          </w:p>
        </w:tc>
      </w:tr>
      <w:tr w:rsidR="002F7669" w14:paraId="0129507C"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28D933" w14:textId="77777777" w:rsidR="002F7669" w:rsidRDefault="002F7669" w:rsidP="008A6BDD">
            <w:pPr>
              <w:keepNext/>
              <w:keepLines/>
              <w:spacing w:before="0" w:after="0" w:line="240" w:lineRule="auto"/>
              <w:rPr>
                <w:color w:val="000000"/>
                <w:sz w:val="22"/>
                <w:szCs w:val="22"/>
              </w:rPr>
            </w:pPr>
            <w:r>
              <w:rPr>
                <w:color w:val="000000"/>
                <w:sz w:val="22"/>
                <w:szCs w:val="22"/>
              </w:rPr>
              <w:t>CZ3</w:t>
            </w:r>
          </w:p>
        </w:tc>
        <w:tc>
          <w:tcPr>
            <w:tcW w:w="0" w:type="auto"/>
            <w:noWrap/>
            <w:hideMark/>
          </w:tcPr>
          <w:p w14:paraId="68213CE3"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6.4%</w:t>
            </w:r>
          </w:p>
        </w:tc>
        <w:tc>
          <w:tcPr>
            <w:tcW w:w="1244" w:type="dxa"/>
            <w:noWrap/>
            <w:hideMark/>
          </w:tcPr>
          <w:p w14:paraId="5E29B59E"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20.2%</w:t>
            </w:r>
          </w:p>
        </w:tc>
      </w:tr>
      <w:tr w:rsidR="002F7669" w14:paraId="680E9A3C"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014F9C" w14:textId="77777777" w:rsidR="002F7669" w:rsidRDefault="002F7669" w:rsidP="008A6BDD">
            <w:pPr>
              <w:keepNext/>
              <w:keepLines/>
              <w:spacing w:before="0" w:after="0" w:line="240" w:lineRule="auto"/>
              <w:rPr>
                <w:color w:val="000000"/>
                <w:sz w:val="22"/>
                <w:szCs w:val="22"/>
              </w:rPr>
            </w:pPr>
            <w:r>
              <w:rPr>
                <w:color w:val="000000"/>
                <w:sz w:val="22"/>
                <w:szCs w:val="22"/>
              </w:rPr>
              <w:t>CZ4</w:t>
            </w:r>
          </w:p>
        </w:tc>
        <w:tc>
          <w:tcPr>
            <w:tcW w:w="0" w:type="auto"/>
            <w:noWrap/>
            <w:hideMark/>
          </w:tcPr>
          <w:p w14:paraId="3257CDBE"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9.5%</w:t>
            </w:r>
          </w:p>
        </w:tc>
        <w:tc>
          <w:tcPr>
            <w:tcW w:w="1244" w:type="dxa"/>
            <w:noWrap/>
            <w:hideMark/>
          </w:tcPr>
          <w:p w14:paraId="6D7CCE98"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24.3%</w:t>
            </w:r>
          </w:p>
        </w:tc>
      </w:tr>
      <w:tr w:rsidR="002F7669" w14:paraId="2457FEFE"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3FDF85" w14:textId="77777777" w:rsidR="002F7669" w:rsidRDefault="002F7669" w:rsidP="008A6BDD">
            <w:pPr>
              <w:keepNext/>
              <w:keepLines/>
              <w:spacing w:before="0" w:after="0" w:line="240" w:lineRule="auto"/>
              <w:rPr>
                <w:color w:val="000000"/>
                <w:sz w:val="22"/>
                <w:szCs w:val="22"/>
              </w:rPr>
            </w:pPr>
            <w:r>
              <w:rPr>
                <w:color w:val="000000"/>
                <w:sz w:val="22"/>
                <w:szCs w:val="22"/>
              </w:rPr>
              <w:t>CZ5</w:t>
            </w:r>
          </w:p>
        </w:tc>
        <w:tc>
          <w:tcPr>
            <w:tcW w:w="0" w:type="auto"/>
            <w:noWrap/>
            <w:hideMark/>
          </w:tcPr>
          <w:p w14:paraId="146E9E20"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4.9%</w:t>
            </w:r>
          </w:p>
        </w:tc>
        <w:tc>
          <w:tcPr>
            <w:tcW w:w="1244" w:type="dxa"/>
            <w:noWrap/>
            <w:hideMark/>
          </w:tcPr>
          <w:p w14:paraId="72B4FCED"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13.3%</w:t>
            </w:r>
          </w:p>
        </w:tc>
      </w:tr>
      <w:tr w:rsidR="002F7669" w14:paraId="27C64253"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DE2984" w14:textId="77777777" w:rsidR="002F7669" w:rsidRDefault="002F7669" w:rsidP="008A6BDD">
            <w:pPr>
              <w:keepNext/>
              <w:keepLines/>
              <w:spacing w:before="0" w:after="0" w:line="240" w:lineRule="auto"/>
              <w:rPr>
                <w:color w:val="000000"/>
                <w:sz w:val="22"/>
                <w:szCs w:val="22"/>
              </w:rPr>
            </w:pPr>
            <w:r>
              <w:rPr>
                <w:color w:val="000000"/>
                <w:sz w:val="22"/>
                <w:szCs w:val="22"/>
              </w:rPr>
              <w:t>CZ6</w:t>
            </w:r>
          </w:p>
        </w:tc>
        <w:tc>
          <w:tcPr>
            <w:tcW w:w="0" w:type="auto"/>
            <w:noWrap/>
            <w:hideMark/>
          </w:tcPr>
          <w:p w14:paraId="0BEBA597"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2.5%</w:t>
            </w:r>
          </w:p>
        </w:tc>
        <w:tc>
          <w:tcPr>
            <w:tcW w:w="1244" w:type="dxa"/>
            <w:noWrap/>
            <w:hideMark/>
          </w:tcPr>
          <w:p w14:paraId="6A3C5643"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10.3%</w:t>
            </w:r>
          </w:p>
        </w:tc>
      </w:tr>
      <w:tr w:rsidR="002F7669" w14:paraId="1925614C"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EB38E6" w14:textId="77777777" w:rsidR="002F7669" w:rsidRDefault="002F7669" w:rsidP="008A6BDD">
            <w:pPr>
              <w:keepNext/>
              <w:keepLines/>
              <w:spacing w:before="0" w:after="0" w:line="240" w:lineRule="auto"/>
              <w:rPr>
                <w:color w:val="000000"/>
                <w:sz w:val="22"/>
                <w:szCs w:val="22"/>
              </w:rPr>
            </w:pPr>
            <w:r>
              <w:rPr>
                <w:color w:val="000000"/>
                <w:sz w:val="22"/>
                <w:szCs w:val="22"/>
              </w:rPr>
              <w:t>CZ7</w:t>
            </w:r>
          </w:p>
        </w:tc>
        <w:tc>
          <w:tcPr>
            <w:tcW w:w="0" w:type="auto"/>
            <w:noWrap/>
            <w:hideMark/>
          </w:tcPr>
          <w:p w14:paraId="09F2CC17"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3.4%</w:t>
            </w:r>
          </w:p>
        </w:tc>
        <w:tc>
          <w:tcPr>
            <w:tcW w:w="1244" w:type="dxa"/>
            <w:noWrap/>
            <w:hideMark/>
          </w:tcPr>
          <w:p w14:paraId="428C3DA3"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11.5%</w:t>
            </w:r>
          </w:p>
        </w:tc>
      </w:tr>
      <w:tr w:rsidR="002F7669" w14:paraId="76F4B06F"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12543C" w14:textId="77777777" w:rsidR="002F7669" w:rsidRDefault="002F7669" w:rsidP="008A6BDD">
            <w:pPr>
              <w:keepNext/>
              <w:keepLines/>
              <w:spacing w:before="0" w:after="0" w:line="240" w:lineRule="auto"/>
              <w:rPr>
                <w:color w:val="000000"/>
                <w:sz w:val="22"/>
                <w:szCs w:val="22"/>
              </w:rPr>
            </w:pPr>
            <w:r>
              <w:rPr>
                <w:color w:val="000000"/>
                <w:sz w:val="22"/>
                <w:szCs w:val="22"/>
              </w:rPr>
              <w:t>CZ8</w:t>
            </w:r>
          </w:p>
        </w:tc>
        <w:tc>
          <w:tcPr>
            <w:tcW w:w="0" w:type="auto"/>
            <w:noWrap/>
            <w:hideMark/>
          </w:tcPr>
          <w:p w14:paraId="3C366168"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2.3%</w:t>
            </w:r>
          </w:p>
        </w:tc>
        <w:tc>
          <w:tcPr>
            <w:tcW w:w="1244" w:type="dxa"/>
            <w:noWrap/>
            <w:hideMark/>
          </w:tcPr>
          <w:p w14:paraId="0D43A3EF"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10.1%</w:t>
            </w:r>
          </w:p>
        </w:tc>
      </w:tr>
      <w:tr w:rsidR="002F7669" w14:paraId="2AC9A0F3"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217D66" w14:textId="77777777" w:rsidR="002F7669" w:rsidRDefault="002F7669" w:rsidP="008A6BDD">
            <w:pPr>
              <w:keepNext/>
              <w:keepLines/>
              <w:spacing w:before="0" w:after="0" w:line="240" w:lineRule="auto"/>
              <w:rPr>
                <w:color w:val="000000"/>
                <w:sz w:val="22"/>
                <w:szCs w:val="22"/>
              </w:rPr>
            </w:pPr>
            <w:r>
              <w:rPr>
                <w:color w:val="000000"/>
                <w:sz w:val="22"/>
                <w:szCs w:val="22"/>
              </w:rPr>
              <w:t>CZ9</w:t>
            </w:r>
          </w:p>
        </w:tc>
        <w:tc>
          <w:tcPr>
            <w:tcW w:w="0" w:type="auto"/>
            <w:noWrap/>
            <w:hideMark/>
          </w:tcPr>
          <w:p w14:paraId="33D47B43"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2.2%</w:t>
            </w:r>
          </w:p>
        </w:tc>
        <w:tc>
          <w:tcPr>
            <w:tcW w:w="1244" w:type="dxa"/>
            <w:noWrap/>
            <w:hideMark/>
          </w:tcPr>
          <w:p w14:paraId="79897E92"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10.2%</w:t>
            </w:r>
          </w:p>
        </w:tc>
      </w:tr>
      <w:tr w:rsidR="002F7669" w14:paraId="5E856F85"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305223" w14:textId="77777777" w:rsidR="002F7669" w:rsidRDefault="002F7669" w:rsidP="008A6BDD">
            <w:pPr>
              <w:keepNext/>
              <w:keepLines/>
              <w:spacing w:before="0" w:after="0" w:line="240" w:lineRule="auto"/>
              <w:rPr>
                <w:color w:val="000000"/>
                <w:sz w:val="22"/>
                <w:szCs w:val="22"/>
              </w:rPr>
            </w:pPr>
            <w:r>
              <w:rPr>
                <w:color w:val="000000"/>
                <w:sz w:val="22"/>
                <w:szCs w:val="22"/>
              </w:rPr>
              <w:t>CZ10</w:t>
            </w:r>
          </w:p>
        </w:tc>
        <w:tc>
          <w:tcPr>
            <w:tcW w:w="0" w:type="auto"/>
            <w:noWrap/>
            <w:hideMark/>
          </w:tcPr>
          <w:p w14:paraId="1CCBC39C"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3.5%</w:t>
            </w:r>
          </w:p>
        </w:tc>
        <w:tc>
          <w:tcPr>
            <w:tcW w:w="1244" w:type="dxa"/>
            <w:noWrap/>
            <w:hideMark/>
          </w:tcPr>
          <w:p w14:paraId="501C08AB"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11.8%</w:t>
            </w:r>
          </w:p>
        </w:tc>
      </w:tr>
      <w:tr w:rsidR="002F7669" w14:paraId="6F1B8852"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1434A2" w14:textId="77777777" w:rsidR="002F7669" w:rsidRDefault="002F7669" w:rsidP="008A6BDD">
            <w:pPr>
              <w:keepNext/>
              <w:keepLines/>
              <w:spacing w:before="0" w:after="0" w:line="240" w:lineRule="auto"/>
              <w:rPr>
                <w:color w:val="000000"/>
                <w:sz w:val="22"/>
                <w:szCs w:val="22"/>
              </w:rPr>
            </w:pPr>
            <w:r>
              <w:rPr>
                <w:color w:val="000000"/>
                <w:sz w:val="22"/>
                <w:szCs w:val="22"/>
              </w:rPr>
              <w:t>CZ11</w:t>
            </w:r>
          </w:p>
        </w:tc>
        <w:tc>
          <w:tcPr>
            <w:tcW w:w="0" w:type="auto"/>
            <w:noWrap/>
            <w:hideMark/>
          </w:tcPr>
          <w:p w14:paraId="6233F33B"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9.2%</w:t>
            </w:r>
          </w:p>
        </w:tc>
        <w:tc>
          <w:tcPr>
            <w:tcW w:w="1244" w:type="dxa"/>
            <w:noWrap/>
            <w:hideMark/>
          </w:tcPr>
          <w:p w14:paraId="7E070A1A"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23.6%</w:t>
            </w:r>
          </w:p>
        </w:tc>
      </w:tr>
      <w:tr w:rsidR="002F7669" w14:paraId="6B0FD36E"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E499BD1" w14:textId="77777777" w:rsidR="002F7669" w:rsidRDefault="002F7669" w:rsidP="008A6BDD">
            <w:pPr>
              <w:keepNext/>
              <w:keepLines/>
              <w:spacing w:before="0" w:after="0" w:line="240" w:lineRule="auto"/>
              <w:rPr>
                <w:color w:val="000000"/>
                <w:sz w:val="22"/>
                <w:szCs w:val="22"/>
              </w:rPr>
            </w:pPr>
            <w:r>
              <w:rPr>
                <w:color w:val="000000"/>
                <w:sz w:val="22"/>
                <w:szCs w:val="22"/>
              </w:rPr>
              <w:t>CZ12</w:t>
            </w:r>
          </w:p>
        </w:tc>
        <w:tc>
          <w:tcPr>
            <w:tcW w:w="0" w:type="auto"/>
            <w:noWrap/>
            <w:hideMark/>
          </w:tcPr>
          <w:p w14:paraId="38EB554D"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5.1%</w:t>
            </w:r>
          </w:p>
        </w:tc>
        <w:tc>
          <w:tcPr>
            <w:tcW w:w="1244" w:type="dxa"/>
            <w:noWrap/>
            <w:hideMark/>
          </w:tcPr>
          <w:p w14:paraId="3734438A"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13.0%</w:t>
            </w:r>
          </w:p>
        </w:tc>
      </w:tr>
      <w:tr w:rsidR="002F7669" w14:paraId="21DDF84F"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2F1C0B" w14:textId="77777777" w:rsidR="002F7669" w:rsidRDefault="002F7669" w:rsidP="008A6BDD">
            <w:pPr>
              <w:keepNext/>
              <w:keepLines/>
              <w:spacing w:before="0" w:after="0" w:line="240" w:lineRule="auto"/>
              <w:rPr>
                <w:color w:val="000000"/>
                <w:sz w:val="22"/>
                <w:szCs w:val="22"/>
              </w:rPr>
            </w:pPr>
            <w:r>
              <w:rPr>
                <w:color w:val="000000"/>
                <w:sz w:val="22"/>
                <w:szCs w:val="22"/>
              </w:rPr>
              <w:t>CZ13</w:t>
            </w:r>
          </w:p>
        </w:tc>
        <w:tc>
          <w:tcPr>
            <w:tcW w:w="0" w:type="auto"/>
            <w:noWrap/>
            <w:hideMark/>
          </w:tcPr>
          <w:p w14:paraId="7F53C036"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8.5%</w:t>
            </w:r>
          </w:p>
        </w:tc>
        <w:tc>
          <w:tcPr>
            <w:tcW w:w="1244" w:type="dxa"/>
            <w:noWrap/>
            <w:hideMark/>
          </w:tcPr>
          <w:p w14:paraId="4B01DF3D"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22.9%</w:t>
            </w:r>
          </w:p>
        </w:tc>
      </w:tr>
      <w:tr w:rsidR="002F7669" w14:paraId="381888E5"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BBDAC" w14:textId="77777777" w:rsidR="002F7669" w:rsidRDefault="002F7669" w:rsidP="008A6BDD">
            <w:pPr>
              <w:keepNext/>
              <w:keepLines/>
              <w:spacing w:before="0" w:after="0" w:line="240" w:lineRule="auto"/>
              <w:rPr>
                <w:color w:val="000000"/>
                <w:sz w:val="22"/>
                <w:szCs w:val="22"/>
              </w:rPr>
            </w:pPr>
            <w:r>
              <w:rPr>
                <w:color w:val="000000"/>
                <w:sz w:val="22"/>
                <w:szCs w:val="22"/>
              </w:rPr>
              <w:t>CZ14</w:t>
            </w:r>
          </w:p>
        </w:tc>
        <w:tc>
          <w:tcPr>
            <w:tcW w:w="0" w:type="auto"/>
            <w:noWrap/>
            <w:hideMark/>
          </w:tcPr>
          <w:p w14:paraId="1AF85A8F"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5.0%</w:t>
            </w:r>
          </w:p>
        </w:tc>
        <w:tc>
          <w:tcPr>
            <w:tcW w:w="1244" w:type="dxa"/>
            <w:noWrap/>
            <w:hideMark/>
          </w:tcPr>
          <w:p w14:paraId="44B6E914" w14:textId="77777777" w:rsidR="002F7669" w:rsidRDefault="002F7669" w:rsidP="008A6BDD">
            <w:pPr>
              <w:keepNext/>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14.0%</w:t>
            </w:r>
          </w:p>
        </w:tc>
      </w:tr>
      <w:tr w:rsidR="002F7669" w14:paraId="5A6944E0" w14:textId="77777777" w:rsidTr="008A6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4890DC" w14:textId="77777777" w:rsidR="002F7669" w:rsidRDefault="002F7669" w:rsidP="008A6BDD">
            <w:pPr>
              <w:keepNext/>
              <w:keepLines/>
              <w:spacing w:before="0" w:after="0" w:line="240" w:lineRule="auto"/>
              <w:rPr>
                <w:color w:val="000000"/>
                <w:sz w:val="22"/>
                <w:szCs w:val="22"/>
              </w:rPr>
            </w:pPr>
            <w:r>
              <w:rPr>
                <w:color w:val="000000"/>
                <w:sz w:val="22"/>
                <w:szCs w:val="22"/>
              </w:rPr>
              <w:t>CZ15</w:t>
            </w:r>
          </w:p>
        </w:tc>
        <w:tc>
          <w:tcPr>
            <w:tcW w:w="0" w:type="auto"/>
            <w:noWrap/>
            <w:hideMark/>
          </w:tcPr>
          <w:p w14:paraId="1AEA0F55"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3.2%</w:t>
            </w:r>
          </w:p>
        </w:tc>
        <w:tc>
          <w:tcPr>
            <w:tcW w:w="1244" w:type="dxa"/>
            <w:noWrap/>
            <w:hideMark/>
          </w:tcPr>
          <w:p w14:paraId="205AE754" w14:textId="77777777" w:rsidR="002F7669" w:rsidRDefault="002F7669" w:rsidP="008A6BDD">
            <w:pPr>
              <w:keepNext/>
              <w:keepLines/>
              <w:spacing w:before="0"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11.7%</w:t>
            </w:r>
          </w:p>
        </w:tc>
      </w:tr>
      <w:tr w:rsidR="002F7669" w14:paraId="307D1E4B" w14:textId="77777777" w:rsidTr="008A6BDD">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42A88" w14:textId="77777777" w:rsidR="002F7669" w:rsidRDefault="002F7669" w:rsidP="008A6BDD">
            <w:pPr>
              <w:keepLines/>
              <w:spacing w:before="0" w:after="0" w:line="240" w:lineRule="auto"/>
              <w:rPr>
                <w:color w:val="000000"/>
                <w:sz w:val="22"/>
                <w:szCs w:val="22"/>
              </w:rPr>
            </w:pPr>
            <w:r>
              <w:rPr>
                <w:color w:val="000000"/>
                <w:sz w:val="22"/>
                <w:szCs w:val="22"/>
              </w:rPr>
              <w:t>CZ16</w:t>
            </w:r>
          </w:p>
        </w:tc>
        <w:tc>
          <w:tcPr>
            <w:tcW w:w="0" w:type="auto"/>
            <w:noWrap/>
            <w:hideMark/>
          </w:tcPr>
          <w:p w14:paraId="50605F20" w14:textId="77777777" w:rsidR="002F7669" w:rsidRDefault="002F7669" w:rsidP="008A6BDD">
            <w:pPr>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7.0%</w:t>
            </w:r>
          </w:p>
        </w:tc>
        <w:tc>
          <w:tcPr>
            <w:tcW w:w="1244" w:type="dxa"/>
            <w:noWrap/>
            <w:hideMark/>
          </w:tcPr>
          <w:p w14:paraId="1C2E1F8D" w14:textId="77777777" w:rsidR="002F7669" w:rsidRDefault="002F7669" w:rsidP="008A6BDD">
            <w:pPr>
              <w:keepLines/>
              <w:spacing w:before="0"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21.5%</w:t>
            </w:r>
          </w:p>
        </w:tc>
      </w:tr>
    </w:tbl>
    <w:p w14:paraId="02F37500" w14:textId="59FF7B21" w:rsidR="00273CE0" w:rsidRDefault="002F7669" w:rsidP="00273CE0">
      <w:r w:rsidDel="002D70BF">
        <w:rPr>
          <w:noProof/>
        </w:rPr>
        <w:t xml:space="preserve"> </w:t>
      </w:r>
    </w:p>
    <w:p w14:paraId="26CCCBE9" w14:textId="4E119459" w:rsidR="00AB74AD" w:rsidRDefault="00AB74AD">
      <w:pPr>
        <w:pStyle w:val="Heading2"/>
      </w:pPr>
      <w:bookmarkStart w:id="43" w:name="_Toc514055046"/>
      <w:r>
        <w:t xml:space="preserve">CO2 Monetized and </w:t>
      </w:r>
      <w:r w:rsidR="00DD6B5D">
        <w:t>GHG Adder</w:t>
      </w:r>
      <w:r>
        <w:t xml:space="preserve"> Values</w:t>
      </w:r>
      <w:bookmarkEnd w:id="43"/>
    </w:p>
    <w:p w14:paraId="1D98A87C" w14:textId="2849C3F1" w:rsidR="00115F87" w:rsidRDefault="008B5C2F" w:rsidP="00B76B06">
      <w:pPr>
        <w:pStyle w:val="Heading3"/>
      </w:pPr>
      <w:bookmarkStart w:id="44" w:name="_Toc514055047"/>
      <w:r>
        <w:t>Monetized Carbon (</w:t>
      </w:r>
      <w:r w:rsidR="00FD431B">
        <w:t>cap and trade</w:t>
      </w:r>
      <w:r>
        <w:t>)</w:t>
      </w:r>
      <w:bookmarkEnd w:id="44"/>
    </w:p>
    <w:p w14:paraId="4AC04457" w14:textId="373BED4E" w:rsidR="00115F87" w:rsidRDefault="008B5C2F" w:rsidP="005F5AE5">
      <w:r>
        <w:t xml:space="preserve">The monetized cost of carbon represents the </w:t>
      </w:r>
      <w:r w:rsidR="00DD6B5D">
        <w:t xml:space="preserve">cap and trade allowance </w:t>
      </w:r>
      <w:r>
        <w:t>cost that the utility must pay to purchase or generate fossil energy. While this value is currently embedded in energy prices in the CAISO market, we separate this value for avoided cost purposes</w:t>
      </w:r>
      <w:r w:rsidR="007908A9">
        <w:rPr>
          <w:rStyle w:val="FootnoteReference"/>
        </w:rPr>
        <w:footnoteReference w:id="11"/>
      </w:r>
      <w:r>
        <w:t xml:space="preserve">. This component </w:t>
      </w:r>
      <w:r w:rsidR="00A701FB">
        <w:t xml:space="preserve">has been updated to use the </w:t>
      </w:r>
      <w:r w:rsidR="00E22D58">
        <w:t xml:space="preserve">Revised 2017 </w:t>
      </w:r>
      <w:r w:rsidR="00A701FB">
        <w:t xml:space="preserve">IEPR Mid-Case forecast values.  The IEPR forecast extends to </w:t>
      </w:r>
      <w:r w:rsidR="7F0F2521">
        <w:t>2030</w:t>
      </w:r>
      <w:r w:rsidR="00A701FB">
        <w:t>.  For later years, the forecast is extrapolated using a linear trend of the values in the final five years of the IEPR forecast.</w:t>
      </w:r>
      <w:r w:rsidR="00115F87">
        <w:t xml:space="preserve">  </w:t>
      </w:r>
      <w:r w:rsidR="00A701FB">
        <w:t xml:space="preserve">  </w:t>
      </w:r>
      <w:r w:rsidR="00115F87">
        <w:fldChar w:fldCharType="begin"/>
      </w:r>
      <w:r w:rsidR="00115F87">
        <w:instrText xml:space="preserve"> REF _Ref278722571 \h </w:instrText>
      </w:r>
      <w:r w:rsidR="005F5AE5">
        <w:instrText xml:space="preserve"> \* MERGEFORMAT </w:instrText>
      </w:r>
      <w:r w:rsidR="00115F87">
        <w:fldChar w:fldCharType="separate"/>
      </w:r>
      <w:r w:rsidR="00FD431B" w:rsidRPr="28586219">
        <w:t xml:space="preserve">Figure </w:t>
      </w:r>
      <w:r w:rsidR="00FD431B">
        <w:rPr>
          <w:noProof/>
        </w:rPr>
        <w:t>19</w:t>
      </w:r>
      <w:r w:rsidR="00115F87">
        <w:fldChar w:fldCharType="end"/>
      </w:r>
      <w:r w:rsidR="00115F87">
        <w:t xml:space="preserve"> shows the </w:t>
      </w:r>
      <w:r w:rsidR="00A701FB">
        <w:t xml:space="preserve">updated CO2 </w:t>
      </w:r>
      <w:r w:rsidR="00115F87">
        <w:t>price forecasts.</w:t>
      </w:r>
      <w:r w:rsidR="00B95560">
        <w:t xml:space="preserve">  </w:t>
      </w:r>
      <w:r w:rsidR="00B95560">
        <w:lastRenderedPageBreak/>
        <w:t xml:space="preserve">The blue line is the IEPR forecast </w:t>
      </w:r>
      <w:r w:rsidR="002C21CE">
        <w:t>series</w:t>
      </w:r>
      <w:r w:rsidR="00B95560">
        <w:t xml:space="preserve"> that is embedded in the market price.  The dashed gold line is the </w:t>
      </w:r>
      <w:r w:rsidR="00F5344B">
        <w:t>total GHG adder plu</w:t>
      </w:r>
      <w:r w:rsidR="007908A9">
        <w:t>s</w:t>
      </w:r>
      <w:r w:rsidR="00F5344B">
        <w:t xml:space="preserve"> cap and trade allowance</w:t>
      </w:r>
      <w:r w:rsidR="00B95560">
        <w:t xml:space="preserve"> </w:t>
      </w:r>
      <w:r w:rsidR="00327390">
        <w:t xml:space="preserve">cost of CO2.  The difference between the two series is included as </w:t>
      </w:r>
      <w:r w:rsidR="007908A9">
        <w:t xml:space="preserve">the GHG </w:t>
      </w:r>
      <w:r w:rsidR="001E0B11">
        <w:t>adder for CO2.</w:t>
      </w:r>
    </w:p>
    <w:p w14:paraId="4D0A9B6A" w14:textId="536D4EF5" w:rsidR="00115F87" w:rsidRDefault="00115F87" w:rsidP="00087461">
      <w:pPr>
        <w:pStyle w:val="Caption"/>
      </w:pPr>
      <w:bookmarkStart w:id="45" w:name="_Ref278722571"/>
      <w:r w:rsidRPr="28586219">
        <w:t xml:space="preserve">Figure </w:t>
      </w:r>
      <w:r w:rsidR="00813981" w:rsidRPr="008A6BDD">
        <w:fldChar w:fldCharType="begin"/>
      </w:r>
      <w:r w:rsidR="00813981">
        <w:instrText xml:space="preserve"> SEQ Figure \* ARABIC </w:instrText>
      </w:r>
      <w:r w:rsidR="00813981" w:rsidRPr="008A6BDD">
        <w:fldChar w:fldCharType="separate"/>
      </w:r>
      <w:r w:rsidR="00FD431B">
        <w:rPr>
          <w:noProof/>
        </w:rPr>
        <w:t>19</w:t>
      </w:r>
      <w:r w:rsidR="00813981" w:rsidRPr="008A6BDD">
        <w:fldChar w:fldCharType="end"/>
      </w:r>
      <w:bookmarkEnd w:id="45"/>
      <w:r w:rsidRPr="28586219">
        <w:t xml:space="preserve">. The CO2 </w:t>
      </w:r>
      <w:r w:rsidR="00DD6B5D">
        <w:t xml:space="preserve">cap and trade </w:t>
      </w:r>
      <w:r w:rsidRPr="28586219">
        <w:t xml:space="preserve">price series </w:t>
      </w:r>
    </w:p>
    <w:p w14:paraId="16E56FE8" w14:textId="13EB2027" w:rsidR="2528ADE2" w:rsidRDefault="007908A9">
      <w:r>
        <w:rPr>
          <w:noProof/>
        </w:rPr>
        <w:drawing>
          <wp:inline distT="0" distB="0" distL="0" distR="0" wp14:anchorId="1F9626D3" wp14:editId="5D189A7A">
            <wp:extent cx="4578350" cy="2755900"/>
            <wp:effectExtent l="0" t="0" r="0" b="6350"/>
            <wp:docPr id="1321859151" name="Picture 132185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6193B78" w14:textId="5836504E" w:rsidR="00953720" w:rsidRDefault="00115F87" w:rsidP="000145D0">
      <w:r>
        <w:t xml:space="preserve">The marginal rate of carbon emissions </w:t>
      </w:r>
      <w:r w:rsidR="005F5AE5">
        <w:t xml:space="preserve">is calculated </w:t>
      </w:r>
      <w:r w:rsidR="001A48A4">
        <w:t xml:space="preserve">using </w:t>
      </w:r>
      <w:r w:rsidR="00953720">
        <w:t xml:space="preserve">a slight modification to the prior avoided cost model method.  </w:t>
      </w:r>
      <w:r>
        <w:t>Assuming that natural gas is the marginal fuel in all hours, the hourly emissions rate of the marginal generator is calculated based on the day-ahead market price curve</w:t>
      </w:r>
      <w:r w:rsidR="00953720">
        <w:t xml:space="preserve"> (with the assumption that the price curve also includes the cost of CO2)</w:t>
      </w:r>
      <w:r w:rsidRPr="25ED4B98">
        <w:t xml:space="preserve">.  </w:t>
      </w:r>
    </w:p>
    <w:p w14:paraId="2F0E0B74" w14:textId="6797E151" w:rsidR="00953720" w:rsidRDefault="00953720" w:rsidP="008A6BDD">
      <w:pPr>
        <w:ind w:left="720"/>
      </w:pPr>
      <w:proofErr w:type="spellStart"/>
      <w:r w:rsidRPr="7A3095AD">
        <w:t>HeatRate</w:t>
      </w:r>
      <w:proofErr w:type="spellEnd"/>
      <w:r w:rsidRPr="7A3095AD">
        <w:t xml:space="preserve">[h] = (MP[h] </w:t>
      </w:r>
      <w:r w:rsidRPr="25ED4B98">
        <w:t>–</w:t>
      </w:r>
      <w:r w:rsidRPr="7A3095AD">
        <w:t xml:space="preserve"> VOM) / (</w:t>
      </w:r>
      <w:proofErr w:type="spellStart"/>
      <w:r w:rsidRPr="7A3095AD">
        <w:t>GasPrice</w:t>
      </w:r>
      <w:proofErr w:type="spellEnd"/>
      <w:r w:rsidRPr="7A3095AD">
        <w:t xml:space="preserve"> + EF * CO2Cost)</w:t>
      </w:r>
    </w:p>
    <w:p w14:paraId="48ABC68E" w14:textId="5681EAEE" w:rsidR="00953720" w:rsidRDefault="00953720" w:rsidP="008A6BDD">
      <w:pPr>
        <w:pStyle w:val="NoSpacing"/>
      </w:pPr>
      <w:r>
        <w:t>Where</w:t>
      </w:r>
    </w:p>
    <w:p w14:paraId="3B98FCD6" w14:textId="4D53A718" w:rsidR="00953720" w:rsidRDefault="00953720" w:rsidP="008A6BDD">
      <w:pPr>
        <w:pStyle w:val="NoSpacing"/>
        <w:ind w:left="720"/>
      </w:pPr>
      <w:r>
        <w:t>MP is the hourly market price of energy (including cap and trade costs)</w:t>
      </w:r>
    </w:p>
    <w:p w14:paraId="1D3E32D7" w14:textId="2A3D209D" w:rsidR="00953720" w:rsidRDefault="00A05C18" w:rsidP="008A6BDD">
      <w:pPr>
        <w:pStyle w:val="NoSpacing"/>
        <w:ind w:left="720"/>
      </w:pPr>
      <w:r>
        <w:t>VOM is the variable O&amp;M cost for a natural gas plant</w:t>
      </w:r>
    </w:p>
    <w:p w14:paraId="0619012E" w14:textId="1ED1F94E" w:rsidR="00A05C18" w:rsidRDefault="00A05C18" w:rsidP="008A6BDD">
      <w:pPr>
        <w:pStyle w:val="NoSpacing"/>
        <w:ind w:left="720"/>
      </w:pPr>
      <w:proofErr w:type="spellStart"/>
      <w:r>
        <w:t>GasPrice</w:t>
      </w:r>
      <w:proofErr w:type="spellEnd"/>
      <w:r>
        <w:t xml:space="preserve"> is the cost of natural gas delivered to an electric generator</w:t>
      </w:r>
    </w:p>
    <w:p w14:paraId="7855D609" w14:textId="75BEA758" w:rsidR="00A05C18" w:rsidRDefault="00A05C18" w:rsidP="008A6BDD">
      <w:pPr>
        <w:pStyle w:val="NoSpacing"/>
        <w:ind w:left="720"/>
      </w:pPr>
      <w:r>
        <w:t>CO2Cost is the $/ton cost of CO2</w:t>
      </w:r>
    </w:p>
    <w:p w14:paraId="2E26CA77" w14:textId="283B5896" w:rsidR="00A05C18" w:rsidRDefault="00A05C18" w:rsidP="008A6BDD">
      <w:pPr>
        <w:pStyle w:val="NoSpacing"/>
        <w:ind w:left="720"/>
      </w:pPr>
      <w:r>
        <w:t>EF is the emission factor for tons of CO2 per MMBTU of natural gas</w:t>
      </w:r>
    </w:p>
    <w:p w14:paraId="7775DB92" w14:textId="70F93D6F" w:rsidR="00115F87" w:rsidRDefault="00115F87" w:rsidP="000145D0">
      <w:r>
        <w:t xml:space="preserve">The link between higher market prices and higher emissions rates is intuitive: higher market prices enable lower-efficiency generators to operate, resulting in increased rates of emissions at the margin.  Of course, this relationship holds for a reasonable range of prices but breaks </w:t>
      </w:r>
      <w:r>
        <w:lastRenderedPageBreak/>
        <w:t>down when prices are extremely high or low.  For this reason, the avoided cost methodology bounds the maximum and minimum emissions rates based on the range of heat rates of gas turbine technologies.  The maximum and minimum emissions rates are bounded by a range of heat rates for proxy natural gas plants shown in</w:t>
      </w:r>
      <w:r w:rsidR="00A05C18">
        <w:t xml:space="preserve"> </w:t>
      </w:r>
      <w:r w:rsidR="00A05C18">
        <w:fldChar w:fldCharType="begin"/>
      </w:r>
      <w:r w:rsidR="00A05C18">
        <w:instrText xml:space="preserve"> REF _Ref273368045 \h </w:instrText>
      </w:r>
      <w:r w:rsidR="00A05C18">
        <w:fldChar w:fldCharType="separate"/>
      </w:r>
      <w:r w:rsidR="00FD431B">
        <w:t xml:space="preserve">Table </w:t>
      </w:r>
      <w:r w:rsidR="00FD431B">
        <w:rPr>
          <w:noProof/>
        </w:rPr>
        <w:t>8</w:t>
      </w:r>
      <w:r w:rsidR="00A05C18">
        <w:fldChar w:fldCharType="end"/>
      </w:r>
      <w:r>
        <w:t xml:space="preserve">; the hourly emissions rates derived from this process are shown in </w:t>
      </w:r>
      <w:r>
        <w:fldChar w:fldCharType="begin"/>
      </w:r>
      <w:r>
        <w:instrText xml:space="preserve"> REF _Ref277250352 \h </w:instrText>
      </w:r>
      <w:r>
        <w:fldChar w:fldCharType="separate"/>
      </w:r>
      <w:r w:rsidR="00FD431B" w:rsidRPr="48352AEA">
        <w:t xml:space="preserve">Figure </w:t>
      </w:r>
      <w:r w:rsidR="00FD431B">
        <w:rPr>
          <w:noProof/>
        </w:rPr>
        <w:t>20</w:t>
      </w:r>
      <w:r>
        <w:fldChar w:fldCharType="end"/>
      </w:r>
      <w:r>
        <w:t>.</w:t>
      </w:r>
      <w:r w:rsidR="0033103F">
        <w:t xml:space="preserve">  The emission rate bounds are unchanged from the prior avoided cost model.</w:t>
      </w:r>
    </w:p>
    <w:p w14:paraId="7F756752" w14:textId="3B897235" w:rsidR="00115F87" w:rsidRDefault="00115F87" w:rsidP="00087461">
      <w:pPr>
        <w:pStyle w:val="Caption"/>
      </w:pPr>
      <w:bookmarkStart w:id="46" w:name="_Ref273368045"/>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8</w:t>
      </w:r>
      <w:r w:rsidR="00813981" w:rsidRPr="008A6BDD">
        <w:fldChar w:fldCharType="end"/>
      </w:r>
      <w:bookmarkEnd w:id="46"/>
      <w:r>
        <w:t>. Bounds on electric sector carbon emissions.</w:t>
      </w:r>
    </w:p>
    <w:tbl>
      <w:tblPr>
        <w:tblStyle w:val="ListTable3-Accent11"/>
        <w:tblW w:w="0" w:type="auto"/>
        <w:tblLook w:val="04A0" w:firstRow="1" w:lastRow="0" w:firstColumn="1" w:lastColumn="0" w:noHBand="0" w:noVBand="1"/>
      </w:tblPr>
      <w:tblGrid>
        <w:gridCol w:w="2771"/>
        <w:gridCol w:w="2606"/>
        <w:gridCol w:w="2646"/>
      </w:tblGrid>
      <w:tr w:rsidR="00115F87" w:rsidRPr="00D05611" w14:paraId="3FA0304C"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609BB96" w14:textId="77777777" w:rsidR="00115F87" w:rsidRPr="008A6BDD" w:rsidRDefault="00115F87" w:rsidP="008A6BDD">
            <w:pPr>
              <w:spacing w:before="0" w:after="0" w:line="240" w:lineRule="auto"/>
              <w:rPr>
                <w:sz w:val="22"/>
              </w:rPr>
            </w:pPr>
          </w:p>
        </w:tc>
        <w:tc>
          <w:tcPr>
            <w:tcW w:w="0" w:type="auto"/>
          </w:tcPr>
          <w:p w14:paraId="4E6E3AA4" w14:textId="77777777" w:rsidR="00115F87" w:rsidRPr="008A6BDD" w:rsidRDefault="00115F87" w:rsidP="008A6B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A6BDD">
              <w:rPr>
                <w:sz w:val="22"/>
                <w:szCs w:val="22"/>
              </w:rPr>
              <w:t>Proxy Low Efficiency Plant</w:t>
            </w:r>
          </w:p>
        </w:tc>
        <w:tc>
          <w:tcPr>
            <w:tcW w:w="0" w:type="auto"/>
          </w:tcPr>
          <w:p w14:paraId="75CC748D" w14:textId="77777777" w:rsidR="00115F87" w:rsidRPr="008A6BDD" w:rsidRDefault="00115F87" w:rsidP="008A6BD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8A6BDD">
              <w:rPr>
                <w:sz w:val="22"/>
                <w:szCs w:val="22"/>
              </w:rPr>
              <w:t>Proxy High Efficiency Plant</w:t>
            </w:r>
          </w:p>
        </w:tc>
      </w:tr>
      <w:tr w:rsidR="00115F87" w:rsidRPr="00D05611" w14:paraId="605AE9D5" w14:textId="77777777" w:rsidTr="008A6BD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tcPr>
          <w:p w14:paraId="7F699CD0" w14:textId="77777777" w:rsidR="00115F87" w:rsidRPr="008A6BDD" w:rsidRDefault="00115F87" w:rsidP="008A6BDD">
            <w:pPr>
              <w:spacing w:before="0" w:after="0" w:line="240" w:lineRule="auto"/>
              <w:rPr>
                <w:sz w:val="22"/>
              </w:rPr>
            </w:pPr>
            <w:r w:rsidRPr="008A6BDD">
              <w:rPr>
                <w:sz w:val="22"/>
                <w:szCs w:val="22"/>
              </w:rPr>
              <w:t>Heat Rate (Btu/kWh)</w:t>
            </w:r>
          </w:p>
        </w:tc>
        <w:tc>
          <w:tcPr>
            <w:tcW w:w="0" w:type="auto"/>
          </w:tcPr>
          <w:p w14:paraId="11B1C32A" w14:textId="77777777" w:rsidR="00115F87" w:rsidRPr="008A6BDD" w:rsidRDefault="00115F87" w:rsidP="008A6B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A6BDD">
              <w:rPr>
                <w:sz w:val="22"/>
                <w:szCs w:val="22"/>
              </w:rPr>
              <w:t>12,500</w:t>
            </w:r>
          </w:p>
        </w:tc>
        <w:tc>
          <w:tcPr>
            <w:tcW w:w="0" w:type="auto"/>
          </w:tcPr>
          <w:p w14:paraId="6B98CF70" w14:textId="77777777" w:rsidR="00115F87" w:rsidRPr="008A6BDD" w:rsidRDefault="00115F87" w:rsidP="008A6B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8A6BDD">
              <w:rPr>
                <w:sz w:val="22"/>
                <w:szCs w:val="22"/>
              </w:rPr>
              <w:t>6,900</w:t>
            </w:r>
          </w:p>
        </w:tc>
      </w:tr>
      <w:tr w:rsidR="00115F87" w:rsidRPr="00D05611" w14:paraId="7DA29050" w14:textId="77777777" w:rsidTr="008A6BDD">
        <w:trPr>
          <w:trHeight w:val="368"/>
        </w:trPr>
        <w:tc>
          <w:tcPr>
            <w:cnfStyle w:val="001000000000" w:firstRow="0" w:lastRow="0" w:firstColumn="1" w:lastColumn="0" w:oddVBand="0" w:evenVBand="0" w:oddHBand="0" w:evenHBand="0" w:firstRowFirstColumn="0" w:firstRowLastColumn="0" w:lastRowFirstColumn="0" w:lastRowLastColumn="0"/>
            <w:tcW w:w="0" w:type="auto"/>
          </w:tcPr>
          <w:p w14:paraId="1AC96AD2" w14:textId="77777777" w:rsidR="00115F87" w:rsidRPr="008A6BDD" w:rsidRDefault="00115F87" w:rsidP="008A6BDD">
            <w:pPr>
              <w:spacing w:before="0" w:after="0" w:line="240" w:lineRule="auto"/>
              <w:rPr>
                <w:sz w:val="22"/>
              </w:rPr>
            </w:pPr>
            <w:r w:rsidRPr="008A6BDD">
              <w:rPr>
                <w:sz w:val="22"/>
                <w:szCs w:val="22"/>
              </w:rPr>
              <w:t>Emissions Rate (tons/MWh)</w:t>
            </w:r>
          </w:p>
        </w:tc>
        <w:tc>
          <w:tcPr>
            <w:tcW w:w="0" w:type="auto"/>
          </w:tcPr>
          <w:p w14:paraId="3C13B6FB" w14:textId="77777777" w:rsidR="00115F87" w:rsidRPr="008A6BDD" w:rsidRDefault="00115F87" w:rsidP="008A6BD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A6BDD">
              <w:rPr>
                <w:sz w:val="22"/>
              </w:rPr>
              <w:t>0.731</w:t>
            </w:r>
          </w:p>
        </w:tc>
        <w:tc>
          <w:tcPr>
            <w:tcW w:w="0" w:type="auto"/>
          </w:tcPr>
          <w:p w14:paraId="5B5F99F7" w14:textId="77777777" w:rsidR="00115F87" w:rsidRPr="008A6BDD" w:rsidRDefault="00115F87" w:rsidP="008A6BD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2"/>
              </w:rPr>
            </w:pPr>
            <w:r w:rsidRPr="008A6BDD">
              <w:rPr>
                <w:sz w:val="22"/>
              </w:rPr>
              <w:t>0.404</w:t>
            </w:r>
          </w:p>
        </w:tc>
      </w:tr>
    </w:tbl>
    <w:p w14:paraId="6087495E" w14:textId="42F08EC3" w:rsidR="00115F87" w:rsidRPr="00B1567E" w:rsidRDefault="7AED0FB8" w:rsidP="000145D0">
      <w:bookmarkStart w:id="47" w:name="_Toc271574661"/>
      <w:bookmarkStart w:id="48" w:name="_Toc271575310"/>
      <w:r w:rsidRPr="7AED0FB8">
        <w:t xml:space="preserve">Additionally, if the implied heat rate is calculated to be at or below zero, </w:t>
      </w:r>
      <w:r w:rsidR="4B8DB956" w:rsidRPr="7AED0FB8">
        <w:t xml:space="preserve">it is then assumed that the </w:t>
      </w:r>
      <w:r w:rsidR="7ECC5941" w:rsidRPr="7AED0FB8">
        <w:t>system is in a period of overgeneration and therefore the marginal emission factor is correspondingly zero as well</w:t>
      </w:r>
      <w:r w:rsidR="02BCABCC" w:rsidRPr="7AED0FB8">
        <w:t xml:space="preserve">. </w:t>
      </w:r>
      <w:r w:rsidR="00C81396">
        <w:t>The hourly</w:t>
      </w:r>
      <w:r w:rsidR="02BCABCC" w:rsidRPr="7AED0FB8">
        <w:t xml:space="preserve"> </w:t>
      </w:r>
      <w:r w:rsidR="00C81396">
        <w:t xml:space="preserve">marginal </w:t>
      </w:r>
      <w:r w:rsidR="02BCABCC" w:rsidRPr="7AED0FB8">
        <w:t>emission ra</w:t>
      </w:r>
      <w:r w:rsidR="69271397" w:rsidRPr="7AED0FB8">
        <w:t>te</w:t>
      </w:r>
      <w:r w:rsidR="00C81396">
        <w:t xml:space="preserve">s are </w:t>
      </w:r>
      <w:r w:rsidR="69271397" w:rsidRPr="7AED0FB8">
        <w:t>shown below.</w:t>
      </w:r>
    </w:p>
    <w:p w14:paraId="17DFA1BE" w14:textId="2CB22416" w:rsidR="716F2FE0" w:rsidRDefault="716F2FE0"/>
    <w:p w14:paraId="6A85642B" w14:textId="705E1AE7" w:rsidR="716F2FE0" w:rsidRDefault="716F2FE0"/>
    <w:p w14:paraId="4116822D" w14:textId="5EDBBEA8" w:rsidR="003A245B" w:rsidRPr="003A245B" w:rsidRDefault="00115F87" w:rsidP="003A245B">
      <w:pPr>
        <w:pStyle w:val="Caption"/>
        <w:rPr>
          <w:noProof/>
        </w:rPr>
      </w:pPr>
      <w:bookmarkStart w:id="49" w:name="_Ref277250352"/>
      <w:r w:rsidRPr="48352AEA">
        <w:lastRenderedPageBreak/>
        <w:t xml:space="preserve">Figure </w:t>
      </w:r>
      <w:r w:rsidR="00813981" w:rsidRPr="008A6BDD">
        <w:fldChar w:fldCharType="begin"/>
      </w:r>
      <w:r w:rsidR="00813981">
        <w:instrText xml:space="preserve"> SEQ Figure \* ARABIC </w:instrText>
      </w:r>
      <w:r w:rsidR="00813981" w:rsidRPr="008A6BDD">
        <w:fldChar w:fldCharType="separate"/>
      </w:r>
      <w:r w:rsidR="00FD431B">
        <w:rPr>
          <w:noProof/>
        </w:rPr>
        <w:t>20</w:t>
      </w:r>
      <w:r w:rsidR="00813981" w:rsidRPr="008A6BDD">
        <w:fldChar w:fldCharType="end"/>
      </w:r>
      <w:bookmarkEnd w:id="49"/>
      <w:r w:rsidRPr="6F9B0FE0">
        <w:t>.</w:t>
      </w:r>
      <w:r w:rsidRPr="48352AEA">
        <w:rPr>
          <w:noProof/>
        </w:rPr>
        <w:t xml:space="preserve"> Hourly</w:t>
      </w:r>
      <w:r w:rsidR="00C81396">
        <w:rPr>
          <w:noProof/>
        </w:rPr>
        <w:t xml:space="preserve"> marginal</w:t>
      </w:r>
      <w:r w:rsidRPr="48352AEA">
        <w:rPr>
          <w:noProof/>
        </w:rPr>
        <w:t xml:space="preserve"> emissions rates derived from market prices (hourly values shown in descending order)</w:t>
      </w:r>
    </w:p>
    <w:p w14:paraId="09251C2B" w14:textId="21A1AADB" w:rsidR="64E1E670" w:rsidRDefault="004570E9">
      <w:r>
        <w:rPr>
          <w:noProof/>
        </w:rPr>
        <w:drawing>
          <wp:inline distT="0" distB="0" distL="0" distR="0" wp14:anchorId="7EF484D7" wp14:editId="5F40A8C8">
            <wp:extent cx="5657850" cy="2968954"/>
            <wp:effectExtent l="0" t="0" r="0" b="3175"/>
            <wp:docPr id="491430604" name="Picture 49143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022" cy="2974817"/>
                    </a:xfrm>
                    <a:prstGeom prst="rect">
                      <a:avLst/>
                    </a:prstGeom>
                    <a:noFill/>
                  </pic:spPr>
                </pic:pic>
              </a:graphicData>
            </a:graphic>
          </wp:inline>
        </w:drawing>
      </w:r>
    </w:p>
    <w:p w14:paraId="515F47D9" w14:textId="6DA79D37" w:rsidR="00AB74AD" w:rsidRDefault="00CE4649" w:rsidP="00B76B06">
      <w:pPr>
        <w:pStyle w:val="Heading3"/>
      </w:pPr>
      <w:bookmarkStart w:id="50" w:name="_Toc514055048"/>
      <w:r>
        <w:t>GHG Adder</w:t>
      </w:r>
      <w:bookmarkEnd w:id="50"/>
    </w:p>
    <w:p w14:paraId="4F54283F" w14:textId="6EA80334" w:rsidR="00AB74AD" w:rsidRDefault="00AB74AD" w:rsidP="00AB74AD">
      <w:r>
        <w:t xml:space="preserve">CPUC Decision </w:t>
      </w:r>
      <w:r w:rsidR="00A61938">
        <w:t>D.18-</w:t>
      </w:r>
      <w:r w:rsidR="00D63038">
        <w:t xml:space="preserve">02-018 adopted </w:t>
      </w:r>
      <w:r w:rsidR="00FD2C50">
        <w:t>CO2</w:t>
      </w:r>
      <w:r w:rsidR="002C6A66">
        <w:t xml:space="preserve"> costs as reproduced below</w:t>
      </w:r>
      <w:r w:rsidR="00FD2C50">
        <w:t xml:space="preserve"> for the purpose of calculating a greenhouse gas (GHG) adder value</w:t>
      </w:r>
      <w:r w:rsidR="002C6A66">
        <w:t>.  The</w:t>
      </w:r>
      <w:r w:rsidR="00FD2C50">
        <w:t xml:space="preserve"> CPUC adopted</w:t>
      </w:r>
      <w:r w:rsidR="002C6A66">
        <w:t xml:space="preserve"> values are in 201</w:t>
      </w:r>
      <w:r w:rsidR="00FD2C50">
        <w:t>6</w:t>
      </w:r>
      <w:r w:rsidR="002C6A66">
        <w:t xml:space="preserve"> constant dollars</w:t>
      </w:r>
      <w:r w:rsidR="005E212D">
        <w:t>.  Once converted to nominal dollars</w:t>
      </w:r>
      <w:r w:rsidR="007908A9">
        <w:rPr>
          <w:rStyle w:val="FootnoteReference"/>
        </w:rPr>
        <w:footnoteReference w:id="12"/>
      </w:r>
      <w:r w:rsidR="007908A9">
        <w:t xml:space="preserve"> </w:t>
      </w:r>
      <w:r w:rsidR="005E212D">
        <w:t xml:space="preserve">per short ton, the difference between the costs </w:t>
      </w:r>
      <w:r w:rsidR="00FD2C50">
        <w:t xml:space="preserve">in the table </w:t>
      </w:r>
      <w:r w:rsidR="005E212D">
        <w:t>and the CO2</w:t>
      </w:r>
      <w:r w:rsidR="00FD2C50">
        <w:t xml:space="preserve"> monetized</w:t>
      </w:r>
      <w:r w:rsidR="005E212D">
        <w:t xml:space="preserve"> cost embedded in the market prices i</w:t>
      </w:r>
      <w:r w:rsidR="00530B29">
        <w:t xml:space="preserve">s included in the avoided costs as </w:t>
      </w:r>
      <w:r w:rsidR="00FD2C50">
        <w:t>the GHG</w:t>
      </w:r>
      <w:r w:rsidR="00530B29">
        <w:t xml:space="preserve"> adder.</w:t>
      </w:r>
      <w:r w:rsidR="00FD2C50">
        <w:t xml:space="preserve">  (Note that while the table has “GHG Adder” in the title, the values are the total of the cap and trade allowance cost </w:t>
      </w:r>
      <w:r w:rsidR="00BA4A48">
        <w:t>plus</w:t>
      </w:r>
      <w:r w:rsidR="00FD2C50">
        <w:t xml:space="preserve"> the GHG adder as defined in the avoided cost calculator). </w:t>
      </w:r>
    </w:p>
    <w:p w14:paraId="1773A4E4" w14:textId="1A3E7985" w:rsidR="002C6A66" w:rsidRDefault="002C6A66" w:rsidP="00AB74AD">
      <w:r>
        <w:rPr>
          <w:noProof/>
        </w:rPr>
        <w:lastRenderedPageBreak/>
        <w:drawing>
          <wp:inline distT="0" distB="0" distL="0" distR="0" wp14:anchorId="69C8913F" wp14:editId="4E7904FD">
            <wp:extent cx="3905856" cy="3333750"/>
            <wp:effectExtent l="0" t="0" r="0" b="0"/>
            <wp:docPr id="60"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ADC6C-9931-48EC-99F8-D21100D2D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ADC6C-9931-48EC-99F8-D21100D2D819}"/>
                        </a:ext>
                      </a:extLst>
                    </pic:cNvPr>
                    <pic:cNvPicPr>
                      <a:picLocks noChangeAspect="1"/>
                    </pic:cNvPicPr>
                  </pic:nvPicPr>
                  <pic:blipFill>
                    <a:blip r:embed="rId33"/>
                    <a:stretch>
                      <a:fillRect/>
                    </a:stretch>
                  </pic:blipFill>
                  <pic:spPr>
                    <a:xfrm>
                      <a:off x="0" y="0"/>
                      <a:ext cx="3905856" cy="3333750"/>
                    </a:xfrm>
                    <a:prstGeom prst="rect">
                      <a:avLst/>
                    </a:prstGeom>
                  </pic:spPr>
                </pic:pic>
              </a:graphicData>
            </a:graphic>
          </wp:inline>
        </w:drawing>
      </w:r>
    </w:p>
    <w:p w14:paraId="6A98DF9C" w14:textId="6C78ED37" w:rsidR="00AB74AD" w:rsidRDefault="00AB74AD" w:rsidP="00AB74AD">
      <w:pPr>
        <w:pStyle w:val="Caption"/>
      </w:pPr>
      <w:r>
        <w:t xml:space="preserve">Table </w:t>
      </w:r>
      <w:r w:rsidR="00B8765B">
        <w:fldChar w:fldCharType="begin"/>
      </w:r>
      <w:r w:rsidR="00B8765B">
        <w:instrText xml:space="preserve"> SEQ Table</w:instrText>
      </w:r>
      <w:r w:rsidR="00B8765B">
        <w:instrText xml:space="preserve"> \* ARABIC </w:instrText>
      </w:r>
      <w:r w:rsidR="00B8765B">
        <w:fldChar w:fldCharType="separate"/>
      </w:r>
      <w:r w:rsidR="00FD431B">
        <w:rPr>
          <w:noProof/>
        </w:rPr>
        <w:t>9</w:t>
      </w:r>
      <w:r w:rsidR="00B8765B">
        <w:rPr>
          <w:noProof/>
        </w:rPr>
        <w:fldChar w:fldCharType="end"/>
      </w:r>
      <w:r>
        <w:t xml:space="preserve">: </w:t>
      </w:r>
      <w:r w:rsidR="00FD2C50">
        <w:t>GHG Adder and Cap and Trade Allowance Cost</w:t>
      </w:r>
    </w:p>
    <w:p w14:paraId="05C76501" w14:textId="7E25ABF2" w:rsidR="00AB74AD" w:rsidRDefault="00FD2C50" w:rsidP="00AB74AD">
      <w:r w:rsidRPr="00FD2C50">
        <w:rPr>
          <w:noProof/>
        </w:rPr>
        <w:drawing>
          <wp:inline distT="0" distB="0" distL="0" distR="0" wp14:anchorId="1F017A7B" wp14:editId="7CDE7B1B">
            <wp:extent cx="391477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4775" cy="3057525"/>
                    </a:xfrm>
                    <a:prstGeom prst="rect">
                      <a:avLst/>
                    </a:prstGeom>
                    <a:noFill/>
                    <a:ln>
                      <a:noFill/>
                    </a:ln>
                  </pic:spPr>
                </pic:pic>
              </a:graphicData>
            </a:graphic>
          </wp:inline>
        </w:drawing>
      </w:r>
    </w:p>
    <w:p w14:paraId="6E5E8C1B" w14:textId="3D698258" w:rsidR="00AB74AD" w:rsidRDefault="00AB74AD" w:rsidP="00AB74AD">
      <w:r>
        <w:t xml:space="preserve">The next step to calculating the GHG adder is determining the GHG emission rate in each hour. To determine this, we first calculate an implied heat rate (Btu/kWh) in each hour. The implied </w:t>
      </w:r>
      <w:r>
        <w:lastRenderedPageBreak/>
        <w:t>heat rate is calculated by subtracting the cap-and-trade emission value and variable operations and maintenance (O&amp;M) expense of a CCGT from the energy price in each hour and then dividing by the natural gas price. This implied heat rate is then multiplied by the GHG intensity of natural gas (</w:t>
      </w:r>
      <w:proofErr w:type="spellStart"/>
      <w:r>
        <w:t>tonne</w:t>
      </w:r>
      <w:proofErr w:type="spellEnd"/>
      <w:r>
        <w:t xml:space="preserve">/Btu) which yields </w:t>
      </w:r>
      <w:r w:rsidR="00E464C7">
        <w:t>the</w:t>
      </w:r>
      <w:r>
        <w:t xml:space="preserve"> emission factor in </w:t>
      </w:r>
      <w:proofErr w:type="spellStart"/>
      <w:r>
        <w:t>tonne</w:t>
      </w:r>
      <w:proofErr w:type="spellEnd"/>
      <w:r>
        <w:t xml:space="preserve">/kWh. </w:t>
      </w:r>
    </w:p>
    <w:p w14:paraId="3C31E204" w14:textId="13BA4B61" w:rsidR="00AB74AD" w:rsidRDefault="00AB74AD" w:rsidP="00AB74AD">
      <w:r>
        <w:t>Finally, the incremental portion of the GHG adder price ($/</w:t>
      </w:r>
      <w:proofErr w:type="spellStart"/>
      <w:r>
        <w:t>tonne</w:t>
      </w:r>
      <w:proofErr w:type="spellEnd"/>
      <w:r>
        <w:t>) is multiplied by the emission rate (</w:t>
      </w:r>
      <w:proofErr w:type="spellStart"/>
      <w:r>
        <w:t>tonne</w:t>
      </w:r>
      <w:proofErr w:type="spellEnd"/>
      <w:r>
        <w:t xml:space="preserve">/kWh) to yield a final GHG adder value ($/kWh) in each hour. </w:t>
      </w:r>
    </w:p>
    <w:p w14:paraId="7FE15756" w14:textId="77777777" w:rsidR="00AB74AD" w:rsidRDefault="00AB74AD"/>
    <w:p w14:paraId="3401503B" w14:textId="196FAB92" w:rsidR="00115F87" w:rsidRDefault="00115F87">
      <w:pPr>
        <w:pStyle w:val="Heading2"/>
      </w:pPr>
      <w:bookmarkStart w:id="51" w:name="_Toc514055049"/>
      <w:r>
        <w:t xml:space="preserve">Avoided </w:t>
      </w:r>
      <w:bookmarkEnd w:id="47"/>
      <w:bookmarkEnd w:id="48"/>
      <w:r w:rsidR="008B5C2F">
        <w:t>RPS Cost</w:t>
      </w:r>
      <w:bookmarkEnd w:id="51"/>
    </w:p>
    <w:p w14:paraId="316FAD31" w14:textId="758B67B3" w:rsidR="005F5AE5" w:rsidRDefault="008B5C2F" w:rsidP="000145D0">
      <w:r>
        <w:t xml:space="preserve">This component </w:t>
      </w:r>
      <w:r w:rsidR="00115F87">
        <w:t>reflect</w:t>
      </w:r>
      <w:r w:rsidR="00E464C7">
        <w:t>ed</w:t>
      </w:r>
      <w:r w:rsidR="00115F87">
        <w:t xml:space="preserve"> the fact that as energy usage declines, the amount of utility renewable purchases required to meet the RPS goals also declines.  Since the cost of renewable energy is higher than </w:t>
      </w:r>
      <w:r w:rsidR="00CA07A8">
        <w:t xml:space="preserve">the forecasted cost of </w:t>
      </w:r>
      <w:r w:rsidR="00115F87">
        <w:t>wholesale energy and capacity market</w:t>
      </w:r>
      <w:r w:rsidR="00CA07A8">
        <w:t xml:space="preserve"> purchases</w:t>
      </w:r>
      <w:r w:rsidR="00115F87">
        <w:t xml:space="preserve">, energy reductions provide some value above the wholesale energy and capacity markets.  </w:t>
      </w:r>
      <w:r w:rsidR="00E464C7">
        <w:t xml:space="preserve"> </w:t>
      </w:r>
    </w:p>
    <w:p w14:paraId="001642CE" w14:textId="0695C7F8" w:rsidR="00E464C7" w:rsidRDefault="00E464C7" w:rsidP="000145D0">
      <w:r>
        <w:t>With the introduction of the RESOLVE-based GHG adder, the need for CO2 reductions, rather than the need to meet RPS goals</w:t>
      </w:r>
      <w:r w:rsidR="00F0139B">
        <w:t>,</w:t>
      </w:r>
      <w:r>
        <w:t xml:space="preserve"> becomes the binding constraint on the electricity sector.  Renewable levels are expected to exceed the RPS goals in the future, so there is no longer an expected one</w:t>
      </w:r>
      <w:r w:rsidR="00F0139B">
        <w:t>-</w:t>
      </w:r>
      <w:r>
        <w:t>to</w:t>
      </w:r>
      <w:r w:rsidR="00F0139B">
        <w:t>-</w:t>
      </w:r>
      <w:r>
        <w:t xml:space="preserve">one correspondence between usage reductions and renewable energy reductions.  Therefore the </w:t>
      </w:r>
      <w:r w:rsidR="00F0139B">
        <w:t>RPS</w:t>
      </w:r>
      <w:r>
        <w:t xml:space="preserve"> adder is no longer an expected avoided cost benefit of usage reductions, and has been removed.</w:t>
      </w:r>
    </w:p>
    <w:p w14:paraId="246A9EB0" w14:textId="3B252B44" w:rsidR="00273CE0" w:rsidRPr="003173B4" w:rsidRDefault="00170CD9" w:rsidP="00C40E73">
      <w:pPr>
        <w:rPr>
          <w:rStyle w:val="Heading2Char"/>
        </w:rPr>
      </w:pPr>
      <w:bookmarkStart w:id="52" w:name="_Toc271574659"/>
      <w:bookmarkStart w:id="53" w:name="_Toc271575308"/>
      <w:r>
        <w:br w:type="page"/>
      </w:r>
      <w:bookmarkStart w:id="54" w:name="_Toc514055050"/>
      <w:bookmarkEnd w:id="52"/>
      <w:bookmarkEnd w:id="53"/>
      <w:r w:rsidR="00273CE0" w:rsidRPr="003173B4">
        <w:rPr>
          <w:rStyle w:val="Heading2Char"/>
        </w:rPr>
        <w:lastRenderedPageBreak/>
        <w:t>Components Not Included</w:t>
      </w:r>
      <w:bookmarkEnd w:id="54"/>
    </w:p>
    <w:p w14:paraId="29569AC2" w14:textId="77777777" w:rsidR="00F03153" w:rsidRPr="0083579C" w:rsidRDefault="00273CE0" w:rsidP="00C40E73">
      <w:r>
        <w:t>Several components suggested by stakeholders in various proceedings are not currently included in the calculation of avoided costs.  Non-energy Benefits (NEBs), by their nature, are difficult – if not impossible – to quantify.  Work has been done to quantify some of these benefits for low income energy efficiency programs.</w:t>
      </w:r>
      <w:r>
        <w:rPr>
          <w:rStyle w:val="FootnoteReference"/>
        </w:rPr>
        <w:footnoteReference w:id="13"/>
      </w:r>
      <w:r>
        <w:t xml:space="preserve">   NEBs are not, however, currently included in the avoided cost methodology. The CPUC has authorized studies and pilot programs regarding embedded energy in water.  To date a comprehensive framework for calculating embedded energy in water savings or water avoided costs in energy on a statewide basis has not yet been developed.</w:t>
      </w:r>
      <w:r>
        <w:rPr>
          <w:rStyle w:val="FootnoteReference"/>
        </w:rPr>
        <w:footnoteReference w:id="14"/>
      </w:r>
      <w:r w:rsidRPr="25ED4B98">
        <w:t xml:space="preserve"> </w:t>
      </w:r>
      <w:r w:rsidR="00320BF8">
        <w:t xml:space="preserve">Avoided costs of current or future Ancillary Services associated with renewable integration or overgeneration are also not included.  The need for flexible resources to provide services such as load following or ramping capability are driven primarily by the variation in, rather than the absolute level of, loads and generation.  </w:t>
      </w:r>
      <w:r>
        <w:t>Finally the impacts of power factor and reactive loads are not currently included in the avoided cost methodology. An EM&amp;V study for the CPUC Operational Energy Efficiency Program for water pumping produced by E3 found that the value of reduced reactive loads (</w:t>
      </w:r>
      <w:proofErr w:type="spellStart"/>
      <w:r>
        <w:t>kVAR</w:t>
      </w:r>
      <w:proofErr w:type="spellEnd"/>
      <w:r>
        <w:t>) and associated line loss reductions ranged from 5 to 12 percent of the $/kWh avoided cost savings.</w:t>
      </w:r>
      <w:r>
        <w:rPr>
          <w:rStyle w:val="FootnoteReference"/>
        </w:rPr>
        <w:footnoteReference w:id="15"/>
      </w:r>
      <w:r>
        <w:t xml:space="preserve">  However the savings associated with improved power factor and reduced reactive load depend to a large extent on </w:t>
      </w:r>
      <w:r>
        <w:lastRenderedPageBreak/>
        <w:t xml:space="preserve">the type and location of loads on the feeder.  As with embedded energy in water, a generalized framework for a statewide analysis has not yet been performed. </w:t>
      </w:r>
    </w:p>
    <w:p w14:paraId="35AAF834" w14:textId="33272CB7" w:rsidR="009A27D1" w:rsidRPr="001776F0" w:rsidRDefault="009A27D1" w:rsidP="009A27D1">
      <w:pPr>
        <w:spacing w:before="0" w:after="0" w:line="240" w:lineRule="auto"/>
      </w:pPr>
    </w:p>
    <w:p w14:paraId="21839370" w14:textId="4549AFAA" w:rsidR="009A27D1" w:rsidRDefault="009A27D1" w:rsidP="008A6BDD">
      <w:pPr>
        <w:spacing w:before="0" w:after="0" w:line="240" w:lineRule="auto"/>
      </w:pPr>
      <w:r>
        <w:br w:type="page"/>
      </w:r>
    </w:p>
    <w:p w14:paraId="4FBC0195" w14:textId="36E4E147" w:rsidR="00D52504" w:rsidRPr="004701E8" w:rsidRDefault="00D52504" w:rsidP="003E57FE">
      <w:pPr>
        <w:spacing w:before="0" w:after="0" w:line="240" w:lineRule="auto"/>
      </w:pPr>
    </w:p>
    <w:p w14:paraId="76BAAD94" w14:textId="31CBF517" w:rsidR="00D44EEC" w:rsidRDefault="5D565534">
      <w:pPr>
        <w:pStyle w:val="Heading1"/>
      </w:pPr>
      <w:bookmarkStart w:id="55" w:name="_Toc271574666"/>
      <w:bookmarkStart w:id="56" w:name="_Toc271575315"/>
      <w:bookmarkStart w:id="57" w:name="_Toc514055051"/>
      <w:r>
        <w:t xml:space="preserve">Appendix: </w:t>
      </w:r>
      <w:r w:rsidR="00D44EEC">
        <w:t>Key Data Sources and Specific Methodology</w:t>
      </w:r>
      <w:bookmarkEnd w:id="55"/>
      <w:bookmarkEnd w:id="56"/>
      <w:bookmarkEnd w:id="57"/>
    </w:p>
    <w:p w14:paraId="72A1FEF3" w14:textId="77777777" w:rsidR="00D44EEC" w:rsidRDefault="00D44EEC" w:rsidP="00FC5D62">
      <w:r>
        <w:t>This section provides further discussion of data sources and methods used in the calculation of the hourly avoided costs.</w:t>
      </w:r>
    </w:p>
    <w:p w14:paraId="4BBE979A" w14:textId="77777777" w:rsidR="00D44EEC" w:rsidRDefault="00D44EEC" w:rsidP="008A6BDD">
      <w:pPr>
        <w:pStyle w:val="Heading2"/>
      </w:pPr>
      <w:bookmarkStart w:id="58" w:name="_Toc271574668"/>
      <w:bookmarkStart w:id="59" w:name="_Toc271575317"/>
      <w:bookmarkStart w:id="60" w:name="_Toc514055052"/>
      <w:r>
        <w:t>Power plant cost assumptions</w:t>
      </w:r>
      <w:bookmarkEnd w:id="58"/>
      <w:bookmarkEnd w:id="59"/>
      <w:bookmarkEnd w:id="60"/>
    </w:p>
    <w:p w14:paraId="06277964" w14:textId="03EC6949" w:rsidR="002E1DAD" w:rsidRDefault="00B1567E" w:rsidP="00186B05">
      <w:r>
        <w:t>The c</w:t>
      </w:r>
      <w:r w:rsidR="00D44EEC">
        <w:t xml:space="preserve">ost and performance assumptions for the </w:t>
      </w:r>
      <w:r>
        <w:t xml:space="preserve">new </w:t>
      </w:r>
      <w:r w:rsidR="00D44EEC">
        <w:t>simple cycle plants</w:t>
      </w:r>
      <w:r w:rsidR="00DB6435">
        <w:t xml:space="preserve"> and combined cycle plants are from the CPUC 2017 IRP</w:t>
      </w:r>
      <w:r w:rsidR="002E1DAD">
        <w:t xml:space="preserve"> (R.16-02-007)</w:t>
      </w:r>
      <w:r w:rsidR="00DB6435">
        <w:t xml:space="preserve">.  </w:t>
      </w:r>
      <w:r w:rsidR="002E1DAD">
        <w:t xml:space="preserve"> The IRP </w:t>
      </w:r>
      <w:proofErr w:type="spellStart"/>
      <w:r w:rsidR="002E1DAD">
        <w:t>ProForma</w:t>
      </w:r>
      <w:proofErr w:type="spellEnd"/>
      <w:r w:rsidR="002E1DAD">
        <w:t xml:space="preserve"> spreadsheet with the data inputs can be found at </w:t>
      </w:r>
      <w:hyperlink r:id="rId35" w:history="1">
        <w:r w:rsidR="002E1DAD" w:rsidRPr="00C032C2">
          <w:rPr>
            <w:rStyle w:val="Hyperlink"/>
          </w:rPr>
          <w:t>http://cpuc.ca.gov/irp/proposedrsp/</w:t>
        </w:r>
      </w:hyperlink>
    </w:p>
    <w:p w14:paraId="69CADB5D" w14:textId="33689E49" w:rsidR="00D44EEC" w:rsidRDefault="00DB6435" w:rsidP="00186B05">
      <w:r>
        <w:t>Where the IRP does not specify an input variable, the values from the 2017 avoided cost model are retained.  Those retained values are from</w:t>
      </w:r>
      <w:r w:rsidR="00D44EEC">
        <w:t xml:space="preserve"> </w:t>
      </w:r>
      <w:r>
        <w:t xml:space="preserve">the </w:t>
      </w:r>
      <w:r w:rsidR="00D44EEC">
        <w:t>California Energy Com</w:t>
      </w:r>
      <w:r w:rsidR="002F0874">
        <w:t>m</w:t>
      </w:r>
      <w:r w:rsidR="00D44EEC">
        <w:t>iss</w:t>
      </w:r>
      <w:r w:rsidR="00B1567E">
        <w:t>ion’s Cost of Generation report</w:t>
      </w:r>
      <w:r>
        <w:t xml:space="preserve"> (</w:t>
      </w:r>
      <w:r w:rsidRPr="00DB6435">
        <w:t>CEC 2015 Cost of New Renewable and Fossil Generation in California, http://www.energy.ca.gov/2014publications/CEC-200-2014-003/index.htmlTable 8.</w:t>
      </w:r>
      <w:r>
        <w:t>)</w:t>
      </w:r>
    </w:p>
    <w:p w14:paraId="0D2427BA" w14:textId="686DAFE1" w:rsidR="00DB6435" w:rsidRDefault="00DB6435" w:rsidP="00186B05"/>
    <w:p w14:paraId="4E6734D2" w14:textId="7E6A0B6C" w:rsidR="00DB6435" w:rsidRDefault="0048119C" w:rsidP="00F03153">
      <w:pPr>
        <w:pStyle w:val="Caption"/>
      </w:pPr>
      <w:r>
        <w:lastRenderedPageBreak/>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10</w:t>
      </w:r>
      <w:r w:rsidR="00813981" w:rsidRPr="008A6BDD">
        <w:fldChar w:fldCharType="end"/>
      </w:r>
      <w:r w:rsidR="00B1567E" w:rsidRPr="1C3337B9">
        <w:t>.</w:t>
      </w:r>
      <w:r>
        <w:t xml:space="preserve"> Power plant cost and performance </w:t>
      </w:r>
      <w:r w:rsidR="00DB6435">
        <w:t xml:space="preserve">data source </w:t>
      </w:r>
      <w:r w:rsidR="059707EE">
        <w:t xml:space="preserve">for </w:t>
      </w:r>
      <w:r w:rsidR="00DB6435">
        <w:t>new generation</w:t>
      </w:r>
      <w:r w:rsidR="059707EE">
        <w:t xml:space="preserve"> </w:t>
      </w:r>
    </w:p>
    <w:p w14:paraId="79363532" w14:textId="7729893C" w:rsidR="00DB6435" w:rsidRPr="003F52C9" w:rsidRDefault="00DB6435" w:rsidP="00B76B06">
      <w:r>
        <w:rPr>
          <w:b/>
          <w:bCs/>
          <w:noProof/>
        </w:rPr>
        <w:drawing>
          <wp:inline distT="0" distB="0" distL="0" distR="0" wp14:anchorId="1E6DF11A" wp14:editId="6394BC1F">
            <wp:extent cx="5943600" cy="51028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102860"/>
                    </a:xfrm>
                    <a:prstGeom prst="rect">
                      <a:avLst/>
                    </a:prstGeom>
                  </pic:spPr>
                </pic:pic>
              </a:graphicData>
            </a:graphic>
          </wp:inline>
        </w:drawing>
      </w:r>
      <w:r>
        <w:rPr>
          <w:i/>
          <w:iCs/>
          <w:sz w:val="20"/>
          <w:szCs w:val="20"/>
        </w:rPr>
        <w:t xml:space="preserve">Source:  </w:t>
      </w:r>
      <w:proofErr w:type="spellStart"/>
      <w:r>
        <w:rPr>
          <w:i/>
          <w:iCs/>
          <w:sz w:val="20"/>
          <w:szCs w:val="20"/>
        </w:rPr>
        <w:t>RESOLVE_User_Interface</w:t>
      </w:r>
      <w:proofErr w:type="spellEnd"/>
      <w:r>
        <w:rPr>
          <w:i/>
          <w:iCs/>
          <w:sz w:val="20"/>
          <w:szCs w:val="20"/>
        </w:rPr>
        <w:t xml:space="preserve"> 2017-09-07.xlsm, </w:t>
      </w:r>
      <w:proofErr w:type="spellStart"/>
      <w:r>
        <w:rPr>
          <w:i/>
          <w:iCs/>
          <w:sz w:val="20"/>
          <w:szCs w:val="20"/>
        </w:rPr>
        <w:t>COSTS_Resource_Char</w:t>
      </w:r>
      <w:proofErr w:type="spellEnd"/>
      <w:r>
        <w:rPr>
          <w:i/>
          <w:iCs/>
          <w:sz w:val="20"/>
          <w:szCs w:val="20"/>
        </w:rPr>
        <w:t xml:space="preserve"> tab.</w:t>
      </w:r>
      <w:r w:rsidR="002E1DAD">
        <w:rPr>
          <w:i/>
          <w:iCs/>
          <w:sz w:val="20"/>
          <w:szCs w:val="20"/>
        </w:rPr>
        <w:t xml:space="preserve"> </w:t>
      </w:r>
      <w:r w:rsidR="002E1DAD" w:rsidRPr="002E1DAD">
        <w:rPr>
          <w:i/>
          <w:iCs/>
          <w:sz w:val="14"/>
          <w:szCs w:val="20"/>
        </w:rPr>
        <w:t>(</w:t>
      </w:r>
      <w:hyperlink r:id="rId37" w:history="1">
        <w:r w:rsidR="002E1DAD" w:rsidRPr="002E1DAD">
          <w:rPr>
            <w:rStyle w:val="Hyperlink"/>
            <w:sz w:val="18"/>
          </w:rPr>
          <w:t>http://cpuc.ca.gov/irp/proposedrsp/</w:t>
        </w:r>
      </w:hyperlink>
      <w:r w:rsidR="002E1DAD">
        <w:t>)</w:t>
      </w:r>
    </w:p>
    <w:p w14:paraId="68FA140E" w14:textId="63E828BE" w:rsidR="00F03153" w:rsidRDefault="00F03153" w:rsidP="00F03153">
      <w:pPr>
        <w:pStyle w:val="Caption"/>
      </w:pPr>
    </w:p>
    <w:p w14:paraId="37D51EF2" w14:textId="77777777" w:rsidR="00F03153" w:rsidRDefault="00925DA2" w:rsidP="008A6BDD">
      <w:pPr>
        <w:pStyle w:val="Heading2"/>
      </w:pPr>
      <w:bookmarkStart w:id="61" w:name="_Toc514055053"/>
      <w:bookmarkStart w:id="62" w:name="_Toc271574655"/>
      <w:bookmarkStart w:id="63" w:name="_Toc271575304"/>
      <w:r>
        <w:t xml:space="preserve">Generation </w:t>
      </w:r>
      <w:r w:rsidR="00F03153">
        <w:t>Loss Factors</w:t>
      </w:r>
      <w:bookmarkEnd w:id="61"/>
      <w:r w:rsidR="00F03153" w:rsidRPr="0A8740F7">
        <w:t xml:space="preserve"> </w:t>
      </w:r>
    </w:p>
    <w:p w14:paraId="0610F658" w14:textId="77777777" w:rsidR="00F03153" w:rsidRPr="00215903" w:rsidRDefault="00F03153" w:rsidP="00F03153">
      <w:r>
        <w:t xml:space="preserve">The updated avoided costs incorporate loss factors from the DR proceeding.  The capacity loss factors are applied to the capacity avoided costs to reflect the fact that </w:t>
      </w:r>
      <w:r w:rsidR="009B1072">
        <w:t>dispatched generation capacity is greater than metered loads</w:t>
      </w:r>
      <w:r>
        <w:t xml:space="preserve"> because of losses.  The </w:t>
      </w:r>
      <w:r w:rsidR="009B1072">
        <w:t xml:space="preserve">adjustments assume that the </w:t>
      </w:r>
      <w:r w:rsidR="009B1072">
        <w:lastRenderedPageBreak/>
        <w:t>metered load is at the</w:t>
      </w:r>
      <w:r>
        <w:t xml:space="preserve"> secondary voltage level.  The loss factors are representative of average peak losses, not incremental losses.  </w:t>
      </w:r>
    </w:p>
    <w:p w14:paraId="53C74BEF" w14:textId="4E73A798" w:rsidR="00F03153" w:rsidRDefault="00F03153" w:rsidP="00F03153">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11</w:t>
      </w:r>
      <w:r w:rsidR="00813981" w:rsidRPr="008A6BDD">
        <w:fldChar w:fldCharType="end"/>
      </w:r>
      <w:r>
        <w:t xml:space="preserve">:  </w:t>
      </w:r>
      <w:r w:rsidR="009B1072">
        <w:t>Generation c</w:t>
      </w:r>
      <w:r>
        <w:t>apacity loss factors</w:t>
      </w:r>
    </w:p>
    <w:tbl>
      <w:tblPr>
        <w:tblStyle w:val="ListTable3-Accent11"/>
        <w:tblW w:w="0" w:type="auto"/>
        <w:tblLook w:val="04A0" w:firstRow="1" w:lastRow="0" w:firstColumn="1" w:lastColumn="0" w:noHBand="0" w:noVBand="1"/>
      </w:tblPr>
      <w:tblGrid>
        <w:gridCol w:w="2270"/>
        <w:gridCol w:w="783"/>
        <w:gridCol w:w="764"/>
        <w:gridCol w:w="920"/>
      </w:tblGrid>
      <w:tr w:rsidR="00F03153" w:rsidRPr="00856BC0" w14:paraId="464BDA72" w14:textId="77777777" w:rsidTr="001560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B8F1FC" w14:textId="77777777" w:rsidR="00F03153" w:rsidRPr="0034779F" w:rsidRDefault="00F03153" w:rsidP="00A14622">
            <w:pPr>
              <w:spacing w:before="0" w:after="0" w:line="240" w:lineRule="auto"/>
            </w:pPr>
          </w:p>
        </w:tc>
        <w:tc>
          <w:tcPr>
            <w:tcW w:w="0" w:type="auto"/>
          </w:tcPr>
          <w:p w14:paraId="15280214"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PG&amp;E</w:t>
            </w:r>
          </w:p>
        </w:tc>
        <w:tc>
          <w:tcPr>
            <w:tcW w:w="0" w:type="auto"/>
          </w:tcPr>
          <w:p w14:paraId="3AE46F37"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SCE</w:t>
            </w:r>
          </w:p>
        </w:tc>
        <w:tc>
          <w:tcPr>
            <w:tcW w:w="0" w:type="auto"/>
          </w:tcPr>
          <w:p w14:paraId="688B626D" w14:textId="77777777" w:rsidR="00F03153" w:rsidRPr="0034779F" w:rsidRDefault="00F03153" w:rsidP="00156051">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SDG&amp;E</w:t>
            </w:r>
          </w:p>
        </w:tc>
      </w:tr>
      <w:tr w:rsidR="00F03153" w:rsidRPr="00856BC0" w14:paraId="26410575"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082200" w14:textId="77777777" w:rsidR="00F03153" w:rsidRPr="0034779F" w:rsidRDefault="00F03153" w:rsidP="00A14622">
            <w:pPr>
              <w:spacing w:before="0" w:after="0" w:line="240" w:lineRule="auto"/>
            </w:pPr>
            <w:r>
              <w:t>Generation to meter</w:t>
            </w:r>
          </w:p>
        </w:tc>
        <w:tc>
          <w:tcPr>
            <w:tcW w:w="0" w:type="auto"/>
          </w:tcPr>
          <w:p w14:paraId="3E0D4AFE"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1.109</w:t>
            </w:r>
          </w:p>
        </w:tc>
        <w:tc>
          <w:tcPr>
            <w:tcW w:w="0" w:type="auto"/>
          </w:tcPr>
          <w:p w14:paraId="1F02C8D1"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1.084</w:t>
            </w:r>
          </w:p>
        </w:tc>
        <w:tc>
          <w:tcPr>
            <w:tcW w:w="0" w:type="auto"/>
          </w:tcPr>
          <w:p w14:paraId="48DECBE6" w14:textId="77777777" w:rsidR="00F03153" w:rsidRPr="00856BC0" w:rsidRDefault="00F03153" w:rsidP="00156051">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856BC0">
              <w:t>1.081</w:t>
            </w:r>
          </w:p>
        </w:tc>
      </w:tr>
    </w:tbl>
    <w:p w14:paraId="277B173F" w14:textId="77777777" w:rsidR="00F03153" w:rsidRDefault="00F03153" w:rsidP="00F03153">
      <w:pPr>
        <w:pStyle w:val="Caption"/>
      </w:pPr>
      <w:bookmarkStart w:id="64" w:name="_Ref278711682"/>
    </w:p>
    <w:p w14:paraId="38379923" w14:textId="77777777" w:rsidR="00F03153" w:rsidRDefault="00F03153" w:rsidP="00F03153">
      <w:r>
        <w:t xml:space="preserve">The energy loss factors are applied to the electricity energy costs to reflect energy losses down to the customer secondary meter.  The loss factors vary by utility time of user period, and represent average losses in each time period.  </w:t>
      </w:r>
    </w:p>
    <w:p w14:paraId="47FAB7F8" w14:textId="77777777" w:rsidR="00F03153" w:rsidRPr="00527860" w:rsidRDefault="00F03153" w:rsidP="00F03153">
      <w:pPr>
        <w:rPr>
          <w:sz w:val="22"/>
          <w:szCs w:val="22"/>
        </w:rPr>
      </w:pPr>
      <w:r>
        <w:tab/>
      </w:r>
      <w:r w:rsidRPr="00527860">
        <w:rPr>
          <w:sz w:val="22"/>
          <w:szCs w:val="22"/>
        </w:rPr>
        <w:t>Energy Generated[h] = Metered Load[h] * Energy Loss Factor[TOU]</w:t>
      </w:r>
    </w:p>
    <w:p w14:paraId="78708047" w14:textId="77777777" w:rsidR="00F03153" w:rsidRDefault="00F03153" w:rsidP="00F03153">
      <w:pPr>
        <w:rPr>
          <w:sz w:val="22"/>
          <w:szCs w:val="22"/>
        </w:rPr>
      </w:pPr>
      <w:r w:rsidRPr="00527860">
        <w:rPr>
          <w:sz w:val="22"/>
          <w:szCs w:val="22"/>
        </w:rPr>
        <w:tab/>
        <w:t>Cost of Energy Losses = Energy Cost[h] * Metered Load [h] * (Energy Loss Factor[TOU] – 1)</w:t>
      </w:r>
    </w:p>
    <w:p w14:paraId="0EF6262C" w14:textId="77777777" w:rsidR="00F03153" w:rsidRPr="00527860" w:rsidRDefault="00F03153" w:rsidP="00F03153">
      <w:pPr>
        <w:rPr>
          <w:sz w:val="22"/>
          <w:szCs w:val="22"/>
        </w:rPr>
      </w:pPr>
      <w:r>
        <w:rPr>
          <w:sz w:val="22"/>
          <w:szCs w:val="22"/>
        </w:rPr>
        <w:tab/>
        <w:t>where h = hour, TOU = TOU period corresponding to hour h.</w:t>
      </w:r>
    </w:p>
    <w:p w14:paraId="14231B90" w14:textId="3930090E" w:rsidR="00F03153" w:rsidRDefault="00F03153" w:rsidP="00F03153">
      <w:pPr>
        <w:pStyle w:val="Caption"/>
      </w:pPr>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12</w:t>
      </w:r>
      <w:r w:rsidR="00813981" w:rsidRPr="008A6BDD">
        <w:fldChar w:fldCharType="end"/>
      </w:r>
      <w:bookmarkEnd w:id="64"/>
      <w:r>
        <w:t>. Marginal energy loss factors by time-of-use period and utility.</w:t>
      </w:r>
    </w:p>
    <w:tbl>
      <w:tblPr>
        <w:tblStyle w:val="ListTable3-Accent11"/>
        <w:tblW w:w="4040" w:type="pct"/>
        <w:tblLook w:val="00A0" w:firstRow="1" w:lastRow="0" w:firstColumn="1" w:lastColumn="0" w:noHBand="0" w:noVBand="0"/>
      </w:tblPr>
      <w:tblGrid>
        <w:gridCol w:w="2850"/>
        <w:gridCol w:w="1568"/>
        <w:gridCol w:w="1569"/>
        <w:gridCol w:w="1750"/>
      </w:tblGrid>
      <w:tr w:rsidR="00156051" w:rsidRPr="00D05611" w14:paraId="77F080A0" w14:textId="77777777" w:rsidTr="001560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2" w:type="pct"/>
          </w:tcPr>
          <w:p w14:paraId="21E511EC" w14:textId="77777777" w:rsidR="00F03153" w:rsidRPr="0034779F" w:rsidRDefault="00F03153" w:rsidP="00A14622">
            <w:pPr>
              <w:keepNext/>
              <w:keepLines/>
              <w:spacing w:before="0" w:after="0" w:line="240" w:lineRule="auto"/>
            </w:pPr>
            <w:r w:rsidRPr="0034779F">
              <w:t>Time Period</w:t>
            </w:r>
          </w:p>
        </w:tc>
        <w:tc>
          <w:tcPr>
            <w:cnfStyle w:val="000010000000" w:firstRow="0" w:lastRow="0" w:firstColumn="0" w:lastColumn="0" w:oddVBand="1" w:evenVBand="0" w:oddHBand="0" w:evenHBand="0" w:firstRowFirstColumn="0" w:firstRowLastColumn="0" w:lastRowFirstColumn="0" w:lastRowLastColumn="0"/>
            <w:tcW w:w="1013" w:type="pct"/>
          </w:tcPr>
          <w:p w14:paraId="6BED3D75" w14:textId="77777777" w:rsidR="00F03153" w:rsidRPr="0034779F" w:rsidRDefault="00F03153" w:rsidP="008A6BDD">
            <w:pPr>
              <w:keepNext/>
              <w:keepLines/>
              <w:spacing w:before="0" w:after="0" w:line="240" w:lineRule="auto"/>
              <w:jc w:val="center"/>
            </w:pPr>
            <w:r w:rsidRPr="0034779F">
              <w:t>PG&amp;E</w:t>
            </w:r>
          </w:p>
        </w:tc>
        <w:tc>
          <w:tcPr>
            <w:tcW w:w="1014" w:type="pct"/>
          </w:tcPr>
          <w:p w14:paraId="075BB096" w14:textId="77777777" w:rsidR="00F03153" w:rsidRPr="0034779F" w:rsidRDefault="00F03153" w:rsidP="008A6BDD">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34779F">
              <w:t>SCE</w:t>
            </w:r>
          </w:p>
        </w:tc>
        <w:tc>
          <w:tcPr>
            <w:cnfStyle w:val="000010000000" w:firstRow="0" w:lastRow="0" w:firstColumn="0" w:lastColumn="0" w:oddVBand="1" w:evenVBand="0" w:oddHBand="0" w:evenHBand="0" w:firstRowFirstColumn="0" w:firstRowLastColumn="0" w:lastRowFirstColumn="0" w:lastRowLastColumn="0"/>
            <w:tcW w:w="1131" w:type="pct"/>
          </w:tcPr>
          <w:p w14:paraId="6392205D" w14:textId="77777777" w:rsidR="00F03153" w:rsidRPr="0034779F" w:rsidRDefault="00F03153" w:rsidP="008A6BDD">
            <w:pPr>
              <w:keepNext/>
              <w:keepLines/>
              <w:spacing w:before="0" w:after="0" w:line="240" w:lineRule="auto"/>
              <w:jc w:val="center"/>
            </w:pPr>
            <w:r w:rsidRPr="0034779F">
              <w:t>SDG&amp;E</w:t>
            </w:r>
          </w:p>
        </w:tc>
      </w:tr>
      <w:tr w:rsidR="00156051" w:rsidRPr="00D05611" w14:paraId="352DCA9C"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60836918" w14:textId="77777777" w:rsidR="00F03153" w:rsidRPr="0034779F" w:rsidRDefault="00F03153" w:rsidP="00A14622">
            <w:pPr>
              <w:keepNext/>
              <w:keepLines/>
              <w:spacing w:before="0" w:after="0" w:line="240" w:lineRule="auto"/>
            </w:pPr>
            <w:r w:rsidRPr="0034779F">
              <w:t>Summer Peak</w:t>
            </w:r>
          </w:p>
        </w:tc>
        <w:tc>
          <w:tcPr>
            <w:cnfStyle w:val="000010000000" w:firstRow="0" w:lastRow="0" w:firstColumn="0" w:lastColumn="0" w:oddVBand="1" w:evenVBand="0" w:oddHBand="0" w:evenHBand="0" w:firstRowFirstColumn="0" w:firstRowLastColumn="0" w:lastRowFirstColumn="0" w:lastRowLastColumn="0"/>
            <w:tcW w:w="1013" w:type="pct"/>
          </w:tcPr>
          <w:p w14:paraId="2C639802" w14:textId="77777777" w:rsidR="00F03153" w:rsidRPr="00D05611" w:rsidRDefault="00F03153" w:rsidP="008A6BDD">
            <w:pPr>
              <w:keepNext/>
              <w:keepLines/>
              <w:spacing w:before="0" w:after="0" w:line="240" w:lineRule="auto"/>
              <w:jc w:val="center"/>
            </w:pPr>
            <w:r w:rsidRPr="00D05611">
              <w:t>1.109</w:t>
            </w:r>
          </w:p>
        </w:tc>
        <w:tc>
          <w:tcPr>
            <w:tcW w:w="1014" w:type="pct"/>
          </w:tcPr>
          <w:p w14:paraId="03CB59D9"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1.084</w:t>
            </w:r>
          </w:p>
        </w:tc>
        <w:tc>
          <w:tcPr>
            <w:cnfStyle w:val="000010000000" w:firstRow="0" w:lastRow="0" w:firstColumn="0" w:lastColumn="0" w:oddVBand="1" w:evenVBand="0" w:oddHBand="0" w:evenHBand="0" w:firstRowFirstColumn="0" w:firstRowLastColumn="0" w:lastRowFirstColumn="0" w:lastRowLastColumn="0"/>
            <w:tcW w:w="1131" w:type="pct"/>
          </w:tcPr>
          <w:p w14:paraId="2B429A7F" w14:textId="77777777" w:rsidR="00F03153" w:rsidRPr="0034779F" w:rsidRDefault="00F03153" w:rsidP="008A6BDD">
            <w:pPr>
              <w:keepNext/>
              <w:keepLines/>
              <w:spacing w:before="0" w:after="0" w:line="240" w:lineRule="auto"/>
              <w:jc w:val="center"/>
            </w:pPr>
            <w:r w:rsidRPr="0034779F">
              <w:t>1.081</w:t>
            </w:r>
          </w:p>
        </w:tc>
      </w:tr>
      <w:tr w:rsidR="00156051" w:rsidRPr="00D05611" w14:paraId="74722025" w14:textId="77777777" w:rsidTr="00156051">
        <w:tc>
          <w:tcPr>
            <w:cnfStyle w:val="001000000000" w:firstRow="0" w:lastRow="0" w:firstColumn="1" w:lastColumn="0" w:oddVBand="0" w:evenVBand="0" w:oddHBand="0" w:evenHBand="0" w:firstRowFirstColumn="0" w:firstRowLastColumn="0" w:lastRowFirstColumn="0" w:lastRowLastColumn="0"/>
            <w:tcW w:w="1842" w:type="pct"/>
          </w:tcPr>
          <w:p w14:paraId="38C29FA9" w14:textId="77777777" w:rsidR="00F03153" w:rsidRPr="0034779F" w:rsidRDefault="00F03153" w:rsidP="00A14622">
            <w:pPr>
              <w:keepNext/>
              <w:keepLines/>
              <w:spacing w:before="0" w:after="0" w:line="240" w:lineRule="auto"/>
            </w:pPr>
            <w:r w:rsidRPr="0034779F">
              <w:t>Summer Shoulder</w:t>
            </w:r>
          </w:p>
        </w:tc>
        <w:tc>
          <w:tcPr>
            <w:cnfStyle w:val="000010000000" w:firstRow="0" w:lastRow="0" w:firstColumn="0" w:lastColumn="0" w:oddVBand="1" w:evenVBand="0" w:oddHBand="0" w:evenHBand="0" w:firstRowFirstColumn="0" w:firstRowLastColumn="0" w:lastRowFirstColumn="0" w:lastRowLastColumn="0"/>
            <w:tcW w:w="1013" w:type="pct"/>
          </w:tcPr>
          <w:p w14:paraId="1D73D9D5" w14:textId="77777777" w:rsidR="00F03153" w:rsidRPr="00D05611" w:rsidRDefault="00F03153" w:rsidP="008A6BDD">
            <w:pPr>
              <w:keepNext/>
              <w:keepLines/>
              <w:spacing w:before="0" w:after="0" w:line="240" w:lineRule="auto"/>
              <w:jc w:val="center"/>
            </w:pPr>
            <w:r w:rsidRPr="00D05611">
              <w:t>1.073</w:t>
            </w:r>
          </w:p>
        </w:tc>
        <w:tc>
          <w:tcPr>
            <w:tcW w:w="1014" w:type="pct"/>
          </w:tcPr>
          <w:p w14:paraId="00788624" w14:textId="77777777" w:rsidR="00F03153" w:rsidRPr="00D05611"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1.080</w:t>
            </w:r>
          </w:p>
        </w:tc>
        <w:tc>
          <w:tcPr>
            <w:cnfStyle w:val="000010000000" w:firstRow="0" w:lastRow="0" w:firstColumn="0" w:lastColumn="0" w:oddVBand="1" w:evenVBand="0" w:oddHBand="0" w:evenHBand="0" w:firstRowFirstColumn="0" w:firstRowLastColumn="0" w:lastRowFirstColumn="0" w:lastRowLastColumn="0"/>
            <w:tcW w:w="1131" w:type="pct"/>
          </w:tcPr>
          <w:p w14:paraId="2ABECAAD" w14:textId="77777777" w:rsidR="00F03153" w:rsidRPr="0034779F" w:rsidRDefault="00F03153" w:rsidP="008A6BDD">
            <w:pPr>
              <w:keepNext/>
              <w:keepLines/>
              <w:spacing w:before="0" w:after="0" w:line="240" w:lineRule="auto"/>
              <w:jc w:val="center"/>
            </w:pPr>
            <w:r w:rsidRPr="0034779F">
              <w:t>1.077</w:t>
            </w:r>
          </w:p>
        </w:tc>
      </w:tr>
      <w:tr w:rsidR="00156051" w:rsidRPr="00D05611" w14:paraId="561A5FD9"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94813DA" w14:textId="77777777" w:rsidR="00F03153" w:rsidRPr="0034779F" w:rsidRDefault="00F03153" w:rsidP="00A14622">
            <w:pPr>
              <w:keepNext/>
              <w:keepLines/>
              <w:spacing w:before="0" w:after="0" w:line="240" w:lineRule="auto"/>
            </w:pPr>
            <w:r w:rsidRPr="0034779F">
              <w:t>Summer Off-Peak</w:t>
            </w:r>
          </w:p>
        </w:tc>
        <w:tc>
          <w:tcPr>
            <w:cnfStyle w:val="000010000000" w:firstRow="0" w:lastRow="0" w:firstColumn="0" w:lastColumn="0" w:oddVBand="1" w:evenVBand="0" w:oddHBand="0" w:evenHBand="0" w:firstRowFirstColumn="0" w:firstRowLastColumn="0" w:lastRowFirstColumn="0" w:lastRowLastColumn="0"/>
            <w:tcW w:w="1013" w:type="pct"/>
          </w:tcPr>
          <w:p w14:paraId="3D2E83B6" w14:textId="77777777" w:rsidR="00F03153" w:rsidRPr="00D05611" w:rsidRDefault="00F03153" w:rsidP="008A6BDD">
            <w:pPr>
              <w:keepNext/>
              <w:keepLines/>
              <w:spacing w:before="0" w:after="0" w:line="240" w:lineRule="auto"/>
              <w:jc w:val="center"/>
            </w:pPr>
            <w:r w:rsidRPr="00D05611">
              <w:t>1.057</w:t>
            </w:r>
          </w:p>
        </w:tc>
        <w:tc>
          <w:tcPr>
            <w:tcW w:w="1014" w:type="pct"/>
          </w:tcPr>
          <w:p w14:paraId="3C7FBE13"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1.073</w:t>
            </w:r>
          </w:p>
        </w:tc>
        <w:tc>
          <w:tcPr>
            <w:cnfStyle w:val="000010000000" w:firstRow="0" w:lastRow="0" w:firstColumn="0" w:lastColumn="0" w:oddVBand="1" w:evenVBand="0" w:oddHBand="0" w:evenHBand="0" w:firstRowFirstColumn="0" w:firstRowLastColumn="0" w:lastRowFirstColumn="0" w:lastRowLastColumn="0"/>
            <w:tcW w:w="1131" w:type="pct"/>
          </w:tcPr>
          <w:p w14:paraId="0BABBA65" w14:textId="77777777" w:rsidR="00F03153" w:rsidRPr="0034779F" w:rsidRDefault="00F03153" w:rsidP="008A6BDD">
            <w:pPr>
              <w:keepNext/>
              <w:keepLines/>
              <w:spacing w:before="0" w:after="0" w:line="240" w:lineRule="auto"/>
              <w:jc w:val="center"/>
            </w:pPr>
            <w:r w:rsidRPr="0034779F">
              <w:t>1.068</w:t>
            </w:r>
          </w:p>
        </w:tc>
      </w:tr>
      <w:tr w:rsidR="00156051" w:rsidRPr="00D05611" w14:paraId="4C30F633" w14:textId="77777777" w:rsidTr="00156051">
        <w:tc>
          <w:tcPr>
            <w:cnfStyle w:val="001000000000" w:firstRow="0" w:lastRow="0" w:firstColumn="1" w:lastColumn="0" w:oddVBand="0" w:evenVBand="0" w:oddHBand="0" w:evenHBand="0" w:firstRowFirstColumn="0" w:firstRowLastColumn="0" w:lastRowFirstColumn="0" w:lastRowLastColumn="0"/>
            <w:tcW w:w="1842" w:type="pct"/>
          </w:tcPr>
          <w:p w14:paraId="4CDBF9A6" w14:textId="77777777" w:rsidR="00F03153" w:rsidRPr="0034779F" w:rsidRDefault="00F03153" w:rsidP="00A14622">
            <w:pPr>
              <w:keepNext/>
              <w:keepLines/>
              <w:spacing w:before="0" w:after="0" w:line="240" w:lineRule="auto"/>
            </w:pPr>
            <w:r w:rsidRPr="0034779F">
              <w:t>Winter Peak</w:t>
            </w:r>
          </w:p>
        </w:tc>
        <w:tc>
          <w:tcPr>
            <w:cnfStyle w:val="000010000000" w:firstRow="0" w:lastRow="0" w:firstColumn="0" w:lastColumn="0" w:oddVBand="1" w:evenVBand="0" w:oddHBand="0" w:evenHBand="0" w:firstRowFirstColumn="0" w:firstRowLastColumn="0" w:lastRowFirstColumn="0" w:lastRowLastColumn="0"/>
            <w:tcW w:w="1013" w:type="pct"/>
          </w:tcPr>
          <w:p w14:paraId="2E052BC6" w14:textId="77777777" w:rsidR="00F03153" w:rsidRPr="00D05611" w:rsidRDefault="00F03153" w:rsidP="008A6BDD">
            <w:pPr>
              <w:keepNext/>
              <w:keepLines/>
              <w:spacing w:before="0" w:after="0" w:line="240" w:lineRule="auto"/>
              <w:jc w:val="center"/>
            </w:pPr>
            <w:r w:rsidRPr="25ED4B98">
              <w:t>-</w:t>
            </w:r>
          </w:p>
        </w:tc>
        <w:tc>
          <w:tcPr>
            <w:tcW w:w="1014" w:type="pct"/>
          </w:tcPr>
          <w:p w14:paraId="176D15F0" w14:textId="77777777" w:rsidR="00F03153" w:rsidRPr="00D05611"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25ED4B98">
              <w:t>-</w:t>
            </w:r>
          </w:p>
        </w:tc>
        <w:tc>
          <w:tcPr>
            <w:cnfStyle w:val="000010000000" w:firstRow="0" w:lastRow="0" w:firstColumn="0" w:lastColumn="0" w:oddVBand="1" w:evenVBand="0" w:oddHBand="0" w:evenHBand="0" w:firstRowFirstColumn="0" w:firstRowLastColumn="0" w:lastRowFirstColumn="0" w:lastRowLastColumn="0"/>
            <w:tcW w:w="1131" w:type="pct"/>
          </w:tcPr>
          <w:p w14:paraId="4EEF44D8" w14:textId="77777777" w:rsidR="00F03153" w:rsidRPr="0034779F" w:rsidRDefault="00F03153" w:rsidP="008A6BDD">
            <w:pPr>
              <w:keepNext/>
              <w:keepLines/>
              <w:spacing w:before="0" w:after="0" w:line="240" w:lineRule="auto"/>
              <w:jc w:val="center"/>
            </w:pPr>
            <w:r w:rsidRPr="0034779F">
              <w:t>1.083</w:t>
            </w:r>
          </w:p>
        </w:tc>
      </w:tr>
      <w:tr w:rsidR="00156051" w:rsidRPr="00D05611" w14:paraId="559D3DCA" w14:textId="77777777" w:rsidTr="0015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D61D34E" w14:textId="77777777" w:rsidR="00F03153" w:rsidRPr="0034779F" w:rsidRDefault="00F03153" w:rsidP="00A14622">
            <w:pPr>
              <w:keepNext/>
              <w:keepLines/>
              <w:spacing w:before="0" w:after="0" w:line="240" w:lineRule="auto"/>
            </w:pPr>
            <w:r w:rsidRPr="0034779F">
              <w:t>Winter Shoulder</w:t>
            </w:r>
          </w:p>
        </w:tc>
        <w:tc>
          <w:tcPr>
            <w:cnfStyle w:val="000010000000" w:firstRow="0" w:lastRow="0" w:firstColumn="0" w:lastColumn="0" w:oddVBand="1" w:evenVBand="0" w:oddHBand="0" w:evenHBand="0" w:firstRowFirstColumn="0" w:firstRowLastColumn="0" w:lastRowFirstColumn="0" w:lastRowLastColumn="0"/>
            <w:tcW w:w="1013" w:type="pct"/>
          </w:tcPr>
          <w:p w14:paraId="7CF40377" w14:textId="77777777" w:rsidR="00F03153" w:rsidRPr="00D05611" w:rsidRDefault="00F03153" w:rsidP="008A6BDD">
            <w:pPr>
              <w:keepNext/>
              <w:keepLines/>
              <w:spacing w:before="0" w:after="0" w:line="240" w:lineRule="auto"/>
              <w:jc w:val="center"/>
            </w:pPr>
            <w:r w:rsidRPr="00D05611">
              <w:t>1.090</w:t>
            </w:r>
          </w:p>
        </w:tc>
        <w:tc>
          <w:tcPr>
            <w:tcW w:w="1014" w:type="pct"/>
          </w:tcPr>
          <w:p w14:paraId="3835EBE9" w14:textId="77777777" w:rsidR="00F03153" w:rsidRPr="00D05611" w:rsidRDefault="00F03153"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1.077</w:t>
            </w:r>
          </w:p>
        </w:tc>
        <w:tc>
          <w:tcPr>
            <w:cnfStyle w:val="000010000000" w:firstRow="0" w:lastRow="0" w:firstColumn="0" w:lastColumn="0" w:oddVBand="1" w:evenVBand="0" w:oddHBand="0" w:evenHBand="0" w:firstRowFirstColumn="0" w:firstRowLastColumn="0" w:lastRowFirstColumn="0" w:lastRowLastColumn="0"/>
            <w:tcW w:w="1131" w:type="pct"/>
          </w:tcPr>
          <w:p w14:paraId="07A810E8" w14:textId="77777777" w:rsidR="00F03153" w:rsidRPr="0034779F" w:rsidRDefault="00F03153" w:rsidP="008A6BDD">
            <w:pPr>
              <w:keepNext/>
              <w:keepLines/>
              <w:spacing w:before="0" w:after="0" w:line="240" w:lineRule="auto"/>
              <w:jc w:val="center"/>
            </w:pPr>
            <w:r w:rsidRPr="0034779F">
              <w:t>1.076</w:t>
            </w:r>
          </w:p>
        </w:tc>
      </w:tr>
      <w:tr w:rsidR="00156051" w:rsidRPr="00D05611" w14:paraId="0B65190E" w14:textId="77777777" w:rsidTr="00156051">
        <w:tc>
          <w:tcPr>
            <w:cnfStyle w:val="001000000000" w:firstRow="0" w:lastRow="0" w:firstColumn="1" w:lastColumn="0" w:oddVBand="0" w:evenVBand="0" w:oddHBand="0" w:evenHBand="0" w:firstRowFirstColumn="0" w:firstRowLastColumn="0" w:lastRowFirstColumn="0" w:lastRowLastColumn="0"/>
            <w:tcW w:w="1842" w:type="pct"/>
          </w:tcPr>
          <w:p w14:paraId="0C58605A" w14:textId="77777777" w:rsidR="00F03153" w:rsidRPr="0034779F" w:rsidRDefault="00F03153" w:rsidP="00A14622">
            <w:pPr>
              <w:keepNext/>
              <w:keepLines/>
              <w:spacing w:before="0" w:after="0" w:line="240" w:lineRule="auto"/>
            </w:pPr>
            <w:r w:rsidRPr="0034779F">
              <w:t>Winter Off-Peak</w:t>
            </w:r>
          </w:p>
        </w:tc>
        <w:tc>
          <w:tcPr>
            <w:cnfStyle w:val="000010000000" w:firstRow="0" w:lastRow="0" w:firstColumn="0" w:lastColumn="0" w:oddVBand="1" w:evenVBand="0" w:oddHBand="0" w:evenHBand="0" w:firstRowFirstColumn="0" w:firstRowLastColumn="0" w:lastRowFirstColumn="0" w:lastRowLastColumn="0"/>
            <w:tcW w:w="1013" w:type="pct"/>
          </w:tcPr>
          <w:p w14:paraId="35751ABD" w14:textId="77777777" w:rsidR="00F03153" w:rsidRPr="0034779F" w:rsidRDefault="00F03153" w:rsidP="008A6BDD">
            <w:pPr>
              <w:keepNext/>
              <w:keepLines/>
              <w:spacing w:before="0" w:after="0" w:line="240" w:lineRule="auto"/>
              <w:jc w:val="center"/>
            </w:pPr>
            <w:r w:rsidRPr="0034779F">
              <w:t>1.061</w:t>
            </w:r>
          </w:p>
        </w:tc>
        <w:tc>
          <w:tcPr>
            <w:tcW w:w="1014" w:type="pct"/>
          </w:tcPr>
          <w:p w14:paraId="688F876B" w14:textId="77777777" w:rsidR="00F03153" w:rsidRPr="0034779F" w:rsidRDefault="00F03153"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34779F">
              <w:t>1.070</w:t>
            </w:r>
          </w:p>
        </w:tc>
        <w:tc>
          <w:tcPr>
            <w:cnfStyle w:val="000010000000" w:firstRow="0" w:lastRow="0" w:firstColumn="0" w:lastColumn="0" w:oddVBand="1" w:evenVBand="0" w:oddHBand="0" w:evenHBand="0" w:firstRowFirstColumn="0" w:firstRowLastColumn="0" w:lastRowFirstColumn="0" w:lastRowLastColumn="0"/>
            <w:tcW w:w="1131" w:type="pct"/>
          </w:tcPr>
          <w:p w14:paraId="654B0E01" w14:textId="77777777" w:rsidR="00F03153" w:rsidRPr="0034779F" w:rsidRDefault="00F03153" w:rsidP="008A6BDD">
            <w:pPr>
              <w:keepNext/>
              <w:keepLines/>
              <w:spacing w:before="0" w:after="0" w:line="240" w:lineRule="auto"/>
              <w:jc w:val="center"/>
            </w:pPr>
            <w:r w:rsidRPr="0034779F">
              <w:t>1.068</w:t>
            </w:r>
          </w:p>
        </w:tc>
      </w:tr>
      <w:bookmarkEnd w:id="62"/>
      <w:bookmarkEnd w:id="63"/>
    </w:tbl>
    <w:p w14:paraId="407ED5A6" w14:textId="77777777" w:rsidR="00F03153" w:rsidRDefault="00F03153" w:rsidP="00F03153">
      <w:r>
        <w:br w:type="page"/>
      </w:r>
    </w:p>
    <w:p w14:paraId="5CD7178C" w14:textId="77777777" w:rsidR="00B82BCB" w:rsidRDefault="00B82BCB" w:rsidP="008A6BDD">
      <w:pPr>
        <w:pStyle w:val="Heading2"/>
      </w:pPr>
      <w:bookmarkStart w:id="65" w:name="_Toc271574652"/>
      <w:bookmarkStart w:id="66" w:name="_Toc271575301"/>
      <w:bookmarkStart w:id="67" w:name="_Toc514055054"/>
      <w:r>
        <w:lastRenderedPageBreak/>
        <w:t>Climate Zones</w:t>
      </w:r>
      <w:bookmarkEnd w:id="65"/>
      <w:bookmarkEnd w:id="66"/>
      <w:bookmarkEnd w:id="67"/>
      <w:r>
        <w:t xml:space="preserve"> </w:t>
      </w:r>
    </w:p>
    <w:p w14:paraId="42AF3252" w14:textId="6687B44D" w:rsidR="00B82BCB" w:rsidRDefault="00B82BCB" w:rsidP="00FC5D62">
      <w:r>
        <w:t xml:space="preserve">In each hour, the value of electricity delivered to the grid depends on the point of delivery. The DG Cost-effectiveness Framework adopts the sixteen California climate zones defined by the Title 24 building standards in order to differentiate between the value of electricity in different regions in the California.  These climate zones group together areas with similar climates, temperature profiles, and energy use patterns in order to differentiate regions in a manner that captures the effects of weather on energy use. </w:t>
      </w:r>
      <w:r>
        <w:fldChar w:fldCharType="begin"/>
      </w:r>
      <w:r>
        <w:instrText xml:space="preserve"> REF _Ref248224774 \h </w:instrText>
      </w:r>
      <w:r w:rsidR="00FC5D62">
        <w:instrText xml:space="preserve"> \* MERGEFORMAT </w:instrText>
      </w:r>
      <w:r>
        <w:fldChar w:fldCharType="separate"/>
      </w:r>
      <w:r w:rsidR="00FD431B">
        <w:t xml:space="preserve">Figure </w:t>
      </w:r>
      <w:r w:rsidR="00FD431B">
        <w:rPr>
          <w:noProof/>
        </w:rPr>
        <w:t>21</w:t>
      </w:r>
      <w:r>
        <w:fldChar w:fldCharType="end"/>
      </w:r>
      <w:r>
        <w:t xml:space="preserve"> is a map of the climate zones in California.</w:t>
      </w:r>
    </w:p>
    <w:p w14:paraId="562A532C" w14:textId="01224209" w:rsidR="00B82BCB" w:rsidRPr="00B25020" w:rsidRDefault="00B82BCB" w:rsidP="00087461">
      <w:pPr>
        <w:pStyle w:val="Caption"/>
      </w:pPr>
      <w:bookmarkStart w:id="68" w:name="_Ref248224774"/>
      <w:r>
        <w:t xml:space="preserve">Figure </w:t>
      </w:r>
      <w:r w:rsidR="00813981" w:rsidRPr="008A6BDD">
        <w:fldChar w:fldCharType="begin"/>
      </w:r>
      <w:r w:rsidR="00813981">
        <w:instrText xml:space="preserve"> SEQ Figure \* ARABIC </w:instrText>
      </w:r>
      <w:r w:rsidR="00813981" w:rsidRPr="008A6BDD">
        <w:fldChar w:fldCharType="separate"/>
      </w:r>
      <w:r w:rsidR="00FD431B">
        <w:rPr>
          <w:noProof/>
        </w:rPr>
        <w:t>21</w:t>
      </w:r>
      <w:r w:rsidR="00813981" w:rsidRPr="008A6BDD">
        <w:fldChar w:fldCharType="end"/>
      </w:r>
      <w:bookmarkEnd w:id="68"/>
      <w:r>
        <w:t>. California Climate Zones</w:t>
      </w:r>
    </w:p>
    <w:p w14:paraId="30C5A197" w14:textId="4C879CBC" w:rsidR="00B82BCB" w:rsidRDefault="007A19C3" w:rsidP="000145D0">
      <w:pPr>
        <w:pStyle w:val="SeattleBody"/>
      </w:pPr>
      <w:r>
        <w:rPr>
          <w:noProof/>
        </w:rPr>
        <w:drawing>
          <wp:inline distT="0" distB="0" distL="0" distR="0" wp14:anchorId="096CBC94" wp14:editId="602D7FAB">
            <wp:extent cx="3409950" cy="4476750"/>
            <wp:effectExtent l="0" t="0" r="0" b="0"/>
            <wp:docPr id="30" name="Picture 30" descr="map showing climate zones in Ca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 showing climate zones in Cal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4476750"/>
                    </a:xfrm>
                    <a:prstGeom prst="rect">
                      <a:avLst/>
                    </a:prstGeom>
                    <a:noFill/>
                    <a:ln>
                      <a:noFill/>
                    </a:ln>
                  </pic:spPr>
                </pic:pic>
              </a:graphicData>
            </a:graphic>
          </wp:inline>
        </w:drawing>
      </w:r>
    </w:p>
    <w:p w14:paraId="28D4F932" w14:textId="70106A71" w:rsidR="00B82BCB" w:rsidRDefault="00B82BCB" w:rsidP="000145D0">
      <w:r>
        <w:lastRenderedPageBreak/>
        <w:t xml:space="preserve">Each climate zone has a single representative city, which is specified by the California Energy Commission. These cities are listed in </w:t>
      </w:r>
      <w:r>
        <w:fldChar w:fldCharType="begin"/>
      </w:r>
      <w:r>
        <w:instrText xml:space="preserve"> REF _Ref278711631 \h </w:instrText>
      </w:r>
      <w:r>
        <w:fldChar w:fldCharType="separate"/>
      </w:r>
      <w:r w:rsidR="00FD431B">
        <w:t xml:space="preserve">Table </w:t>
      </w:r>
      <w:r w:rsidR="00FD431B">
        <w:rPr>
          <w:noProof/>
        </w:rPr>
        <w:t>13</w:t>
      </w:r>
      <w:r>
        <w:fldChar w:fldCharType="end"/>
      </w:r>
      <w:r>
        <w:t xml:space="preserve">. Hourly avoided costs are calculated for each climate zone.  </w:t>
      </w:r>
    </w:p>
    <w:p w14:paraId="0D68B6C1" w14:textId="77777777" w:rsidR="00B82BCB" w:rsidRDefault="00B82BCB" w:rsidP="000145D0">
      <w:pPr>
        <w:pStyle w:val="SeattleBody"/>
      </w:pPr>
    </w:p>
    <w:p w14:paraId="0537B773" w14:textId="5148F32E" w:rsidR="00B82BCB" w:rsidRDefault="00B82BCB" w:rsidP="00087461">
      <w:pPr>
        <w:pStyle w:val="Caption"/>
      </w:pPr>
      <w:bookmarkStart w:id="69" w:name="_Ref278711631"/>
      <w:r>
        <w:t xml:space="preserve">Table </w:t>
      </w:r>
      <w:r w:rsidR="00813981" w:rsidRPr="008A6BDD">
        <w:fldChar w:fldCharType="begin"/>
      </w:r>
      <w:r w:rsidR="00813981">
        <w:instrText xml:space="preserve"> SEQ Table \* ARABIC </w:instrText>
      </w:r>
      <w:r w:rsidR="00813981" w:rsidRPr="008A6BDD">
        <w:fldChar w:fldCharType="separate"/>
      </w:r>
      <w:r w:rsidR="00FD431B">
        <w:rPr>
          <w:noProof/>
        </w:rPr>
        <w:t>13</w:t>
      </w:r>
      <w:r w:rsidR="00813981" w:rsidRPr="008A6BDD">
        <w:fldChar w:fldCharType="end"/>
      </w:r>
      <w:bookmarkEnd w:id="69"/>
      <w:r>
        <w:t>. Representative cities and utilities for the California climate zones.</w:t>
      </w:r>
    </w:p>
    <w:tbl>
      <w:tblPr>
        <w:tblStyle w:val="ListTable3-Accent11"/>
        <w:tblW w:w="7710" w:type="dxa"/>
        <w:tblLayout w:type="fixed"/>
        <w:tblLook w:val="00A0" w:firstRow="1" w:lastRow="0" w:firstColumn="1" w:lastColumn="0" w:noHBand="0" w:noVBand="0"/>
        <w:tblCaption w:val=""/>
        <w:tblDescription w:val=""/>
      </w:tblPr>
      <w:tblGrid>
        <w:gridCol w:w="2055"/>
        <w:gridCol w:w="3300"/>
        <w:gridCol w:w="2355"/>
      </w:tblGrid>
      <w:tr w:rsidR="00B82BCB" w:rsidRPr="00D05611" w14:paraId="56F8DBB7"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55" w:type="dxa"/>
          </w:tcPr>
          <w:p w14:paraId="45856622" w14:textId="77777777" w:rsidR="00B82BCB" w:rsidRPr="00D05611" w:rsidRDefault="00B82BCB" w:rsidP="008A6BDD">
            <w:pPr>
              <w:keepNext/>
              <w:keepLines/>
              <w:spacing w:before="0" w:after="0" w:line="240" w:lineRule="auto"/>
              <w:jc w:val="center"/>
            </w:pPr>
            <w:r w:rsidRPr="00D05611">
              <w:t>Climate Zone</w:t>
            </w:r>
          </w:p>
        </w:tc>
        <w:tc>
          <w:tcPr>
            <w:cnfStyle w:val="000010000000" w:firstRow="0" w:lastRow="0" w:firstColumn="0" w:lastColumn="0" w:oddVBand="1" w:evenVBand="0" w:oddHBand="0" w:evenHBand="0" w:firstRowFirstColumn="0" w:firstRowLastColumn="0" w:lastRowFirstColumn="0" w:lastRowLastColumn="0"/>
            <w:tcW w:w="3300" w:type="dxa"/>
          </w:tcPr>
          <w:p w14:paraId="29ABF866" w14:textId="77777777" w:rsidR="00B82BCB" w:rsidRPr="00D05611" w:rsidRDefault="00B82BCB" w:rsidP="008A6BDD">
            <w:pPr>
              <w:keepNext/>
              <w:keepLines/>
              <w:spacing w:before="0" w:after="0" w:line="240" w:lineRule="auto"/>
              <w:jc w:val="center"/>
            </w:pPr>
            <w:r w:rsidRPr="00D05611">
              <w:t>Utility Territory</w:t>
            </w:r>
          </w:p>
        </w:tc>
        <w:tc>
          <w:tcPr>
            <w:tcW w:w="2355" w:type="dxa"/>
          </w:tcPr>
          <w:p w14:paraId="456536EC" w14:textId="77777777" w:rsidR="00B82BCB" w:rsidRPr="00D05611" w:rsidRDefault="00B82BCB" w:rsidP="008A6BDD">
            <w:pPr>
              <w:keepNext/>
              <w:keepLines/>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D05611">
              <w:t>Representative City</w:t>
            </w:r>
          </w:p>
        </w:tc>
      </w:tr>
      <w:tr w:rsidR="00B82BCB" w:rsidRPr="00D05611" w14:paraId="22CDCCF8"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2411EF79" w14:textId="77777777" w:rsidR="00B82BCB" w:rsidRPr="00D05611" w:rsidRDefault="00B82BCB" w:rsidP="008A6BDD">
            <w:pPr>
              <w:keepNext/>
              <w:keepLines/>
              <w:spacing w:before="0" w:after="0" w:line="240" w:lineRule="auto"/>
              <w:jc w:val="center"/>
            </w:pPr>
            <w:r w:rsidRPr="00D05611">
              <w:t>CEC Zone 1</w:t>
            </w:r>
          </w:p>
        </w:tc>
        <w:tc>
          <w:tcPr>
            <w:cnfStyle w:val="000010000000" w:firstRow="0" w:lastRow="0" w:firstColumn="0" w:lastColumn="0" w:oddVBand="1" w:evenVBand="0" w:oddHBand="0" w:evenHBand="0" w:firstRowFirstColumn="0" w:firstRowLastColumn="0" w:lastRowFirstColumn="0" w:lastRowLastColumn="0"/>
            <w:tcW w:w="3300" w:type="dxa"/>
          </w:tcPr>
          <w:p w14:paraId="5F1CAF53" w14:textId="77777777" w:rsidR="00B82BCB" w:rsidRPr="00D05611" w:rsidRDefault="00B82BCB" w:rsidP="008A6BDD">
            <w:pPr>
              <w:keepNext/>
              <w:keepLines/>
              <w:spacing w:before="0" w:after="0" w:line="240" w:lineRule="auto"/>
              <w:jc w:val="center"/>
            </w:pPr>
            <w:r w:rsidRPr="00D05611">
              <w:t>PG&amp;E</w:t>
            </w:r>
          </w:p>
        </w:tc>
        <w:tc>
          <w:tcPr>
            <w:tcW w:w="2355" w:type="dxa"/>
          </w:tcPr>
          <w:p w14:paraId="6A7EF019"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Arcata</w:t>
            </w:r>
          </w:p>
        </w:tc>
      </w:tr>
      <w:tr w:rsidR="00B82BCB" w:rsidRPr="00D05611" w14:paraId="6F99B94B"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4C3D106C" w14:textId="77777777" w:rsidR="00B82BCB" w:rsidRPr="00D05611" w:rsidRDefault="00B82BCB" w:rsidP="008A6BDD">
            <w:pPr>
              <w:keepNext/>
              <w:keepLines/>
              <w:spacing w:before="0" w:after="0" w:line="240" w:lineRule="auto"/>
              <w:jc w:val="center"/>
            </w:pPr>
            <w:r w:rsidRPr="00D05611">
              <w:t>CEC Zone 2</w:t>
            </w:r>
          </w:p>
        </w:tc>
        <w:tc>
          <w:tcPr>
            <w:cnfStyle w:val="000010000000" w:firstRow="0" w:lastRow="0" w:firstColumn="0" w:lastColumn="0" w:oddVBand="1" w:evenVBand="0" w:oddHBand="0" w:evenHBand="0" w:firstRowFirstColumn="0" w:firstRowLastColumn="0" w:lastRowFirstColumn="0" w:lastRowLastColumn="0"/>
            <w:tcW w:w="3300" w:type="dxa"/>
          </w:tcPr>
          <w:p w14:paraId="5DABE044" w14:textId="77777777" w:rsidR="00B82BCB" w:rsidRPr="00D05611" w:rsidRDefault="00B82BCB" w:rsidP="008A6BDD">
            <w:pPr>
              <w:keepNext/>
              <w:keepLines/>
              <w:spacing w:before="0" w:after="0" w:line="240" w:lineRule="auto"/>
              <w:jc w:val="center"/>
            </w:pPr>
            <w:r w:rsidRPr="00D05611">
              <w:t>PG&amp;E</w:t>
            </w:r>
          </w:p>
        </w:tc>
        <w:tc>
          <w:tcPr>
            <w:tcW w:w="2355" w:type="dxa"/>
          </w:tcPr>
          <w:p w14:paraId="25C77329"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Santa Rosa</w:t>
            </w:r>
          </w:p>
        </w:tc>
      </w:tr>
      <w:tr w:rsidR="00B82BCB" w:rsidRPr="00D05611" w14:paraId="04A499CE"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7766646F" w14:textId="77777777" w:rsidR="00B82BCB" w:rsidRPr="00D05611" w:rsidRDefault="00B82BCB" w:rsidP="008A6BDD">
            <w:pPr>
              <w:keepNext/>
              <w:keepLines/>
              <w:spacing w:before="0" w:after="0" w:line="240" w:lineRule="auto"/>
              <w:jc w:val="center"/>
            </w:pPr>
            <w:r w:rsidRPr="00D05611">
              <w:t>CEC Zone 3</w:t>
            </w:r>
          </w:p>
        </w:tc>
        <w:tc>
          <w:tcPr>
            <w:cnfStyle w:val="000010000000" w:firstRow="0" w:lastRow="0" w:firstColumn="0" w:lastColumn="0" w:oddVBand="1" w:evenVBand="0" w:oddHBand="0" w:evenHBand="0" w:firstRowFirstColumn="0" w:firstRowLastColumn="0" w:lastRowFirstColumn="0" w:lastRowLastColumn="0"/>
            <w:tcW w:w="3300" w:type="dxa"/>
          </w:tcPr>
          <w:p w14:paraId="2E27EFA2" w14:textId="77777777" w:rsidR="00B82BCB" w:rsidRPr="00D05611" w:rsidRDefault="00B82BCB" w:rsidP="008A6BDD">
            <w:pPr>
              <w:keepNext/>
              <w:keepLines/>
              <w:spacing w:before="0" w:after="0" w:line="240" w:lineRule="auto"/>
              <w:jc w:val="center"/>
            </w:pPr>
            <w:r w:rsidRPr="00D05611">
              <w:t>PG&amp;E</w:t>
            </w:r>
          </w:p>
        </w:tc>
        <w:tc>
          <w:tcPr>
            <w:tcW w:w="2355" w:type="dxa"/>
          </w:tcPr>
          <w:p w14:paraId="4D20F6B0"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Oakland</w:t>
            </w:r>
          </w:p>
        </w:tc>
      </w:tr>
      <w:tr w:rsidR="00B82BCB" w:rsidRPr="00D05611" w14:paraId="5B1C0020"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39AD1B79" w14:textId="77777777" w:rsidR="00B82BCB" w:rsidRPr="00D05611" w:rsidRDefault="00B82BCB" w:rsidP="008A6BDD">
            <w:pPr>
              <w:keepNext/>
              <w:keepLines/>
              <w:spacing w:before="0" w:after="0" w:line="240" w:lineRule="auto"/>
              <w:jc w:val="center"/>
            </w:pPr>
            <w:r w:rsidRPr="00D05611">
              <w:t>CEC Zone 4</w:t>
            </w:r>
          </w:p>
        </w:tc>
        <w:tc>
          <w:tcPr>
            <w:cnfStyle w:val="000010000000" w:firstRow="0" w:lastRow="0" w:firstColumn="0" w:lastColumn="0" w:oddVBand="1" w:evenVBand="0" w:oddHBand="0" w:evenHBand="0" w:firstRowFirstColumn="0" w:firstRowLastColumn="0" w:lastRowFirstColumn="0" w:lastRowLastColumn="0"/>
            <w:tcW w:w="3300" w:type="dxa"/>
          </w:tcPr>
          <w:p w14:paraId="4103CE2B" w14:textId="77777777" w:rsidR="00B82BCB" w:rsidRPr="00D05611" w:rsidRDefault="00B82BCB" w:rsidP="008A6BDD">
            <w:pPr>
              <w:keepNext/>
              <w:keepLines/>
              <w:spacing w:before="0" w:after="0" w:line="240" w:lineRule="auto"/>
              <w:jc w:val="center"/>
            </w:pPr>
            <w:r w:rsidRPr="00D05611">
              <w:t>PG&amp;E</w:t>
            </w:r>
          </w:p>
        </w:tc>
        <w:tc>
          <w:tcPr>
            <w:tcW w:w="2355" w:type="dxa"/>
          </w:tcPr>
          <w:p w14:paraId="4A091FF6"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Sunnyvale</w:t>
            </w:r>
          </w:p>
        </w:tc>
      </w:tr>
      <w:tr w:rsidR="00B82BCB" w:rsidRPr="00D05611" w14:paraId="28995D1F"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C3DAAB5" w14:textId="77777777" w:rsidR="00B82BCB" w:rsidRPr="00D05611" w:rsidRDefault="00B82BCB" w:rsidP="008A6BDD">
            <w:pPr>
              <w:keepNext/>
              <w:keepLines/>
              <w:spacing w:before="0" w:after="0" w:line="240" w:lineRule="auto"/>
              <w:jc w:val="center"/>
            </w:pPr>
            <w:r w:rsidRPr="00D05611">
              <w:t>CEC Zone 5</w:t>
            </w:r>
          </w:p>
        </w:tc>
        <w:tc>
          <w:tcPr>
            <w:cnfStyle w:val="000010000000" w:firstRow="0" w:lastRow="0" w:firstColumn="0" w:lastColumn="0" w:oddVBand="1" w:evenVBand="0" w:oddHBand="0" w:evenHBand="0" w:firstRowFirstColumn="0" w:firstRowLastColumn="0" w:lastRowFirstColumn="0" w:lastRowLastColumn="0"/>
            <w:tcW w:w="3300" w:type="dxa"/>
          </w:tcPr>
          <w:p w14:paraId="44CACED9" w14:textId="77777777" w:rsidR="00B82BCB" w:rsidRPr="00D05611" w:rsidRDefault="00B82BCB" w:rsidP="008A6BDD">
            <w:pPr>
              <w:keepNext/>
              <w:keepLines/>
              <w:spacing w:before="0" w:after="0" w:line="240" w:lineRule="auto"/>
              <w:jc w:val="center"/>
            </w:pPr>
            <w:r w:rsidRPr="00D05611">
              <w:t>PG&amp;E/SCE</w:t>
            </w:r>
          </w:p>
        </w:tc>
        <w:tc>
          <w:tcPr>
            <w:tcW w:w="2355" w:type="dxa"/>
          </w:tcPr>
          <w:p w14:paraId="336E46A8"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Santa Maria</w:t>
            </w:r>
          </w:p>
        </w:tc>
      </w:tr>
      <w:tr w:rsidR="00B82BCB" w:rsidRPr="00D05611" w14:paraId="41D7C1CA"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1E9629AF" w14:textId="77777777" w:rsidR="00B82BCB" w:rsidRPr="00D05611" w:rsidRDefault="00B82BCB" w:rsidP="008A6BDD">
            <w:pPr>
              <w:keepNext/>
              <w:keepLines/>
              <w:spacing w:before="0" w:after="0" w:line="240" w:lineRule="auto"/>
              <w:jc w:val="center"/>
            </w:pPr>
            <w:r w:rsidRPr="00D05611">
              <w:t>CEC Zone 6</w:t>
            </w:r>
          </w:p>
        </w:tc>
        <w:tc>
          <w:tcPr>
            <w:cnfStyle w:val="000010000000" w:firstRow="0" w:lastRow="0" w:firstColumn="0" w:lastColumn="0" w:oddVBand="1" w:evenVBand="0" w:oddHBand="0" w:evenHBand="0" w:firstRowFirstColumn="0" w:firstRowLastColumn="0" w:lastRowFirstColumn="0" w:lastRowLastColumn="0"/>
            <w:tcW w:w="3300" w:type="dxa"/>
          </w:tcPr>
          <w:p w14:paraId="01C9D3A1" w14:textId="77777777" w:rsidR="00B82BCB" w:rsidRPr="00D05611" w:rsidRDefault="00B82BCB" w:rsidP="008A6BDD">
            <w:pPr>
              <w:keepNext/>
              <w:keepLines/>
              <w:spacing w:before="0" w:after="0" w:line="240" w:lineRule="auto"/>
              <w:jc w:val="center"/>
            </w:pPr>
            <w:r w:rsidRPr="00D05611">
              <w:t>SCE</w:t>
            </w:r>
          </w:p>
        </w:tc>
        <w:tc>
          <w:tcPr>
            <w:tcW w:w="2355" w:type="dxa"/>
          </w:tcPr>
          <w:p w14:paraId="36C86BAE"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Los Angeles</w:t>
            </w:r>
          </w:p>
        </w:tc>
      </w:tr>
      <w:tr w:rsidR="00B82BCB" w:rsidRPr="00D05611" w14:paraId="5D2C0D02"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0D32291E" w14:textId="77777777" w:rsidR="00B82BCB" w:rsidRPr="00D05611" w:rsidRDefault="00B82BCB" w:rsidP="008A6BDD">
            <w:pPr>
              <w:keepNext/>
              <w:keepLines/>
              <w:spacing w:before="0" w:after="0" w:line="240" w:lineRule="auto"/>
              <w:jc w:val="center"/>
            </w:pPr>
            <w:r w:rsidRPr="00D05611">
              <w:t>CEC Zone 7</w:t>
            </w:r>
          </w:p>
        </w:tc>
        <w:tc>
          <w:tcPr>
            <w:cnfStyle w:val="000010000000" w:firstRow="0" w:lastRow="0" w:firstColumn="0" w:lastColumn="0" w:oddVBand="1" w:evenVBand="0" w:oddHBand="0" w:evenHBand="0" w:firstRowFirstColumn="0" w:firstRowLastColumn="0" w:lastRowFirstColumn="0" w:lastRowLastColumn="0"/>
            <w:tcW w:w="3300" w:type="dxa"/>
          </w:tcPr>
          <w:p w14:paraId="5860295B" w14:textId="77777777" w:rsidR="00B82BCB" w:rsidRPr="00D05611" w:rsidRDefault="00B82BCB" w:rsidP="008A6BDD">
            <w:pPr>
              <w:keepNext/>
              <w:keepLines/>
              <w:spacing w:before="0" w:after="0" w:line="240" w:lineRule="auto"/>
              <w:jc w:val="center"/>
            </w:pPr>
            <w:r w:rsidRPr="00D05611">
              <w:t>SDG&amp;E</w:t>
            </w:r>
          </w:p>
        </w:tc>
        <w:tc>
          <w:tcPr>
            <w:tcW w:w="2355" w:type="dxa"/>
          </w:tcPr>
          <w:p w14:paraId="7C1F7081"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San Diego</w:t>
            </w:r>
          </w:p>
        </w:tc>
      </w:tr>
      <w:tr w:rsidR="00B82BCB" w:rsidRPr="00D05611" w14:paraId="6BD3C5E4"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7DFBE136" w14:textId="77777777" w:rsidR="00B82BCB" w:rsidRPr="00D05611" w:rsidRDefault="00B82BCB" w:rsidP="008A6BDD">
            <w:pPr>
              <w:keepNext/>
              <w:keepLines/>
              <w:spacing w:before="0" w:after="0" w:line="240" w:lineRule="auto"/>
              <w:jc w:val="center"/>
            </w:pPr>
            <w:r w:rsidRPr="00D05611">
              <w:t>CEC Zone 8</w:t>
            </w:r>
          </w:p>
        </w:tc>
        <w:tc>
          <w:tcPr>
            <w:cnfStyle w:val="000010000000" w:firstRow="0" w:lastRow="0" w:firstColumn="0" w:lastColumn="0" w:oddVBand="1" w:evenVBand="0" w:oddHBand="0" w:evenHBand="0" w:firstRowFirstColumn="0" w:firstRowLastColumn="0" w:lastRowFirstColumn="0" w:lastRowLastColumn="0"/>
            <w:tcW w:w="3300" w:type="dxa"/>
          </w:tcPr>
          <w:p w14:paraId="42FBCC81" w14:textId="77777777" w:rsidR="00B82BCB" w:rsidRPr="00D05611" w:rsidRDefault="00B82BCB" w:rsidP="008A6BDD">
            <w:pPr>
              <w:keepNext/>
              <w:keepLines/>
              <w:spacing w:before="0" w:after="0" w:line="240" w:lineRule="auto"/>
              <w:jc w:val="center"/>
            </w:pPr>
            <w:r w:rsidRPr="00D05611">
              <w:t>SCE</w:t>
            </w:r>
          </w:p>
        </w:tc>
        <w:tc>
          <w:tcPr>
            <w:tcW w:w="2355" w:type="dxa"/>
          </w:tcPr>
          <w:p w14:paraId="50E13C51"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El Toro</w:t>
            </w:r>
          </w:p>
        </w:tc>
      </w:tr>
      <w:tr w:rsidR="00B82BCB" w:rsidRPr="00D05611" w14:paraId="4CB68980"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365BAD32" w14:textId="77777777" w:rsidR="00B82BCB" w:rsidRPr="00D05611" w:rsidRDefault="00B82BCB" w:rsidP="008A6BDD">
            <w:pPr>
              <w:keepNext/>
              <w:keepLines/>
              <w:spacing w:before="0" w:after="0" w:line="240" w:lineRule="auto"/>
              <w:jc w:val="center"/>
            </w:pPr>
            <w:r w:rsidRPr="00D05611">
              <w:t>CEC Zone 9</w:t>
            </w:r>
          </w:p>
        </w:tc>
        <w:tc>
          <w:tcPr>
            <w:cnfStyle w:val="000010000000" w:firstRow="0" w:lastRow="0" w:firstColumn="0" w:lastColumn="0" w:oddVBand="1" w:evenVBand="0" w:oddHBand="0" w:evenHBand="0" w:firstRowFirstColumn="0" w:firstRowLastColumn="0" w:lastRowFirstColumn="0" w:lastRowLastColumn="0"/>
            <w:tcW w:w="3300" w:type="dxa"/>
          </w:tcPr>
          <w:p w14:paraId="76102A42" w14:textId="77777777" w:rsidR="00B82BCB" w:rsidRPr="00D05611" w:rsidRDefault="00B82BCB" w:rsidP="008A6BDD">
            <w:pPr>
              <w:keepNext/>
              <w:keepLines/>
              <w:spacing w:before="0" w:after="0" w:line="240" w:lineRule="auto"/>
              <w:jc w:val="center"/>
            </w:pPr>
            <w:r w:rsidRPr="00D05611">
              <w:t>SCE</w:t>
            </w:r>
          </w:p>
        </w:tc>
        <w:tc>
          <w:tcPr>
            <w:tcW w:w="2355" w:type="dxa"/>
          </w:tcPr>
          <w:p w14:paraId="653210AC"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Pasadena</w:t>
            </w:r>
          </w:p>
        </w:tc>
      </w:tr>
      <w:tr w:rsidR="00B82BCB" w:rsidRPr="00D05611" w14:paraId="57721371"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11C5C660" w14:textId="77777777" w:rsidR="00B82BCB" w:rsidRPr="00D05611" w:rsidRDefault="00B82BCB" w:rsidP="008A6BDD">
            <w:pPr>
              <w:keepNext/>
              <w:keepLines/>
              <w:spacing w:before="0" w:after="0" w:line="240" w:lineRule="auto"/>
              <w:jc w:val="center"/>
            </w:pPr>
            <w:r w:rsidRPr="00D05611">
              <w:t>CEC Zone 10</w:t>
            </w:r>
          </w:p>
        </w:tc>
        <w:tc>
          <w:tcPr>
            <w:cnfStyle w:val="000010000000" w:firstRow="0" w:lastRow="0" w:firstColumn="0" w:lastColumn="0" w:oddVBand="1" w:evenVBand="0" w:oddHBand="0" w:evenHBand="0" w:firstRowFirstColumn="0" w:firstRowLastColumn="0" w:lastRowFirstColumn="0" w:lastRowLastColumn="0"/>
            <w:tcW w:w="3300" w:type="dxa"/>
          </w:tcPr>
          <w:p w14:paraId="6B58004D" w14:textId="77777777" w:rsidR="00B82BCB" w:rsidRPr="00D05611" w:rsidRDefault="00B82BCB" w:rsidP="008A6BDD">
            <w:pPr>
              <w:keepNext/>
              <w:keepLines/>
              <w:spacing w:before="0" w:after="0" w:line="240" w:lineRule="auto"/>
              <w:jc w:val="center"/>
            </w:pPr>
            <w:r w:rsidRPr="00D05611">
              <w:t>SCE/SDG&amp;E</w:t>
            </w:r>
          </w:p>
        </w:tc>
        <w:tc>
          <w:tcPr>
            <w:tcW w:w="2355" w:type="dxa"/>
          </w:tcPr>
          <w:p w14:paraId="2A10895A"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Riverside</w:t>
            </w:r>
          </w:p>
        </w:tc>
      </w:tr>
      <w:tr w:rsidR="00B82BCB" w:rsidRPr="00D05611" w14:paraId="2F560CB2"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E60B668" w14:textId="77777777" w:rsidR="00B82BCB" w:rsidRPr="00D05611" w:rsidRDefault="00B82BCB" w:rsidP="008A6BDD">
            <w:pPr>
              <w:keepNext/>
              <w:keepLines/>
              <w:spacing w:before="0" w:after="0" w:line="240" w:lineRule="auto"/>
              <w:jc w:val="center"/>
            </w:pPr>
            <w:r w:rsidRPr="00D05611">
              <w:t>CEC Zone 11</w:t>
            </w:r>
          </w:p>
        </w:tc>
        <w:tc>
          <w:tcPr>
            <w:cnfStyle w:val="000010000000" w:firstRow="0" w:lastRow="0" w:firstColumn="0" w:lastColumn="0" w:oddVBand="1" w:evenVBand="0" w:oddHBand="0" w:evenHBand="0" w:firstRowFirstColumn="0" w:firstRowLastColumn="0" w:lastRowFirstColumn="0" w:lastRowLastColumn="0"/>
            <w:tcW w:w="3300" w:type="dxa"/>
          </w:tcPr>
          <w:p w14:paraId="6F42A43F" w14:textId="77777777" w:rsidR="00B82BCB" w:rsidRPr="00D05611" w:rsidRDefault="00B82BCB" w:rsidP="008A6BDD">
            <w:pPr>
              <w:keepNext/>
              <w:keepLines/>
              <w:spacing w:before="0" w:after="0" w:line="240" w:lineRule="auto"/>
              <w:jc w:val="center"/>
            </w:pPr>
            <w:r w:rsidRPr="00D05611">
              <w:t>PG&amp;E</w:t>
            </w:r>
          </w:p>
        </w:tc>
        <w:tc>
          <w:tcPr>
            <w:tcW w:w="2355" w:type="dxa"/>
          </w:tcPr>
          <w:p w14:paraId="6AA3F760"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Red Bluff</w:t>
            </w:r>
          </w:p>
        </w:tc>
      </w:tr>
      <w:tr w:rsidR="00B82BCB" w:rsidRPr="00D05611" w14:paraId="1679BB6C"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1331D4F2" w14:textId="77777777" w:rsidR="00B82BCB" w:rsidRPr="00D05611" w:rsidRDefault="00B82BCB" w:rsidP="008A6BDD">
            <w:pPr>
              <w:keepNext/>
              <w:keepLines/>
              <w:spacing w:before="0" w:after="0" w:line="240" w:lineRule="auto"/>
              <w:jc w:val="center"/>
            </w:pPr>
            <w:r w:rsidRPr="00D05611">
              <w:t>CEC Zone 12</w:t>
            </w:r>
          </w:p>
        </w:tc>
        <w:tc>
          <w:tcPr>
            <w:cnfStyle w:val="000010000000" w:firstRow="0" w:lastRow="0" w:firstColumn="0" w:lastColumn="0" w:oddVBand="1" w:evenVBand="0" w:oddHBand="0" w:evenHBand="0" w:firstRowFirstColumn="0" w:firstRowLastColumn="0" w:lastRowFirstColumn="0" w:lastRowLastColumn="0"/>
            <w:tcW w:w="3300" w:type="dxa"/>
          </w:tcPr>
          <w:p w14:paraId="79C2F7F1" w14:textId="77777777" w:rsidR="00B82BCB" w:rsidRPr="00D05611" w:rsidRDefault="00B82BCB" w:rsidP="008A6BDD">
            <w:pPr>
              <w:keepNext/>
              <w:keepLines/>
              <w:spacing w:before="0" w:after="0" w:line="240" w:lineRule="auto"/>
              <w:jc w:val="center"/>
            </w:pPr>
            <w:r w:rsidRPr="00D05611">
              <w:t>PG&amp;E</w:t>
            </w:r>
          </w:p>
        </w:tc>
        <w:tc>
          <w:tcPr>
            <w:tcW w:w="2355" w:type="dxa"/>
          </w:tcPr>
          <w:p w14:paraId="47AEC2F3"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Sacramento</w:t>
            </w:r>
          </w:p>
        </w:tc>
      </w:tr>
      <w:tr w:rsidR="00B82BCB" w:rsidRPr="00D05611" w14:paraId="29584DE8"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717DB3A" w14:textId="77777777" w:rsidR="00B82BCB" w:rsidRPr="00D05611" w:rsidRDefault="00B82BCB" w:rsidP="008A6BDD">
            <w:pPr>
              <w:keepNext/>
              <w:keepLines/>
              <w:spacing w:before="0" w:after="0" w:line="240" w:lineRule="auto"/>
              <w:jc w:val="center"/>
            </w:pPr>
            <w:r w:rsidRPr="00D05611">
              <w:t>CEC Zone 13</w:t>
            </w:r>
          </w:p>
        </w:tc>
        <w:tc>
          <w:tcPr>
            <w:cnfStyle w:val="000010000000" w:firstRow="0" w:lastRow="0" w:firstColumn="0" w:lastColumn="0" w:oddVBand="1" w:evenVBand="0" w:oddHBand="0" w:evenHBand="0" w:firstRowFirstColumn="0" w:firstRowLastColumn="0" w:lastRowFirstColumn="0" w:lastRowLastColumn="0"/>
            <w:tcW w:w="3300" w:type="dxa"/>
          </w:tcPr>
          <w:p w14:paraId="4942145D" w14:textId="77777777" w:rsidR="00B82BCB" w:rsidRPr="00D05611" w:rsidRDefault="00B82BCB" w:rsidP="008A6BDD">
            <w:pPr>
              <w:keepNext/>
              <w:keepLines/>
              <w:spacing w:before="0" w:after="0" w:line="240" w:lineRule="auto"/>
              <w:jc w:val="center"/>
            </w:pPr>
            <w:r w:rsidRPr="00D05611">
              <w:t>PG&amp;E</w:t>
            </w:r>
          </w:p>
        </w:tc>
        <w:tc>
          <w:tcPr>
            <w:tcW w:w="2355" w:type="dxa"/>
          </w:tcPr>
          <w:p w14:paraId="07141AE4"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Fresno</w:t>
            </w:r>
          </w:p>
        </w:tc>
      </w:tr>
      <w:tr w:rsidR="00B82BCB" w:rsidRPr="00D05611" w14:paraId="16625493"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3BB19626" w14:textId="77777777" w:rsidR="00B82BCB" w:rsidRPr="00D05611" w:rsidRDefault="00B82BCB" w:rsidP="008A6BDD">
            <w:pPr>
              <w:keepNext/>
              <w:keepLines/>
              <w:spacing w:before="0" w:after="0" w:line="240" w:lineRule="auto"/>
              <w:jc w:val="center"/>
            </w:pPr>
            <w:r w:rsidRPr="00D05611">
              <w:t>CEC Zone 14</w:t>
            </w:r>
          </w:p>
        </w:tc>
        <w:tc>
          <w:tcPr>
            <w:cnfStyle w:val="000010000000" w:firstRow="0" w:lastRow="0" w:firstColumn="0" w:lastColumn="0" w:oddVBand="1" w:evenVBand="0" w:oddHBand="0" w:evenHBand="0" w:firstRowFirstColumn="0" w:firstRowLastColumn="0" w:lastRowFirstColumn="0" w:lastRowLastColumn="0"/>
            <w:tcW w:w="3300" w:type="dxa"/>
          </w:tcPr>
          <w:p w14:paraId="26D9F39E" w14:textId="77777777" w:rsidR="00B82BCB" w:rsidRPr="00D05611" w:rsidRDefault="00B82BCB" w:rsidP="008A6BDD">
            <w:pPr>
              <w:keepNext/>
              <w:keepLines/>
              <w:spacing w:before="0" w:after="0" w:line="240" w:lineRule="auto"/>
              <w:jc w:val="center"/>
            </w:pPr>
            <w:r w:rsidRPr="00D05611">
              <w:t>SCE/SDG&amp;E</w:t>
            </w:r>
          </w:p>
        </w:tc>
        <w:tc>
          <w:tcPr>
            <w:tcW w:w="2355" w:type="dxa"/>
          </w:tcPr>
          <w:p w14:paraId="1263B6A3"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China Lake</w:t>
            </w:r>
          </w:p>
        </w:tc>
      </w:tr>
      <w:tr w:rsidR="00B82BCB" w:rsidRPr="00D05611" w14:paraId="43D85BF3" w14:textId="77777777" w:rsidTr="008A6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5533835" w14:textId="77777777" w:rsidR="00B82BCB" w:rsidRPr="00D05611" w:rsidRDefault="00B82BCB" w:rsidP="008A6BDD">
            <w:pPr>
              <w:keepNext/>
              <w:keepLines/>
              <w:spacing w:before="0" w:after="0" w:line="240" w:lineRule="auto"/>
              <w:jc w:val="center"/>
            </w:pPr>
            <w:r w:rsidRPr="00D05611">
              <w:t>CEC Zone 15</w:t>
            </w:r>
          </w:p>
        </w:tc>
        <w:tc>
          <w:tcPr>
            <w:cnfStyle w:val="000010000000" w:firstRow="0" w:lastRow="0" w:firstColumn="0" w:lastColumn="0" w:oddVBand="1" w:evenVBand="0" w:oddHBand="0" w:evenHBand="0" w:firstRowFirstColumn="0" w:firstRowLastColumn="0" w:lastRowFirstColumn="0" w:lastRowLastColumn="0"/>
            <w:tcW w:w="3300" w:type="dxa"/>
          </w:tcPr>
          <w:p w14:paraId="74A03AEB" w14:textId="77777777" w:rsidR="00B82BCB" w:rsidRPr="00D05611" w:rsidRDefault="00B82BCB" w:rsidP="008A6BDD">
            <w:pPr>
              <w:keepNext/>
              <w:keepLines/>
              <w:spacing w:before="0" w:after="0" w:line="240" w:lineRule="auto"/>
              <w:jc w:val="center"/>
            </w:pPr>
            <w:r w:rsidRPr="00D05611">
              <w:t>SCE/SDG&amp;E</w:t>
            </w:r>
          </w:p>
        </w:tc>
        <w:tc>
          <w:tcPr>
            <w:tcW w:w="2355" w:type="dxa"/>
          </w:tcPr>
          <w:p w14:paraId="42013844" w14:textId="77777777" w:rsidR="00B82BCB" w:rsidRPr="00D05611" w:rsidRDefault="00B82BCB" w:rsidP="008A6BDD">
            <w:pPr>
              <w:keepNext/>
              <w:keepLines/>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D05611">
              <w:t>El Centro</w:t>
            </w:r>
          </w:p>
        </w:tc>
      </w:tr>
      <w:tr w:rsidR="00B82BCB" w:rsidRPr="00D05611" w14:paraId="6B38A6B4" w14:textId="77777777" w:rsidTr="008A6BDD">
        <w:tc>
          <w:tcPr>
            <w:cnfStyle w:val="001000000000" w:firstRow="0" w:lastRow="0" w:firstColumn="1" w:lastColumn="0" w:oddVBand="0" w:evenVBand="0" w:oddHBand="0" w:evenHBand="0" w:firstRowFirstColumn="0" w:firstRowLastColumn="0" w:lastRowFirstColumn="0" w:lastRowLastColumn="0"/>
            <w:tcW w:w="2055" w:type="dxa"/>
          </w:tcPr>
          <w:p w14:paraId="5E4C4B8C" w14:textId="77777777" w:rsidR="00B82BCB" w:rsidRPr="00D05611" w:rsidRDefault="00B82BCB" w:rsidP="008A6BDD">
            <w:pPr>
              <w:keepNext/>
              <w:keepLines/>
              <w:spacing w:before="0" w:after="0" w:line="240" w:lineRule="auto"/>
              <w:jc w:val="center"/>
            </w:pPr>
            <w:r w:rsidRPr="00D05611">
              <w:t>CEC Zone 16</w:t>
            </w:r>
          </w:p>
        </w:tc>
        <w:tc>
          <w:tcPr>
            <w:cnfStyle w:val="000010000000" w:firstRow="0" w:lastRow="0" w:firstColumn="0" w:lastColumn="0" w:oddVBand="1" w:evenVBand="0" w:oddHBand="0" w:evenHBand="0" w:firstRowFirstColumn="0" w:firstRowLastColumn="0" w:lastRowFirstColumn="0" w:lastRowLastColumn="0"/>
            <w:tcW w:w="3300" w:type="dxa"/>
          </w:tcPr>
          <w:p w14:paraId="2FFB24A2" w14:textId="77777777" w:rsidR="00B82BCB" w:rsidRPr="00D05611" w:rsidRDefault="00B82BCB" w:rsidP="008A6BDD">
            <w:pPr>
              <w:keepNext/>
              <w:keepLines/>
              <w:spacing w:before="0" w:after="0" w:line="240" w:lineRule="auto"/>
              <w:jc w:val="center"/>
            </w:pPr>
            <w:r w:rsidRPr="00D05611">
              <w:t>PG&amp;E/SCE</w:t>
            </w:r>
          </w:p>
        </w:tc>
        <w:tc>
          <w:tcPr>
            <w:tcW w:w="2355" w:type="dxa"/>
          </w:tcPr>
          <w:p w14:paraId="50B92E79" w14:textId="77777777" w:rsidR="00B82BCB" w:rsidRPr="00D05611" w:rsidRDefault="00B82BCB" w:rsidP="008A6BDD">
            <w:pPr>
              <w:keepNext/>
              <w:keepLines/>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D05611">
              <w:t>Mount Shasta</w:t>
            </w:r>
          </w:p>
        </w:tc>
      </w:tr>
    </w:tbl>
    <w:p w14:paraId="776043EB" w14:textId="373CBAB5" w:rsidR="00B82BCB" w:rsidRDefault="00B82BCB" w:rsidP="000145D0">
      <w:pPr>
        <w:pStyle w:val="SeattleBody"/>
      </w:pPr>
    </w:p>
    <w:p w14:paraId="2FD381B4" w14:textId="5874F159" w:rsidR="00DC492E" w:rsidRPr="002E1DAD" w:rsidRDefault="000C7C10" w:rsidP="002E1DAD">
      <w:pPr>
        <w:pStyle w:val="Heading2"/>
      </w:pPr>
      <w:bookmarkStart w:id="70" w:name="_Toc514055055"/>
      <w:r>
        <w:t>T&amp;D Allocation Factors</w:t>
      </w:r>
      <w:bookmarkEnd w:id="70"/>
    </w:p>
    <w:p w14:paraId="38CE10C6" w14:textId="197FB6F9" w:rsidR="000C7C10" w:rsidRDefault="000C7C10" w:rsidP="008A6BDD">
      <w:r>
        <w:t xml:space="preserve">For a description of the charts, refer to the discussion of </w:t>
      </w:r>
      <w:r>
        <w:fldChar w:fldCharType="begin"/>
      </w:r>
      <w:r>
        <w:instrText xml:space="preserve"> REF _Ref452192165 \h </w:instrText>
      </w:r>
      <w:r>
        <w:fldChar w:fldCharType="separate"/>
      </w:r>
      <w:r w:rsidR="00FD431B" w:rsidRPr="002D70BF">
        <w:t xml:space="preserve">Figure </w:t>
      </w:r>
      <w:r w:rsidR="00FD431B">
        <w:rPr>
          <w:noProof/>
        </w:rPr>
        <w:t>17</w:t>
      </w:r>
      <w:r>
        <w:fldChar w:fldCharType="end"/>
      </w:r>
      <w:r>
        <w:t xml:space="preserve"> and </w:t>
      </w:r>
      <w:r>
        <w:fldChar w:fldCharType="begin"/>
      </w:r>
      <w:r>
        <w:instrText xml:space="preserve"> REF _Ref452192722 \h </w:instrText>
      </w:r>
      <w:r>
        <w:fldChar w:fldCharType="separate"/>
      </w:r>
      <w:r w:rsidR="00FD431B" w:rsidRPr="00EB036A">
        <w:t xml:space="preserve">Figure </w:t>
      </w:r>
      <w:r w:rsidR="00FD431B">
        <w:rPr>
          <w:noProof/>
        </w:rPr>
        <w:t>18</w:t>
      </w:r>
      <w:r>
        <w:fldChar w:fldCharType="end"/>
      </w:r>
      <w:r>
        <w:t xml:space="preserve"> on page </w:t>
      </w:r>
      <w:r>
        <w:fldChar w:fldCharType="begin"/>
      </w:r>
      <w:r>
        <w:instrText xml:space="preserve"> PAGEREF _Ref452193067 \h </w:instrText>
      </w:r>
      <w:r>
        <w:fldChar w:fldCharType="separate"/>
      </w:r>
      <w:r w:rsidR="00FD431B">
        <w:rPr>
          <w:noProof/>
        </w:rPr>
        <w:t>34</w:t>
      </w:r>
      <w:r>
        <w:fldChar w:fldCharType="end"/>
      </w:r>
      <w:r>
        <w:t>.</w:t>
      </w:r>
    </w:p>
    <w:p w14:paraId="023EF8CB" w14:textId="7666DB63" w:rsidR="51F6D3BC" w:rsidRDefault="00C92288" w:rsidP="00897301">
      <w:r>
        <w:rPr>
          <w:noProof/>
        </w:rPr>
        <w:lastRenderedPageBreak/>
        <w:drawing>
          <wp:inline distT="0" distB="0" distL="0" distR="0" wp14:anchorId="443891EA" wp14:editId="3BEB9426">
            <wp:extent cx="2971661" cy="3592195"/>
            <wp:effectExtent l="0" t="0" r="635" b="8255"/>
            <wp:docPr id="19"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8249F-46BD-4EC7-846B-49EF184B9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48249F-46BD-4EC7-846B-49EF184B9B47}"/>
                        </a:ext>
                      </a:extLst>
                    </pic:cNvPr>
                    <pic:cNvPicPr>
                      <a:picLocks noChangeAspect="1"/>
                    </pic:cNvPicPr>
                  </pic:nvPicPr>
                  <pic:blipFill rotWithShape="1">
                    <a:blip r:embed="rId39"/>
                    <a:srcRect t="34083"/>
                    <a:stretch/>
                  </pic:blipFill>
                  <pic:spPr bwMode="auto">
                    <a:xfrm>
                      <a:off x="0" y="0"/>
                      <a:ext cx="2971800" cy="359236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F5B145" wp14:editId="7E4629E5">
            <wp:extent cx="2934970" cy="3546643"/>
            <wp:effectExtent l="0" t="0" r="0" b="0"/>
            <wp:docPr id="2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C792A-2B39-4B28-AA35-DADF25930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5C792A-2B39-4B28-AA35-DADF25930A03}"/>
                        </a:ext>
                      </a:extLst>
                    </pic:cNvPr>
                    <pic:cNvPicPr>
                      <a:picLocks noChangeAspect="1"/>
                    </pic:cNvPicPr>
                  </pic:nvPicPr>
                  <pic:blipFill rotWithShape="1">
                    <a:blip r:embed="rId40"/>
                    <a:srcRect t="34255"/>
                    <a:stretch/>
                  </pic:blipFill>
                  <pic:spPr bwMode="auto">
                    <a:xfrm>
                      <a:off x="0" y="0"/>
                      <a:ext cx="2935224" cy="3546950"/>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drawing>
          <wp:inline distT="0" distB="0" distL="0" distR="0" wp14:anchorId="6F1E669D" wp14:editId="3C5EA448">
            <wp:extent cx="2889250" cy="3519588"/>
            <wp:effectExtent l="0" t="0" r="6350" b="5080"/>
            <wp:docPr id="21"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14AA9-50C1-416A-8BF9-9469274EA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14AA9-50C1-416A-8BF9-9469274EAC29}"/>
                        </a:ext>
                      </a:extLst>
                    </pic:cNvPr>
                    <pic:cNvPicPr>
                      <a:picLocks noChangeAspect="1"/>
                    </pic:cNvPicPr>
                  </pic:nvPicPr>
                  <pic:blipFill rotWithShape="1">
                    <a:blip r:embed="rId41"/>
                    <a:srcRect t="34311"/>
                    <a:stretch/>
                  </pic:blipFill>
                  <pic:spPr bwMode="auto">
                    <a:xfrm>
                      <a:off x="0" y="0"/>
                      <a:ext cx="2889504" cy="3519897"/>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drawing>
          <wp:inline distT="0" distB="0" distL="0" distR="0" wp14:anchorId="73CE06E7" wp14:editId="3734BC79">
            <wp:extent cx="2889250" cy="3519588"/>
            <wp:effectExtent l="0" t="0" r="6350" b="5080"/>
            <wp:docPr id="22"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1DA01C-0FC0-4C96-B674-746AC5932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1DA01C-0FC0-4C96-B674-746AC5932A87}"/>
                        </a:ext>
                      </a:extLst>
                    </pic:cNvPr>
                    <pic:cNvPicPr>
                      <a:picLocks noChangeAspect="1"/>
                    </pic:cNvPicPr>
                  </pic:nvPicPr>
                  <pic:blipFill rotWithShape="1">
                    <a:blip r:embed="rId42"/>
                    <a:srcRect t="34311"/>
                    <a:stretch/>
                  </pic:blipFill>
                  <pic:spPr bwMode="auto">
                    <a:xfrm>
                      <a:off x="0" y="0"/>
                      <a:ext cx="2889504" cy="3519897"/>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lastRenderedPageBreak/>
        <w:drawing>
          <wp:inline distT="0" distB="0" distL="0" distR="0" wp14:anchorId="3ED9DF38" wp14:editId="1B12E113">
            <wp:extent cx="2916555" cy="3528884"/>
            <wp:effectExtent l="0" t="0" r="0" b="0"/>
            <wp:docPr id="23"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FAD3F1-F0C1-46D3-B39D-A3C626B5F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FAD3F1-F0C1-46D3-B39D-A3C626B5F4C5}"/>
                        </a:ext>
                      </a:extLst>
                    </pic:cNvPr>
                    <pic:cNvPicPr>
                      <a:picLocks noChangeAspect="1"/>
                    </pic:cNvPicPr>
                  </pic:nvPicPr>
                  <pic:blipFill rotWithShape="1">
                    <a:blip r:embed="rId29"/>
                    <a:srcRect t="34134"/>
                    <a:stretch/>
                  </pic:blipFill>
                  <pic:spPr bwMode="auto">
                    <a:xfrm>
                      <a:off x="0" y="0"/>
                      <a:ext cx="2916936" cy="3529345"/>
                    </a:xfrm>
                    <a:prstGeom prst="rect">
                      <a:avLst/>
                    </a:prstGeom>
                    <a:ln>
                      <a:noFill/>
                    </a:ln>
                    <a:extLst>
                      <a:ext uri="{53640926-AAD7-44D8-BBD7-CCE9431645EC}">
                        <a14:shadowObscured xmlns:a14="http://schemas.microsoft.com/office/drawing/2010/main"/>
                      </a:ext>
                    </a:extLst>
                  </pic:spPr>
                </pic:pic>
              </a:graphicData>
            </a:graphic>
          </wp:inline>
        </w:drawing>
      </w:r>
      <w:r w:rsidR="00E45619">
        <w:rPr>
          <w:noProof/>
        </w:rPr>
        <w:drawing>
          <wp:inline distT="0" distB="0" distL="0" distR="0" wp14:anchorId="0B27DC42" wp14:editId="52EE3814">
            <wp:extent cx="2916555" cy="3528884"/>
            <wp:effectExtent l="0" t="0" r="0" b="0"/>
            <wp:docPr id="24" name="Picture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2F8AB5-E753-4DFC-BE62-953E63246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2F8AB5-E753-4DFC-BE62-953E63246A93}"/>
                        </a:ext>
                      </a:extLst>
                    </pic:cNvPr>
                    <pic:cNvPicPr>
                      <a:picLocks noChangeAspect="1"/>
                    </pic:cNvPicPr>
                  </pic:nvPicPr>
                  <pic:blipFill rotWithShape="1">
                    <a:blip r:embed="rId30"/>
                    <a:srcRect t="34134"/>
                    <a:stretch/>
                  </pic:blipFill>
                  <pic:spPr bwMode="auto">
                    <a:xfrm>
                      <a:off x="0" y="0"/>
                      <a:ext cx="2916936" cy="3529345"/>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drawing>
          <wp:inline distT="0" distB="0" distL="0" distR="0" wp14:anchorId="5860886C" wp14:editId="4DBE324A">
            <wp:extent cx="2925941" cy="3529330"/>
            <wp:effectExtent l="0" t="0" r="8255" b="0"/>
            <wp:docPr id="25" name="Picture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EC8DB6-45F0-4696-AF9D-82EBDBBA9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EC8DB6-45F0-4696-AF9D-82EBDBBA9467}"/>
                        </a:ext>
                      </a:extLst>
                    </pic:cNvPr>
                    <pic:cNvPicPr>
                      <a:picLocks noChangeAspect="1"/>
                    </pic:cNvPicPr>
                  </pic:nvPicPr>
                  <pic:blipFill rotWithShape="1">
                    <a:blip r:embed="rId43"/>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drawing>
          <wp:inline distT="0" distB="0" distL="0" distR="0" wp14:anchorId="7CCED93A" wp14:editId="5B1B6716">
            <wp:extent cx="2925941" cy="3529330"/>
            <wp:effectExtent l="0" t="0" r="8255" b="0"/>
            <wp:docPr id="26" name="Picture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605E3-A967-4E1E-A1F8-01D331E47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605E3-A967-4E1E-A1F8-01D331E47D8E}"/>
                        </a:ext>
                      </a:extLst>
                    </pic:cNvPr>
                    <pic:cNvPicPr>
                      <a:picLocks noChangeAspect="1"/>
                    </pic:cNvPicPr>
                  </pic:nvPicPr>
                  <pic:blipFill rotWithShape="1">
                    <a:blip r:embed="rId44"/>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lastRenderedPageBreak/>
        <w:drawing>
          <wp:inline distT="0" distB="0" distL="0" distR="0" wp14:anchorId="5291A63B" wp14:editId="40242D28">
            <wp:extent cx="2925941" cy="3529330"/>
            <wp:effectExtent l="0" t="0" r="8255" b="0"/>
            <wp:docPr id="27" name="Picture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75A128-A728-43C6-B82E-59F77C2B6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75A128-A728-43C6-B82E-59F77C2B65C9}"/>
                        </a:ext>
                      </a:extLst>
                    </pic:cNvPr>
                    <pic:cNvPicPr>
                      <a:picLocks noChangeAspect="1"/>
                    </pic:cNvPicPr>
                  </pic:nvPicPr>
                  <pic:blipFill rotWithShape="1">
                    <a:blip r:embed="rId45"/>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FD0A62">
        <w:rPr>
          <w:noProof/>
        </w:rPr>
        <w:drawing>
          <wp:inline distT="0" distB="0" distL="0" distR="0" wp14:anchorId="2D355DA8" wp14:editId="6DB803B7">
            <wp:extent cx="2925941" cy="3529330"/>
            <wp:effectExtent l="0" t="0" r="8255" b="0"/>
            <wp:docPr id="28" name="Picture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06563A-66E2-40D7-863F-044230D1E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06563A-66E2-40D7-863F-044230D1E244}"/>
                        </a:ext>
                      </a:extLst>
                    </pic:cNvPr>
                    <pic:cNvPicPr>
                      <a:picLocks noChangeAspect="1"/>
                    </pic:cNvPicPr>
                  </pic:nvPicPr>
                  <pic:blipFill rotWithShape="1">
                    <a:blip r:embed="rId46"/>
                    <a:srcRect t="34132"/>
                    <a:stretch/>
                  </pic:blipFill>
                  <pic:spPr bwMode="auto">
                    <a:xfrm>
                      <a:off x="0" y="0"/>
                      <a:ext cx="2926080" cy="3529497"/>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686E5B6F" wp14:editId="3627FB65">
            <wp:extent cx="2953372" cy="3529330"/>
            <wp:effectExtent l="0" t="0" r="0" b="0"/>
            <wp:docPr id="29" name="Picture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94E827-14FD-40CD-98C0-F634E3853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94E827-14FD-40CD-98C0-F634E3853CD8}"/>
                        </a:ext>
                      </a:extLst>
                    </pic:cNvPr>
                    <pic:cNvPicPr>
                      <a:picLocks noChangeAspect="1"/>
                    </pic:cNvPicPr>
                  </pic:nvPicPr>
                  <pic:blipFill rotWithShape="1">
                    <a:blip r:embed="rId47"/>
                    <a:srcRect t="34132"/>
                    <a:stretch/>
                  </pic:blipFill>
                  <pic:spPr bwMode="auto">
                    <a:xfrm>
                      <a:off x="0" y="0"/>
                      <a:ext cx="2953512" cy="3529497"/>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030EC4C2" wp14:editId="665920C3">
            <wp:extent cx="2953372" cy="3529330"/>
            <wp:effectExtent l="0" t="0" r="0" b="0"/>
            <wp:docPr id="31" name="Picture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EB6124-FB78-4D34-A14C-E2051F7C9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EB6124-FB78-4D34-A14C-E2051F7C9000}"/>
                        </a:ext>
                      </a:extLst>
                    </pic:cNvPr>
                    <pic:cNvPicPr>
                      <a:picLocks noChangeAspect="1"/>
                    </pic:cNvPicPr>
                  </pic:nvPicPr>
                  <pic:blipFill rotWithShape="1">
                    <a:blip r:embed="rId48"/>
                    <a:srcRect t="34132"/>
                    <a:stretch/>
                  </pic:blipFill>
                  <pic:spPr bwMode="auto">
                    <a:xfrm>
                      <a:off x="0" y="0"/>
                      <a:ext cx="2953512" cy="3529497"/>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lastRenderedPageBreak/>
        <w:drawing>
          <wp:inline distT="0" distB="0" distL="0" distR="0" wp14:anchorId="0CE18EDE" wp14:editId="5A4FDC85">
            <wp:extent cx="2953372" cy="3538855"/>
            <wp:effectExtent l="0" t="0" r="0" b="4445"/>
            <wp:docPr id="32" name="Picture 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375AE2-CF10-4960-9FDA-B7EFEB8B6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375AE2-CF10-4960-9FDA-B7EFEB8B6872}"/>
                        </a:ext>
                      </a:extLst>
                    </pic:cNvPr>
                    <pic:cNvPicPr>
                      <a:picLocks noChangeAspect="1"/>
                    </pic:cNvPicPr>
                  </pic:nvPicPr>
                  <pic:blipFill rotWithShape="1">
                    <a:blip r:embed="rId49"/>
                    <a:srcRect t="33953"/>
                    <a:stretch/>
                  </pic:blipFill>
                  <pic:spPr bwMode="auto">
                    <a:xfrm>
                      <a:off x="0" y="0"/>
                      <a:ext cx="2953512" cy="3539023"/>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68675602" wp14:editId="76FBDE52">
            <wp:extent cx="2953372" cy="3538855"/>
            <wp:effectExtent l="0" t="0" r="0" b="4445"/>
            <wp:docPr id="33" name="Picture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A4A62A-3B15-488D-A066-35F70B6B6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A4A62A-3B15-488D-A066-35F70B6B6BE2}"/>
                        </a:ext>
                      </a:extLst>
                    </pic:cNvPr>
                    <pic:cNvPicPr>
                      <a:picLocks noChangeAspect="1"/>
                    </pic:cNvPicPr>
                  </pic:nvPicPr>
                  <pic:blipFill rotWithShape="1">
                    <a:blip r:embed="rId50"/>
                    <a:srcRect t="33953"/>
                    <a:stretch/>
                  </pic:blipFill>
                  <pic:spPr bwMode="auto">
                    <a:xfrm>
                      <a:off x="0" y="0"/>
                      <a:ext cx="2953512" cy="3539023"/>
                    </a:xfrm>
                    <a:prstGeom prst="rect">
                      <a:avLst/>
                    </a:prstGeom>
                    <a:ln>
                      <a:noFill/>
                    </a:ln>
                    <a:extLst>
                      <a:ext uri="{53640926-AAD7-44D8-BBD7-CCE9431645EC}">
                        <a14:shadowObscured xmlns:a14="http://schemas.microsoft.com/office/drawing/2010/main"/>
                      </a:ext>
                    </a:extLst>
                  </pic:spPr>
                </pic:pic>
              </a:graphicData>
            </a:graphic>
          </wp:inline>
        </w:drawing>
      </w:r>
      <w:r w:rsidR="001F343F">
        <w:rPr>
          <w:noProof/>
        </w:rPr>
        <w:drawing>
          <wp:inline distT="0" distB="0" distL="0" distR="0" wp14:anchorId="09113999" wp14:editId="3144FE9C">
            <wp:extent cx="2953372" cy="3548380"/>
            <wp:effectExtent l="0" t="0" r="0" b="0"/>
            <wp:docPr id="34" name="Picture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11DDCF-4AE5-420C-BFFF-724DFB485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11DDCF-4AE5-420C-BFFF-724DFB485D3A}"/>
                        </a:ext>
                      </a:extLst>
                    </pic:cNvPr>
                    <pic:cNvPicPr>
                      <a:picLocks noChangeAspect="1"/>
                    </pic:cNvPicPr>
                  </pic:nvPicPr>
                  <pic:blipFill rotWithShape="1">
                    <a:blip r:embed="rId51"/>
                    <a:srcRect t="33776"/>
                    <a:stretch/>
                  </pic:blipFill>
                  <pic:spPr bwMode="auto">
                    <a:xfrm>
                      <a:off x="0" y="0"/>
                      <a:ext cx="2953512" cy="3548548"/>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drawing>
          <wp:inline distT="0" distB="0" distL="0" distR="0" wp14:anchorId="719B677B" wp14:editId="77A29E40">
            <wp:extent cx="2953372" cy="3548380"/>
            <wp:effectExtent l="0" t="0" r="0" b="0"/>
            <wp:docPr id="37" name="Picture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D2996C-3D1B-40BA-9123-1130D568E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D2996C-3D1B-40BA-9123-1130D568E8D0}"/>
                        </a:ext>
                      </a:extLst>
                    </pic:cNvPr>
                    <pic:cNvPicPr>
                      <a:picLocks noChangeAspect="1"/>
                    </pic:cNvPicPr>
                  </pic:nvPicPr>
                  <pic:blipFill rotWithShape="1">
                    <a:blip r:embed="rId52"/>
                    <a:srcRect t="33776"/>
                    <a:stretch/>
                  </pic:blipFill>
                  <pic:spPr bwMode="auto">
                    <a:xfrm>
                      <a:off x="0" y="0"/>
                      <a:ext cx="2953512" cy="3548548"/>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lastRenderedPageBreak/>
        <w:drawing>
          <wp:inline distT="0" distB="0" distL="0" distR="0" wp14:anchorId="3AB57669" wp14:editId="73BA4020">
            <wp:extent cx="2953372" cy="3519805"/>
            <wp:effectExtent l="0" t="0" r="0" b="4445"/>
            <wp:docPr id="41" name="Picture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F26944-A7DF-4E23-828B-A93838E9A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F26944-A7DF-4E23-828B-A93838E9A4AF}"/>
                        </a:ext>
                      </a:extLst>
                    </pic:cNvPr>
                    <pic:cNvPicPr>
                      <a:picLocks noChangeAspect="1"/>
                    </pic:cNvPicPr>
                  </pic:nvPicPr>
                  <pic:blipFill rotWithShape="1">
                    <a:blip r:embed="rId53"/>
                    <a:srcRect t="34309"/>
                    <a:stretch/>
                  </pic:blipFill>
                  <pic:spPr bwMode="auto">
                    <a:xfrm>
                      <a:off x="0" y="0"/>
                      <a:ext cx="2953512" cy="3519972"/>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drawing>
          <wp:inline distT="0" distB="0" distL="0" distR="0" wp14:anchorId="4D1580D1" wp14:editId="20AC2A1A">
            <wp:extent cx="2953372" cy="3522980"/>
            <wp:effectExtent l="0" t="0" r="0" b="1270"/>
            <wp:docPr id="43" name="Picture 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4D7A4-BD79-42B0-9EC6-9F83F6EE5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4D7A4-BD79-42B0-9EC6-9F83F6EE5BCD}"/>
                        </a:ext>
                      </a:extLst>
                    </pic:cNvPr>
                    <pic:cNvPicPr>
                      <a:picLocks noChangeAspect="1"/>
                    </pic:cNvPicPr>
                  </pic:nvPicPr>
                  <pic:blipFill rotWithShape="1">
                    <a:blip r:embed="rId54"/>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E73FDD">
        <w:rPr>
          <w:noProof/>
        </w:rPr>
        <w:drawing>
          <wp:inline distT="0" distB="0" distL="0" distR="0" wp14:anchorId="4A5FA854" wp14:editId="12EDC141">
            <wp:extent cx="2953372" cy="3522980"/>
            <wp:effectExtent l="0" t="0" r="0" b="1270"/>
            <wp:docPr id="44" name="Picture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EA8E11-E5D5-45BA-9F8C-2A9D1436A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EA8E11-E5D5-45BA-9F8C-2A9D1436A0BC}"/>
                        </a:ext>
                      </a:extLst>
                    </pic:cNvPr>
                    <pic:cNvPicPr>
                      <a:picLocks noChangeAspect="1"/>
                    </pic:cNvPicPr>
                  </pic:nvPicPr>
                  <pic:blipFill rotWithShape="1">
                    <a:blip r:embed="rId55"/>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drawing>
          <wp:inline distT="0" distB="0" distL="0" distR="0" wp14:anchorId="68F132C4" wp14:editId="770BAD7F">
            <wp:extent cx="2953372" cy="3522980"/>
            <wp:effectExtent l="0" t="0" r="0" b="1270"/>
            <wp:docPr id="45" name="Picture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921CE-6C3C-4C2B-B69C-5CB75F3D75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A921CE-6C3C-4C2B-B69C-5CB75F3D75A9}"/>
                        </a:ext>
                      </a:extLst>
                    </pic:cNvPr>
                    <pic:cNvPicPr>
                      <a:picLocks noChangeAspect="1"/>
                    </pic:cNvPicPr>
                  </pic:nvPicPr>
                  <pic:blipFill rotWithShape="1">
                    <a:blip r:embed="rId56"/>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lastRenderedPageBreak/>
        <w:drawing>
          <wp:inline distT="0" distB="0" distL="0" distR="0" wp14:anchorId="35251803" wp14:editId="61078B22">
            <wp:extent cx="2953372" cy="3522980"/>
            <wp:effectExtent l="0" t="0" r="0" b="1270"/>
            <wp:docPr id="46" name="Picture 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E68AA-8E3E-452B-902F-91A89FBE6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0E68AA-8E3E-452B-902F-91A89FBE6614}"/>
                        </a:ext>
                      </a:extLst>
                    </pic:cNvPr>
                    <pic:cNvPicPr>
                      <a:picLocks noChangeAspect="1"/>
                    </pic:cNvPicPr>
                  </pic:nvPicPr>
                  <pic:blipFill rotWithShape="1">
                    <a:blip r:embed="rId57"/>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drawing>
          <wp:inline distT="0" distB="0" distL="0" distR="0" wp14:anchorId="3725D94E" wp14:editId="683DBA01">
            <wp:extent cx="2953372" cy="3522980"/>
            <wp:effectExtent l="0" t="0" r="0" b="1270"/>
            <wp:docPr id="48" name="Picture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06A741-31F0-4256-8519-298EB9CA9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06A741-31F0-4256-8519-298EB9CA9C56}"/>
                        </a:ext>
                      </a:extLst>
                    </pic:cNvPr>
                    <pic:cNvPicPr>
                      <a:picLocks noChangeAspect="1"/>
                    </pic:cNvPicPr>
                  </pic:nvPicPr>
                  <pic:blipFill rotWithShape="1">
                    <a:blip r:embed="rId58"/>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0C7775">
        <w:rPr>
          <w:noProof/>
        </w:rPr>
        <w:drawing>
          <wp:inline distT="0" distB="0" distL="0" distR="0" wp14:anchorId="517A7DD9" wp14:editId="575D7816">
            <wp:extent cx="2925941" cy="3542030"/>
            <wp:effectExtent l="0" t="0" r="8255" b="1270"/>
            <wp:docPr id="50" name="Picture 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FEB5A-5559-49F6-BE41-F62B144D8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FEB5A-5559-49F6-BE41-F62B144D8812}"/>
                        </a:ext>
                      </a:extLst>
                    </pic:cNvPr>
                    <pic:cNvPicPr>
                      <a:picLocks noChangeAspect="1"/>
                    </pic:cNvPicPr>
                  </pic:nvPicPr>
                  <pic:blipFill rotWithShape="1">
                    <a:blip r:embed="rId59"/>
                    <a:srcRect t="33894"/>
                    <a:stretch/>
                  </pic:blipFill>
                  <pic:spPr bwMode="auto">
                    <a:xfrm>
                      <a:off x="0" y="0"/>
                      <a:ext cx="2926080" cy="3542198"/>
                    </a:xfrm>
                    <a:prstGeom prst="rect">
                      <a:avLst/>
                    </a:prstGeom>
                    <a:ln>
                      <a:noFill/>
                    </a:ln>
                    <a:extLst>
                      <a:ext uri="{53640926-AAD7-44D8-BBD7-CCE9431645EC}">
                        <a14:shadowObscured xmlns:a14="http://schemas.microsoft.com/office/drawing/2010/main"/>
                      </a:ext>
                    </a:extLst>
                  </pic:spPr>
                </pic:pic>
              </a:graphicData>
            </a:graphic>
          </wp:inline>
        </w:drawing>
      </w:r>
      <w:r w:rsidR="00897301">
        <w:rPr>
          <w:noProof/>
        </w:rPr>
        <w:drawing>
          <wp:inline distT="0" distB="0" distL="0" distR="0" wp14:anchorId="64C85A98" wp14:editId="6AD903EF">
            <wp:extent cx="2925941" cy="3542030"/>
            <wp:effectExtent l="0" t="0" r="8255" b="1270"/>
            <wp:docPr id="51" name="Picture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A95DE9-3749-4C00-BE39-B7F6DC77A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A95DE9-3749-4C00-BE39-B7F6DC77AC2C}"/>
                        </a:ext>
                      </a:extLst>
                    </pic:cNvPr>
                    <pic:cNvPicPr>
                      <a:picLocks noChangeAspect="1"/>
                    </pic:cNvPicPr>
                  </pic:nvPicPr>
                  <pic:blipFill rotWithShape="1">
                    <a:blip r:embed="rId60"/>
                    <a:srcRect t="33894"/>
                    <a:stretch/>
                  </pic:blipFill>
                  <pic:spPr bwMode="auto">
                    <a:xfrm>
                      <a:off x="0" y="0"/>
                      <a:ext cx="2926080" cy="3542198"/>
                    </a:xfrm>
                    <a:prstGeom prst="rect">
                      <a:avLst/>
                    </a:prstGeom>
                    <a:ln>
                      <a:noFill/>
                    </a:ln>
                    <a:extLst>
                      <a:ext uri="{53640926-AAD7-44D8-BBD7-CCE9431645EC}">
                        <a14:shadowObscured xmlns:a14="http://schemas.microsoft.com/office/drawing/2010/main"/>
                      </a:ext>
                    </a:extLst>
                  </pic:spPr>
                </pic:pic>
              </a:graphicData>
            </a:graphic>
          </wp:inline>
        </w:drawing>
      </w:r>
      <w:r w:rsidR="00897301">
        <w:rPr>
          <w:noProof/>
        </w:rPr>
        <w:lastRenderedPageBreak/>
        <w:drawing>
          <wp:inline distT="0" distB="0" distL="0" distR="0" wp14:anchorId="03FC5AD1" wp14:editId="66D83C37">
            <wp:extent cx="2953372" cy="3535680"/>
            <wp:effectExtent l="0" t="0" r="0" b="7620"/>
            <wp:docPr id="52" name="Picture 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7004A-47C4-4FB7-8900-B366F5D12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7004A-47C4-4FB7-8900-B366F5D12C49}"/>
                        </a:ext>
                      </a:extLst>
                    </pic:cNvPr>
                    <pic:cNvPicPr>
                      <a:picLocks noChangeAspect="1"/>
                    </pic:cNvPicPr>
                  </pic:nvPicPr>
                  <pic:blipFill rotWithShape="1">
                    <a:blip r:embed="rId61"/>
                    <a:srcRect t="34013"/>
                    <a:stretch/>
                  </pic:blipFill>
                  <pic:spPr bwMode="auto">
                    <a:xfrm>
                      <a:off x="0" y="0"/>
                      <a:ext cx="2953512" cy="3535848"/>
                    </a:xfrm>
                    <a:prstGeom prst="rect">
                      <a:avLst/>
                    </a:prstGeom>
                    <a:ln>
                      <a:noFill/>
                    </a:ln>
                    <a:extLst>
                      <a:ext uri="{53640926-AAD7-44D8-BBD7-CCE9431645EC}">
                        <a14:shadowObscured xmlns:a14="http://schemas.microsoft.com/office/drawing/2010/main"/>
                      </a:ext>
                    </a:extLst>
                  </pic:spPr>
                </pic:pic>
              </a:graphicData>
            </a:graphic>
          </wp:inline>
        </w:drawing>
      </w:r>
      <w:r w:rsidR="00210FFF">
        <w:rPr>
          <w:noProof/>
        </w:rPr>
        <w:drawing>
          <wp:inline distT="0" distB="0" distL="0" distR="0" wp14:anchorId="6286759C" wp14:editId="6E00C6F1">
            <wp:extent cx="2953372" cy="354203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t="33894"/>
                    <a:stretch/>
                  </pic:blipFill>
                  <pic:spPr bwMode="auto">
                    <a:xfrm>
                      <a:off x="0" y="0"/>
                      <a:ext cx="2953512" cy="3542198"/>
                    </a:xfrm>
                    <a:prstGeom prst="rect">
                      <a:avLst/>
                    </a:prstGeom>
                    <a:noFill/>
                    <a:ln>
                      <a:noFill/>
                    </a:ln>
                    <a:extLst>
                      <a:ext uri="{53640926-AAD7-44D8-BBD7-CCE9431645EC}">
                        <a14:shadowObscured xmlns:a14="http://schemas.microsoft.com/office/drawing/2010/main"/>
                      </a:ext>
                    </a:extLst>
                  </pic:spPr>
                </pic:pic>
              </a:graphicData>
            </a:graphic>
          </wp:inline>
        </w:drawing>
      </w:r>
      <w:r w:rsidR="00B07B02">
        <w:rPr>
          <w:noProof/>
        </w:rPr>
        <w:drawing>
          <wp:inline distT="0" distB="0" distL="0" distR="0" wp14:anchorId="14CA6A2A" wp14:editId="44FE74E4">
            <wp:extent cx="2953372" cy="35356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a:extLst>
                        <a:ext uri="{28A0092B-C50C-407E-A947-70E740481C1C}">
                          <a14:useLocalDpi xmlns:a14="http://schemas.microsoft.com/office/drawing/2010/main" val="0"/>
                        </a:ext>
                      </a:extLst>
                    </a:blip>
                    <a:srcRect t="34013"/>
                    <a:stretch/>
                  </pic:blipFill>
                  <pic:spPr bwMode="auto">
                    <a:xfrm>
                      <a:off x="0" y="0"/>
                      <a:ext cx="2953512" cy="3535848"/>
                    </a:xfrm>
                    <a:prstGeom prst="rect">
                      <a:avLst/>
                    </a:prstGeom>
                    <a:noFill/>
                    <a:ln>
                      <a:noFill/>
                    </a:ln>
                    <a:extLst>
                      <a:ext uri="{53640926-AAD7-44D8-BBD7-CCE9431645EC}">
                        <a14:shadowObscured xmlns:a14="http://schemas.microsoft.com/office/drawing/2010/main"/>
                      </a:ext>
                    </a:extLst>
                  </pic:spPr>
                </pic:pic>
              </a:graphicData>
            </a:graphic>
          </wp:inline>
        </w:drawing>
      </w:r>
      <w:r w:rsidR="004F6663">
        <w:rPr>
          <w:noProof/>
        </w:rPr>
        <w:drawing>
          <wp:inline distT="0" distB="0" distL="0" distR="0" wp14:anchorId="5E2C49CE" wp14:editId="58811D13">
            <wp:extent cx="2953372" cy="3542030"/>
            <wp:effectExtent l="0" t="0" r="0" b="1270"/>
            <wp:docPr id="56" name="Picture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0417B-C8AC-48B5-8742-EC331CE2E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0417B-C8AC-48B5-8742-EC331CE2EFD4}"/>
                        </a:ext>
                      </a:extLst>
                    </pic:cNvPr>
                    <pic:cNvPicPr>
                      <a:picLocks noChangeAspect="1"/>
                    </pic:cNvPicPr>
                  </pic:nvPicPr>
                  <pic:blipFill rotWithShape="1">
                    <a:blip r:embed="rId64"/>
                    <a:srcRect t="33894"/>
                    <a:stretch/>
                  </pic:blipFill>
                  <pic:spPr bwMode="auto">
                    <a:xfrm>
                      <a:off x="0" y="0"/>
                      <a:ext cx="2953512" cy="3542198"/>
                    </a:xfrm>
                    <a:prstGeom prst="rect">
                      <a:avLst/>
                    </a:prstGeom>
                    <a:ln>
                      <a:noFill/>
                    </a:ln>
                    <a:extLst>
                      <a:ext uri="{53640926-AAD7-44D8-BBD7-CCE9431645EC}">
                        <a14:shadowObscured xmlns:a14="http://schemas.microsoft.com/office/drawing/2010/main"/>
                      </a:ext>
                    </a:extLst>
                  </pic:spPr>
                </pic:pic>
              </a:graphicData>
            </a:graphic>
          </wp:inline>
        </w:drawing>
      </w:r>
      <w:r w:rsidR="004F6663">
        <w:rPr>
          <w:noProof/>
        </w:rPr>
        <w:lastRenderedPageBreak/>
        <w:drawing>
          <wp:inline distT="0" distB="0" distL="0" distR="0" wp14:anchorId="08BEBAA2" wp14:editId="18D6436D">
            <wp:extent cx="2953372" cy="3522980"/>
            <wp:effectExtent l="0" t="0" r="0" b="1270"/>
            <wp:docPr id="58" name="Picture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A0AA36-3881-4ADD-B533-CC441079A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A0AA36-3881-4ADD-B533-CC441079ABC1}"/>
                        </a:ext>
                      </a:extLst>
                    </pic:cNvPr>
                    <pic:cNvPicPr>
                      <a:picLocks noChangeAspect="1"/>
                    </pic:cNvPicPr>
                  </pic:nvPicPr>
                  <pic:blipFill rotWithShape="1">
                    <a:blip r:embed="rId65"/>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4F6663">
        <w:rPr>
          <w:noProof/>
        </w:rPr>
        <w:drawing>
          <wp:inline distT="0" distB="0" distL="0" distR="0" wp14:anchorId="3A608723" wp14:editId="21DA294A">
            <wp:extent cx="2953372" cy="3522980"/>
            <wp:effectExtent l="0" t="0" r="0" b="1270"/>
            <wp:docPr id="59" name="Picture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5B2524-5D2F-4055-8801-2F6E22B67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5B2524-5D2F-4055-8801-2F6E22B675F4}"/>
                        </a:ext>
                      </a:extLst>
                    </pic:cNvPr>
                    <pic:cNvPicPr>
                      <a:picLocks noChangeAspect="1"/>
                    </pic:cNvPicPr>
                  </pic:nvPicPr>
                  <pic:blipFill rotWithShape="1">
                    <a:blip r:embed="rId66"/>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r w:rsidR="00D858C7">
        <w:rPr>
          <w:noProof/>
        </w:rPr>
        <w:drawing>
          <wp:inline distT="0" distB="0" distL="0" distR="0" wp14:anchorId="7121D75C" wp14:editId="1ED6E891">
            <wp:extent cx="2953372" cy="3516630"/>
            <wp:effectExtent l="0" t="0" r="0" b="7620"/>
            <wp:docPr id="61" name="Picture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1EC638-CC13-4619-BF0B-79F1CF9DF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1EC638-CC13-4619-BF0B-79F1CF9DFAD9}"/>
                        </a:ext>
                      </a:extLst>
                    </pic:cNvPr>
                    <pic:cNvPicPr>
                      <a:picLocks noChangeAspect="1"/>
                    </pic:cNvPicPr>
                  </pic:nvPicPr>
                  <pic:blipFill rotWithShape="1">
                    <a:blip r:embed="rId67"/>
                    <a:srcRect t="34368"/>
                    <a:stretch/>
                  </pic:blipFill>
                  <pic:spPr bwMode="auto">
                    <a:xfrm>
                      <a:off x="0" y="0"/>
                      <a:ext cx="2953512" cy="3516797"/>
                    </a:xfrm>
                    <a:prstGeom prst="rect">
                      <a:avLst/>
                    </a:prstGeom>
                    <a:ln>
                      <a:noFill/>
                    </a:ln>
                    <a:extLst>
                      <a:ext uri="{53640926-AAD7-44D8-BBD7-CCE9431645EC}">
                        <a14:shadowObscured xmlns:a14="http://schemas.microsoft.com/office/drawing/2010/main"/>
                      </a:ext>
                    </a:extLst>
                  </pic:spPr>
                </pic:pic>
              </a:graphicData>
            </a:graphic>
          </wp:inline>
        </w:drawing>
      </w:r>
      <w:r w:rsidR="00D858C7">
        <w:rPr>
          <w:noProof/>
        </w:rPr>
        <w:drawing>
          <wp:inline distT="0" distB="0" distL="0" distR="0" wp14:anchorId="0FEB7EF8" wp14:editId="59EA4D54">
            <wp:extent cx="2953372" cy="3522980"/>
            <wp:effectExtent l="0" t="0" r="0" b="1270"/>
            <wp:docPr id="62" name="Picture 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924E77-B1AF-44A0-A0AC-E0CD7720A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924E77-B1AF-44A0-A0AC-E0CD7720AADB}"/>
                        </a:ext>
                      </a:extLst>
                    </pic:cNvPr>
                    <pic:cNvPicPr>
                      <a:picLocks noChangeAspect="1"/>
                    </pic:cNvPicPr>
                  </pic:nvPicPr>
                  <pic:blipFill rotWithShape="1">
                    <a:blip r:embed="rId68"/>
                    <a:srcRect t="34250"/>
                    <a:stretch/>
                  </pic:blipFill>
                  <pic:spPr bwMode="auto">
                    <a:xfrm>
                      <a:off x="0" y="0"/>
                      <a:ext cx="2953512" cy="3523147"/>
                    </a:xfrm>
                    <a:prstGeom prst="rect">
                      <a:avLst/>
                    </a:prstGeom>
                    <a:ln>
                      <a:noFill/>
                    </a:ln>
                    <a:extLst>
                      <a:ext uri="{53640926-AAD7-44D8-BBD7-CCE9431645EC}">
                        <a14:shadowObscured xmlns:a14="http://schemas.microsoft.com/office/drawing/2010/main"/>
                      </a:ext>
                    </a:extLst>
                  </pic:spPr>
                </pic:pic>
              </a:graphicData>
            </a:graphic>
          </wp:inline>
        </w:drawing>
      </w:r>
    </w:p>
    <w:p w14:paraId="75012A43" w14:textId="77777777" w:rsidR="004F6663" w:rsidRDefault="004F6663" w:rsidP="00897301"/>
    <w:p w14:paraId="09D9E419" w14:textId="5FF955F8" w:rsidR="007876A4" w:rsidRDefault="00DC492E" w:rsidP="008A6BDD">
      <w:pPr>
        <w:pStyle w:val="Caption"/>
      </w:pPr>
      <w:r>
        <w:lastRenderedPageBreak/>
        <w:t xml:space="preserve">Table </w:t>
      </w:r>
      <w:r w:rsidR="00B8765B">
        <w:fldChar w:fldCharType="begin"/>
      </w:r>
      <w:r w:rsidR="00B8765B">
        <w:instrText xml:space="preserve"> SEQ Table \* ARABIC </w:instrText>
      </w:r>
      <w:r w:rsidR="00B8765B">
        <w:fldChar w:fldCharType="separate"/>
      </w:r>
      <w:r w:rsidR="00FD431B">
        <w:rPr>
          <w:noProof/>
        </w:rPr>
        <w:t>14</w:t>
      </w:r>
      <w:r w:rsidR="00B8765B">
        <w:rPr>
          <w:noProof/>
        </w:rPr>
        <w:fldChar w:fldCharType="end"/>
      </w:r>
      <w:r>
        <w:t>:  Distribution Demand Regression Variables</w:t>
      </w:r>
    </w:p>
    <w:p w14:paraId="6943F5A0" w14:textId="5D0E54D9" w:rsidR="00DC492E" w:rsidRDefault="00DC492E" w:rsidP="008A6BDD">
      <w:pPr>
        <w:pStyle w:val="Caption"/>
      </w:pPr>
      <w:r w:rsidRPr="00DC492E">
        <w:rPr>
          <w:noProof/>
        </w:rPr>
        <w:drawing>
          <wp:inline distT="0" distB="0" distL="0" distR="0" wp14:anchorId="6DCB6E2D" wp14:editId="1FD760F1">
            <wp:extent cx="5942138" cy="4645152"/>
            <wp:effectExtent l="0" t="0" r="190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2138" cy="4645152"/>
                    </a:xfrm>
                    <a:prstGeom prst="rect">
                      <a:avLst/>
                    </a:prstGeom>
                    <a:noFill/>
                    <a:ln>
                      <a:noFill/>
                    </a:ln>
                  </pic:spPr>
                </pic:pic>
              </a:graphicData>
            </a:graphic>
          </wp:inline>
        </w:drawing>
      </w:r>
    </w:p>
    <w:p w14:paraId="4F38DE0C" w14:textId="31651ECB" w:rsidR="00C920DD" w:rsidRDefault="00C920DD" w:rsidP="008A6BDD"/>
    <w:p w14:paraId="0F5B2299" w14:textId="4156A502" w:rsidR="00C920DD" w:rsidRDefault="00C920DD" w:rsidP="008A6BDD">
      <w:pPr>
        <w:pStyle w:val="Caption"/>
      </w:pPr>
      <w:r>
        <w:lastRenderedPageBreak/>
        <w:t xml:space="preserve">Table </w:t>
      </w:r>
      <w:r w:rsidR="00B8765B">
        <w:fldChar w:fldCharType="begin"/>
      </w:r>
      <w:r w:rsidR="00B8765B">
        <w:instrText xml:space="preserve"> SEQ Table \* ARABIC </w:instrText>
      </w:r>
      <w:r w:rsidR="00B8765B">
        <w:fldChar w:fldCharType="separate"/>
      </w:r>
      <w:r w:rsidR="00FD431B">
        <w:rPr>
          <w:noProof/>
        </w:rPr>
        <w:t>15</w:t>
      </w:r>
      <w:r w:rsidR="00B8765B">
        <w:rPr>
          <w:noProof/>
        </w:rPr>
        <w:fldChar w:fldCharType="end"/>
      </w:r>
      <w:r>
        <w:t>:  Distribution Demand Regression Model Fit</w:t>
      </w:r>
    </w:p>
    <w:p w14:paraId="50BEC2A6" w14:textId="2E2366AE" w:rsidR="00C920DD" w:rsidRDefault="00C920DD" w:rsidP="008A6BDD">
      <w:pPr>
        <w:pStyle w:val="NoSpacing"/>
      </w:pPr>
      <w:r w:rsidRPr="00C920DD">
        <w:rPr>
          <w:noProof/>
          <w:lang w:eastAsia="en-US"/>
        </w:rPr>
        <w:drawing>
          <wp:inline distT="0" distB="0" distL="0" distR="0" wp14:anchorId="39428E4F" wp14:editId="1F26F85B">
            <wp:extent cx="2657475" cy="3248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7475" cy="3248025"/>
                    </a:xfrm>
                    <a:prstGeom prst="rect">
                      <a:avLst/>
                    </a:prstGeom>
                    <a:noFill/>
                    <a:ln>
                      <a:noFill/>
                    </a:ln>
                  </pic:spPr>
                </pic:pic>
              </a:graphicData>
            </a:graphic>
          </wp:inline>
        </w:drawing>
      </w:r>
    </w:p>
    <w:p w14:paraId="46BD339F" w14:textId="64267FC6" w:rsidR="00C920DD" w:rsidRDefault="00C920DD" w:rsidP="008A6BDD">
      <w:pPr>
        <w:pStyle w:val="NoSpacing"/>
        <w:rPr>
          <w:i/>
        </w:rPr>
      </w:pPr>
      <w:r w:rsidRPr="008A6BDD">
        <w:rPr>
          <w:i/>
          <w:iCs/>
        </w:rPr>
        <w:t>Note that not all climate zones have readily available load data.  In those cases, the regression equations from comparable climate zones were applied.</w:t>
      </w:r>
    </w:p>
    <w:p w14:paraId="3400C937" w14:textId="4E6B5C0F" w:rsidR="00701197" w:rsidRPr="00813981" w:rsidRDefault="00701197" w:rsidP="008A6BDD">
      <w:pPr>
        <w:pStyle w:val="Heading2"/>
      </w:pPr>
      <w:bookmarkStart w:id="71" w:name="_Toc514055056"/>
      <w:r w:rsidRPr="00C97CE1">
        <w:lastRenderedPageBreak/>
        <w:t>Distribution Load Simulation Reg</w:t>
      </w:r>
      <w:r w:rsidRPr="00020926">
        <w:t>ression Model</w:t>
      </w:r>
      <w:r w:rsidR="00A94233" w:rsidRPr="008A6BDD">
        <w:rPr>
          <w:i/>
        </w:rPr>
        <w:t xml:space="preserve"> Specifications</w:t>
      </w:r>
      <w:bookmarkEnd w:id="71"/>
    </w:p>
    <w:p w14:paraId="6238F174" w14:textId="491A8095" w:rsidR="77BD5CEC" w:rsidRDefault="492AF21E" w:rsidP="008A6BDD">
      <w:pPr>
        <w:pStyle w:val="Caption"/>
      </w:pPr>
      <w:r w:rsidRPr="492AF21E">
        <w:t>CZ2</w:t>
      </w:r>
    </w:p>
    <w:p w14:paraId="4ADABA59" w14:textId="69DFF0F9" w:rsidR="77BD5CEC" w:rsidRDefault="00A94233">
      <w:r>
        <w:rPr>
          <w:noProof/>
        </w:rPr>
        <w:drawing>
          <wp:inline distT="0" distB="0" distL="0" distR="0" wp14:anchorId="3A71B300" wp14:editId="3957BFD2">
            <wp:extent cx="3044952" cy="6483096"/>
            <wp:effectExtent l="0" t="0" r="3175" b="0"/>
            <wp:docPr id="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3044952" cy="6483096"/>
                    </a:xfrm>
                    <a:prstGeom prst="rect">
                      <a:avLst/>
                    </a:prstGeom>
                  </pic:spPr>
                </pic:pic>
              </a:graphicData>
            </a:graphic>
          </wp:inline>
        </w:drawing>
      </w:r>
      <w:r>
        <w:br w:type="textWrapping" w:clear="all"/>
      </w:r>
    </w:p>
    <w:p w14:paraId="0AD77018" w14:textId="02517145" w:rsidR="25C2119A" w:rsidRDefault="25C2119A" w:rsidP="008A6BDD">
      <w:pPr>
        <w:pStyle w:val="Caption"/>
      </w:pPr>
      <w:r w:rsidRPr="44F07EA1">
        <w:lastRenderedPageBreak/>
        <w:t>CZ3</w:t>
      </w:r>
    </w:p>
    <w:p w14:paraId="2D277DB8" w14:textId="02517145" w:rsidR="25C2119A" w:rsidRDefault="25C2119A">
      <w:r>
        <w:rPr>
          <w:noProof/>
        </w:rPr>
        <w:drawing>
          <wp:inline distT="0" distB="0" distL="0" distR="0" wp14:anchorId="0BBE586D" wp14:editId="582A4168">
            <wp:extent cx="3123634" cy="7394027"/>
            <wp:effectExtent l="0" t="0" r="635" b="0"/>
            <wp:docPr id="13218591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3130138" cy="7409423"/>
                    </a:xfrm>
                    <a:prstGeom prst="rect">
                      <a:avLst/>
                    </a:prstGeom>
                  </pic:spPr>
                </pic:pic>
              </a:graphicData>
            </a:graphic>
          </wp:inline>
        </w:drawing>
      </w:r>
    </w:p>
    <w:p w14:paraId="0DB5BC20" w14:textId="44F46A1D" w:rsidR="44F07EA1" w:rsidRDefault="413677E5" w:rsidP="008A6BDD">
      <w:pPr>
        <w:pStyle w:val="Caption"/>
      </w:pPr>
      <w:r>
        <w:lastRenderedPageBreak/>
        <w:t>CZ4</w:t>
      </w:r>
    </w:p>
    <w:p w14:paraId="0F56DB11" w14:textId="26D42B7A" w:rsidR="413677E5" w:rsidRDefault="413677E5">
      <w:r>
        <w:rPr>
          <w:noProof/>
        </w:rPr>
        <w:drawing>
          <wp:inline distT="0" distB="0" distL="0" distR="0" wp14:anchorId="2B5AD347" wp14:editId="70F7452B">
            <wp:extent cx="2950469" cy="6984124"/>
            <wp:effectExtent l="0" t="0" r="2540" b="7620"/>
            <wp:docPr id="3583344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2965226" cy="7019056"/>
                    </a:xfrm>
                    <a:prstGeom prst="rect">
                      <a:avLst/>
                    </a:prstGeom>
                  </pic:spPr>
                </pic:pic>
              </a:graphicData>
            </a:graphic>
          </wp:inline>
        </w:drawing>
      </w:r>
    </w:p>
    <w:p w14:paraId="3EBCA83B" w14:textId="55869E17" w:rsidR="413677E5" w:rsidRDefault="413677E5"/>
    <w:p w14:paraId="42584C9C" w14:textId="2519BBFC" w:rsidR="44F07EA1" w:rsidRDefault="48FDF49C" w:rsidP="008A6BDD">
      <w:pPr>
        <w:pStyle w:val="Caption"/>
      </w:pPr>
      <w:r>
        <w:lastRenderedPageBreak/>
        <w:t>CZ6</w:t>
      </w:r>
    </w:p>
    <w:p w14:paraId="1F92D87F" w14:textId="78A07587" w:rsidR="492AF21E" w:rsidRDefault="48FDF49C">
      <w:r>
        <w:rPr>
          <w:noProof/>
        </w:rPr>
        <w:drawing>
          <wp:inline distT="0" distB="0" distL="0" distR="0" wp14:anchorId="7DE3AACB" wp14:editId="3F4D17C8">
            <wp:extent cx="3367252" cy="7346731"/>
            <wp:effectExtent l="0" t="0" r="5080" b="6985"/>
            <wp:docPr id="4855601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3374016" cy="7361489"/>
                    </a:xfrm>
                    <a:prstGeom prst="rect">
                      <a:avLst/>
                    </a:prstGeom>
                  </pic:spPr>
                </pic:pic>
              </a:graphicData>
            </a:graphic>
          </wp:inline>
        </w:drawing>
      </w:r>
    </w:p>
    <w:p w14:paraId="7BC40A00" w14:textId="70508629" w:rsidR="77BD5CEC" w:rsidRDefault="6207A5B9" w:rsidP="008A6BDD">
      <w:pPr>
        <w:pStyle w:val="Caption"/>
      </w:pPr>
      <w:r>
        <w:lastRenderedPageBreak/>
        <w:t>CZ7</w:t>
      </w:r>
    </w:p>
    <w:p w14:paraId="4C3BB315" w14:textId="4640B124" w:rsidR="6207A5B9" w:rsidRDefault="6207A5B9">
      <w:r>
        <w:rPr>
          <w:noProof/>
        </w:rPr>
        <w:drawing>
          <wp:inline distT="0" distB="0" distL="0" distR="0" wp14:anchorId="3E68CDEC" wp14:editId="1454B8E6">
            <wp:extent cx="3410258" cy="7267903"/>
            <wp:effectExtent l="0" t="0" r="0" b="0"/>
            <wp:docPr id="16276914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3420288" cy="7289279"/>
                    </a:xfrm>
                    <a:prstGeom prst="rect">
                      <a:avLst/>
                    </a:prstGeom>
                  </pic:spPr>
                </pic:pic>
              </a:graphicData>
            </a:graphic>
          </wp:inline>
        </w:drawing>
      </w:r>
    </w:p>
    <w:p w14:paraId="7BBB344D" w14:textId="2852A568" w:rsidR="6207A5B9" w:rsidRDefault="6207A5B9" w:rsidP="008A6BDD">
      <w:pPr>
        <w:pStyle w:val="Caption"/>
      </w:pPr>
      <w:r w:rsidRPr="41D85F30">
        <w:lastRenderedPageBreak/>
        <w:t>CZ8</w:t>
      </w:r>
    </w:p>
    <w:p w14:paraId="2EBA5AA1" w14:textId="6083235B" w:rsidR="41D85F30" w:rsidRDefault="41D85F30">
      <w:r>
        <w:rPr>
          <w:noProof/>
        </w:rPr>
        <w:drawing>
          <wp:inline distT="0" distB="0" distL="0" distR="0" wp14:anchorId="6ADB5036" wp14:editId="4438E6D1">
            <wp:extent cx="3255688" cy="7157544"/>
            <wp:effectExtent l="0" t="0" r="1905" b="5715"/>
            <wp:docPr id="16775283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3264193" cy="7176241"/>
                    </a:xfrm>
                    <a:prstGeom prst="rect">
                      <a:avLst/>
                    </a:prstGeom>
                  </pic:spPr>
                </pic:pic>
              </a:graphicData>
            </a:graphic>
          </wp:inline>
        </w:drawing>
      </w:r>
    </w:p>
    <w:p w14:paraId="56C55EA2" w14:textId="378F210B" w:rsidR="41D85F30" w:rsidRDefault="41D85F30" w:rsidP="008A6BDD">
      <w:pPr>
        <w:pStyle w:val="Caption"/>
      </w:pPr>
      <w:r w:rsidRPr="2C462462">
        <w:lastRenderedPageBreak/>
        <w:t>CZ9</w:t>
      </w:r>
    </w:p>
    <w:p w14:paraId="69D26A37" w14:textId="113DF10C" w:rsidR="2C462462" w:rsidRDefault="2C462462">
      <w:r>
        <w:rPr>
          <w:noProof/>
        </w:rPr>
        <w:drawing>
          <wp:inline distT="0" distB="0" distL="0" distR="0" wp14:anchorId="61EE5462" wp14:editId="100BD2E7">
            <wp:extent cx="3302219" cy="7204841"/>
            <wp:effectExtent l="0" t="0" r="0" b="0"/>
            <wp:docPr id="12783818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3311033" cy="7224071"/>
                    </a:xfrm>
                    <a:prstGeom prst="rect">
                      <a:avLst/>
                    </a:prstGeom>
                  </pic:spPr>
                </pic:pic>
              </a:graphicData>
            </a:graphic>
          </wp:inline>
        </w:drawing>
      </w:r>
    </w:p>
    <w:p w14:paraId="3F0A9737" w14:textId="3F0FCBA8" w:rsidR="2C462462" w:rsidRDefault="2C462462" w:rsidP="008A6BDD">
      <w:pPr>
        <w:pStyle w:val="Caption"/>
      </w:pPr>
      <w:r w:rsidRPr="09F81006">
        <w:lastRenderedPageBreak/>
        <w:t>CZ 10</w:t>
      </w:r>
    </w:p>
    <w:p w14:paraId="23D39B57" w14:textId="3EC9A372" w:rsidR="09F81006" w:rsidRDefault="447D286F">
      <w:r>
        <w:rPr>
          <w:noProof/>
        </w:rPr>
        <w:drawing>
          <wp:inline distT="0" distB="0" distL="0" distR="0" wp14:anchorId="1F663033" wp14:editId="431083FE">
            <wp:extent cx="3224541" cy="7236372"/>
            <wp:effectExtent l="0" t="0" r="0" b="3175"/>
            <wp:docPr id="5002500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3234765" cy="7259317"/>
                    </a:xfrm>
                    <a:prstGeom prst="rect">
                      <a:avLst/>
                    </a:prstGeom>
                  </pic:spPr>
                </pic:pic>
              </a:graphicData>
            </a:graphic>
          </wp:inline>
        </w:drawing>
      </w:r>
    </w:p>
    <w:p w14:paraId="61264BC2" w14:textId="37561A55" w:rsidR="09F81006" w:rsidRDefault="09F81006" w:rsidP="008A6BDD">
      <w:pPr>
        <w:pStyle w:val="Caption"/>
      </w:pPr>
      <w:r w:rsidRPr="650AC115">
        <w:lastRenderedPageBreak/>
        <w:t>CZ1</w:t>
      </w:r>
      <w:r w:rsidR="33D0320E" w:rsidRPr="650AC115">
        <w:t>2</w:t>
      </w:r>
    </w:p>
    <w:p w14:paraId="53847694" w14:textId="11595A9D" w:rsidR="650AC115" w:rsidRDefault="650AC115">
      <w:r>
        <w:rPr>
          <w:noProof/>
        </w:rPr>
        <w:drawing>
          <wp:inline distT="0" distB="0" distL="0" distR="0" wp14:anchorId="2310722C" wp14:editId="1F1C403C">
            <wp:extent cx="3440005" cy="7220606"/>
            <wp:effectExtent l="0" t="0" r="8255" b="0"/>
            <wp:docPr id="513478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3448234" cy="7237878"/>
                    </a:xfrm>
                    <a:prstGeom prst="rect">
                      <a:avLst/>
                    </a:prstGeom>
                  </pic:spPr>
                </pic:pic>
              </a:graphicData>
            </a:graphic>
          </wp:inline>
        </w:drawing>
      </w:r>
    </w:p>
    <w:p w14:paraId="1CD81701" w14:textId="3373D7EA" w:rsidR="33D0320E" w:rsidRDefault="33D0320E" w:rsidP="008A6BDD">
      <w:pPr>
        <w:pStyle w:val="Caption"/>
      </w:pPr>
      <w:r>
        <w:lastRenderedPageBreak/>
        <w:t>CZ13</w:t>
      </w:r>
    </w:p>
    <w:p w14:paraId="5AFE2055" w14:textId="52D56F65" w:rsidR="33D0320E" w:rsidRDefault="33D0320E">
      <w:r>
        <w:rPr>
          <w:noProof/>
        </w:rPr>
        <w:drawing>
          <wp:inline distT="0" distB="0" distL="0" distR="0" wp14:anchorId="5B273469" wp14:editId="59C0437C">
            <wp:extent cx="3613714" cy="7236372"/>
            <wp:effectExtent l="0" t="0" r="6350" b="3175"/>
            <wp:docPr id="185015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3623489" cy="7255945"/>
                    </a:xfrm>
                    <a:prstGeom prst="rect">
                      <a:avLst/>
                    </a:prstGeom>
                  </pic:spPr>
                </pic:pic>
              </a:graphicData>
            </a:graphic>
          </wp:inline>
        </w:drawing>
      </w:r>
    </w:p>
    <w:p w14:paraId="2559D71A" w14:textId="574002FE" w:rsidR="33D0320E" w:rsidRDefault="33D0320E" w:rsidP="008A6BDD">
      <w:pPr>
        <w:pStyle w:val="Caption"/>
      </w:pPr>
      <w:r w:rsidRPr="5D92EB5A">
        <w:lastRenderedPageBreak/>
        <w:t>C</w:t>
      </w:r>
      <w:r w:rsidR="5D92EB5A" w:rsidRPr="5D92EB5A">
        <w:t xml:space="preserve">Z </w:t>
      </w:r>
      <w:r w:rsidRPr="5D92EB5A">
        <w:t>14</w:t>
      </w:r>
    </w:p>
    <w:p w14:paraId="0B9DC222" w14:textId="6C2765C7" w:rsidR="5D92EB5A" w:rsidRDefault="5D92EB5A">
      <w:r>
        <w:rPr>
          <w:noProof/>
        </w:rPr>
        <w:drawing>
          <wp:inline distT="0" distB="0" distL="0" distR="0" wp14:anchorId="60550ED3" wp14:editId="6DC91A3D">
            <wp:extent cx="3566476" cy="7141779"/>
            <wp:effectExtent l="0" t="0" r="0" b="2540"/>
            <wp:docPr id="18164666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0">
                      <a:extLst>
                        <a:ext uri="{28A0092B-C50C-407E-A947-70E740481C1C}">
                          <a14:useLocalDpi xmlns:a14="http://schemas.microsoft.com/office/drawing/2010/main" val="0"/>
                        </a:ext>
                      </a:extLst>
                    </a:blip>
                    <a:stretch>
                      <a:fillRect/>
                    </a:stretch>
                  </pic:blipFill>
                  <pic:spPr>
                    <a:xfrm>
                      <a:off x="0" y="0"/>
                      <a:ext cx="3571431" cy="7151702"/>
                    </a:xfrm>
                    <a:prstGeom prst="rect">
                      <a:avLst/>
                    </a:prstGeom>
                  </pic:spPr>
                </pic:pic>
              </a:graphicData>
            </a:graphic>
          </wp:inline>
        </w:drawing>
      </w:r>
    </w:p>
    <w:p w14:paraId="43C0999F" w14:textId="4B93CEEA" w:rsidR="4C3BBB81" w:rsidRDefault="4C3BBB81" w:rsidP="008A6BDD">
      <w:pPr>
        <w:pStyle w:val="Caption"/>
      </w:pPr>
      <w:r>
        <w:lastRenderedPageBreak/>
        <w:t>CZ15</w:t>
      </w:r>
    </w:p>
    <w:p w14:paraId="6108D7C2" w14:textId="5890195D" w:rsidR="5D92EB5A" w:rsidRDefault="4C3BBB81">
      <w:r>
        <w:rPr>
          <w:noProof/>
        </w:rPr>
        <w:drawing>
          <wp:inline distT="0" distB="0" distL="0" distR="0" wp14:anchorId="01543333" wp14:editId="1F969D38">
            <wp:extent cx="3302000" cy="7315200"/>
            <wp:effectExtent l="0" t="0" r="0" b="0"/>
            <wp:docPr id="17664642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1">
                      <a:extLst>
                        <a:ext uri="{28A0092B-C50C-407E-A947-70E740481C1C}">
                          <a14:useLocalDpi xmlns:a14="http://schemas.microsoft.com/office/drawing/2010/main" val="0"/>
                        </a:ext>
                      </a:extLst>
                    </a:blip>
                    <a:stretch>
                      <a:fillRect/>
                    </a:stretch>
                  </pic:blipFill>
                  <pic:spPr>
                    <a:xfrm>
                      <a:off x="0" y="0"/>
                      <a:ext cx="3313621" cy="7340945"/>
                    </a:xfrm>
                    <a:prstGeom prst="rect">
                      <a:avLst/>
                    </a:prstGeom>
                  </pic:spPr>
                </pic:pic>
              </a:graphicData>
            </a:graphic>
          </wp:inline>
        </w:drawing>
      </w:r>
    </w:p>
    <w:p w14:paraId="56082D65" w14:textId="453BB01A" w:rsidR="5D92EB5A" w:rsidRDefault="31AB0B47" w:rsidP="008A6BDD">
      <w:pPr>
        <w:pStyle w:val="Caption"/>
      </w:pPr>
      <w:r>
        <w:lastRenderedPageBreak/>
        <w:t>CZ16</w:t>
      </w:r>
    </w:p>
    <w:p w14:paraId="5D47DBE1" w14:textId="645AC621" w:rsidR="31AB0B47" w:rsidRDefault="31AB0B47">
      <w:r>
        <w:rPr>
          <w:noProof/>
        </w:rPr>
        <w:drawing>
          <wp:inline distT="0" distB="0" distL="0" distR="0" wp14:anchorId="0386BC14" wp14:editId="4D641997">
            <wp:extent cx="3437211" cy="7173310"/>
            <wp:effectExtent l="0" t="0" r="0" b="0"/>
            <wp:docPr id="3539475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2">
                      <a:extLst>
                        <a:ext uri="{28A0092B-C50C-407E-A947-70E740481C1C}">
                          <a14:useLocalDpi xmlns:a14="http://schemas.microsoft.com/office/drawing/2010/main" val="0"/>
                        </a:ext>
                      </a:extLst>
                    </a:blip>
                    <a:stretch>
                      <a:fillRect/>
                    </a:stretch>
                  </pic:blipFill>
                  <pic:spPr>
                    <a:xfrm>
                      <a:off x="0" y="0"/>
                      <a:ext cx="3443038" cy="7185471"/>
                    </a:xfrm>
                    <a:prstGeom prst="rect">
                      <a:avLst/>
                    </a:prstGeom>
                  </pic:spPr>
                </pic:pic>
              </a:graphicData>
            </a:graphic>
          </wp:inline>
        </w:drawing>
      </w:r>
    </w:p>
    <w:p w14:paraId="38757063" w14:textId="18F99D16" w:rsidR="48773D83" w:rsidRDefault="48773D83">
      <w:r>
        <w:lastRenderedPageBreak/>
        <w:br w:type="page"/>
      </w:r>
    </w:p>
    <w:p w14:paraId="657D5C3E" w14:textId="27F090FF" w:rsidR="63B5EF78" w:rsidRPr="00E439E8" w:rsidRDefault="63B5EF78">
      <w:pPr>
        <w:pStyle w:val="Heading1"/>
        <w:rPr>
          <w:lang w:val="en-US"/>
        </w:rPr>
      </w:pPr>
      <w:bookmarkStart w:id="72" w:name="_Toc514055057"/>
      <w:r w:rsidRPr="0078015E">
        <w:lastRenderedPageBreak/>
        <w:t xml:space="preserve">User </w:t>
      </w:r>
      <w:r w:rsidR="5EBC713F" w:rsidRPr="0078015E">
        <w:t xml:space="preserve">Quick </w:t>
      </w:r>
      <w:r w:rsidRPr="0078015E">
        <w:t>Guide</w:t>
      </w:r>
      <w:r w:rsidR="4941E8D8" w:rsidRPr="0078015E">
        <w:t xml:space="preserve">   </w:t>
      </w:r>
      <w:r w:rsidR="00B43108">
        <w:rPr>
          <w:lang w:val="en-US"/>
        </w:rPr>
        <w:t xml:space="preserve">ACC </w:t>
      </w:r>
      <w:r w:rsidR="00C81396">
        <w:rPr>
          <w:lang w:val="en-US"/>
        </w:rPr>
        <w:t xml:space="preserve">2018 </w:t>
      </w:r>
      <w:r w:rsidR="00B43108">
        <w:rPr>
          <w:lang w:val="en-US"/>
        </w:rPr>
        <w:t>v1</w:t>
      </w:r>
      <w:r w:rsidR="007908A9">
        <w:rPr>
          <w:lang w:val="en-US"/>
        </w:rPr>
        <w:t>d</w:t>
      </w:r>
      <w:bookmarkEnd w:id="72"/>
    </w:p>
    <w:p w14:paraId="4B5BCB3E" w14:textId="64BD6014" w:rsidR="542F65D8" w:rsidRPr="00020926" w:rsidRDefault="269F9AF4" w:rsidP="008A6BDD">
      <w:pPr>
        <w:pStyle w:val="Heading2"/>
      </w:pPr>
      <w:bookmarkStart w:id="73" w:name="_Toc514055058"/>
      <w:r w:rsidRPr="00C97CE1">
        <w:t>Purpose</w:t>
      </w:r>
      <w:bookmarkEnd w:id="73"/>
    </w:p>
    <w:p w14:paraId="35DEF7FC" w14:textId="25F07629" w:rsidR="542F65D8" w:rsidRDefault="22C612E7">
      <w:r>
        <w:t xml:space="preserve">The Avoided Cost </w:t>
      </w:r>
      <w:r w:rsidR="00B43108">
        <w:t xml:space="preserve">Calculator </w:t>
      </w:r>
      <w:r>
        <w:t>(</w:t>
      </w:r>
      <w:r w:rsidR="00B43108">
        <w:t>ACC</w:t>
      </w:r>
      <w:r>
        <w:t xml:space="preserve">) </w:t>
      </w:r>
      <w:r w:rsidR="4612FEEA">
        <w:t xml:space="preserve">is a Microsoft Excel-based tool to </w:t>
      </w:r>
      <w:r w:rsidR="267EB7E2">
        <w:t xml:space="preserve">calculate electricity avoided costs </w:t>
      </w:r>
      <w:r w:rsidR="17562FED">
        <w:t xml:space="preserve">by hour and component.  </w:t>
      </w:r>
      <w:r w:rsidR="2A1C32A5">
        <w:t xml:space="preserve">The </w:t>
      </w:r>
      <w:r w:rsidR="00B43108">
        <w:t xml:space="preserve">ACC </w:t>
      </w:r>
      <w:r w:rsidR="2A1C32A5">
        <w:t>shows levelized hourly c</w:t>
      </w:r>
      <w:r w:rsidR="5C41FFA1">
        <w:t>osts by component for one year on the</w:t>
      </w:r>
      <w:r w:rsidR="5C41FFA1" w:rsidRPr="008A6BDD">
        <w:rPr>
          <w:b/>
          <w:bCs/>
        </w:rPr>
        <w:t xml:space="preserve"> </w:t>
      </w:r>
      <w:r w:rsidR="00CE1B8E">
        <w:rPr>
          <w:b/>
          <w:bCs/>
        </w:rPr>
        <w:t>Dashboard</w:t>
      </w:r>
      <w:r w:rsidR="5C41FFA1">
        <w:t xml:space="preserve"> tab.  </w:t>
      </w:r>
      <w:r w:rsidR="398EA8BC">
        <w:t xml:space="preserve">The </w:t>
      </w:r>
      <w:r w:rsidR="00B43108">
        <w:t xml:space="preserve">ACC </w:t>
      </w:r>
      <w:r w:rsidR="398EA8BC">
        <w:t>ca</w:t>
      </w:r>
      <w:r w:rsidR="608AEB6E">
        <w:t xml:space="preserve">n also generate the </w:t>
      </w:r>
      <w:r w:rsidR="00B43108">
        <w:t xml:space="preserve">31 </w:t>
      </w:r>
      <w:r w:rsidR="608AEB6E">
        <w:t>year matri</w:t>
      </w:r>
      <w:r w:rsidR="09FFC427">
        <w:t>ces</w:t>
      </w:r>
      <w:r w:rsidR="608AEB6E">
        <w:t xml:space="preserve"> of hourly costs </w:t>
      </w:r>
      <w:r w:rsidR="5DB03B08">
        <w:t>by climat</w:t>
      </w:r>
      <w:r w:rsidR="09FFC427">
        <w:t xml:space="preserve">e zone </w:t>
      </w:r>
      <w:r w:rsidR="5DB03B08">
        <w:t xml:space="preserve">that are used for energy efficiency evaluation in California.  </w:t>
      </w:r>
      <w:r w:rsidR="09FFC427">
        <w:t xml:space="preserve">These </w:t>
      </w:r>
      <w:r w:rsidR="00B43108">
        <w:t xml:space="preserve">31 </w:t>
      </w:r>
      <w:r w:rsidR="6A7F16D0">
        <w:t>year matrices are generated via VBA code and executed via the</w:t>
      </w:r>
      <w:r w:rsidR="6A7F16D0" w:rsidRPr="008A6BDD">
        <w:rPr>
          <w:b/>
          <w:bCs/>
        </w:rPr>
        <w:t xml:space="preserve"> </w:t>
      </w:r>
      <w:r w:rsidR="56BFC27A" w:rsidRPr="008A6BDD">
        <w:rPr>
          <w:b/>
          <w:bCs/>
        </w:rPr>
        <w:t>Export Annual Avoided Costs</w:t>
      </w:r>
      <w:r w:rsidR="00B43108">
        <w:rPr>
          <w:b/>
          <w:bCs/>
        </w:rPr>
        <w:t xml:space="preserve"> – ALL CZ </w:t>
      </w:r>
      <w:r w:rsidR="00B43108" w:rsidRPr="00E439E8">
        <w:rPr>
          <w:bCs/>
        </w:rPr>
        <w:t>and</w:t>
      </w:r>
      <w:r w:rsidR="00B43108">
        <w:rPr>
          <w:b/>
          <w:bCs/>
        </w:rPr>
        <w:t xml:space="preserve"> Export Gen 7 </w:t>
      </w:r>
      <w:proofErr w:type="spellStart"/>
      <w:r w:rsidR="00B43108">
        <w:rPr>
          <w:b/>
          <w:bCs/>
        </w:rPr>
        <w:t>Env</w:t>
      </w:r>
      <w:proofErr w:type="spellEnd"/>
      <w:r w:rsidR="00B43108">
        <w:rPr>
          <w:b/>
          <w:bCs/>
        </w:rPr>
        <w:t xml:space="preserve"> for EE</w:t>
      </w:r>
      <w:r w:rsidR="56BFC27A">
        <w:t xml:space="preserve"> </w:t>
      </w:r>
      <w:proofErr w:type="spellStart"/>
      <w:r w:rsidR="56BFC27A">
        <w:t>butto</w:t>
      </w:r>
      <w:r w:rsidR="00B43108">
        <w:t>s</w:t>
      </w:r>
      <w:r w:rsidR="56BFC27A">
        <w:t>n</w:t>
      </w:r>
      <w:proofErr w:type="spellEnd"/>
      <w:r w:rsidR="56BFC27A">
        <w:t xml:space="preserve"> on the </w:t>
      </w:r>
      <w:r w:rsidR="00CE1B8E">
        <w:rPr>
          <w:b/>
          <w:bCs/>
        </w:rPr>
        <w:t>Dashboard</w:t>
      </w:r>
      <w:r w:rsidR="56BFC27A">
        <w:t xml:space="preserve"> tab.  </w:t>
      </w:r>
    </w:p>
    <w:p w14:paraId="2CF4C4B6" w14:textId="3E5A9F3E" w:rsidR="4B30F5A7" w:rsidRDefault="5EA42FD1" w:rsidP="008A6BDD">
      <w:pPr>
        <w:pStyle w:val="Heading2"/>
      </w:pPr>
      <w:bookmarkStart w:id="74" w:name="_Toc514055059"/>
      <w:r w:rsidRPr="5EA42FD1">
        <w:t>Using the Model</w:t>
      </w:r>
      <w:bookmarkEnd w:id="74"/>
    </w:p>
    <w:p w14:paraId="3FD72010" w14:textId="451DFFD5" w:rsidR="397B6B0F" w:rsidRDefault="397B6B0F">
      <w:r w:rsidRPr="397B6B0F">
        <w:t xml:space="preserve">The </w:t>
      </w:r>
      <w:r w:rsidR="00CE1B8E">
        <w:rPr>
          <w:b/>
          <w:bCs/>
          <w:color w:val="315361" w:themeColor="text2"/>
        </w:rPr>
        <w:t xml:space="preserve">Dashboard </w:t>
      </w:r>
      <w:r w:rsidRPr="397B6B0F">
        <w:t>tab</w:t>
      </w:r>
      <w:r w:rsidR="4924F73D" w:rsidRPr="25ED4B98">
        <w:t xml:space="preserve"> </w:t>
      </w:r>
      <w:r w:rsidRPr="397B6B0F">
        <w:t xml:space="preserve">will be the primary tab </w:t>
      </w:r>
      <w:r w:rsidR="4924F73D" w:rsidRPr="4924F73D">
        <w:t xml:space="preserve">used by most users of the </w:t>
      </w:r>
      <w:r w:rsidR="00B43108">
        <w:t>ACC</w:t>
      </w:r>
      <w:r w:rsidR="4924F73D" w:rsidRPr="4924F73D">
        <w:t xml:space="preserve">.  </w:t>
      </w:r>
      <w:r w:rsidR="67D066D2" w:rsidRPr="4924F73D">
        <w:t xml:space="preserve">The tab </w:t>
      </w:r>
      <w:r w:rsidR="00B43108" w:rsidRPr="4924F73D">
        <w:t>provide</w:t>
      </w:r>
      <w:r w:rsidR="00B43108">
        <w:t>s</w:t>
      </w:r>
      <w:r w:rsidR="00B43108" w:rsidRPr="4924F73D">
        <w:t xml:space="preserve"> </w:t>
      </w:r>
      <w:r w:rsidR="67D066D2" w:rsidRPr="4924F73D">
        <w:t>user con</w:t>
      </w:r>
      <w:r w:rsidR="70EE2583" w:rsidRPr="4924F73D">
        <w:t xml:space="preserve">trols for the electricity avoided cost components to include in </w:t>
      </w:r>
      <w:r w:rsidR="00B43108">
        <w:t>the</w:t>
      </w:r>
      <w:r w:rsidR="00B43108" w:rsidRPr="4924F73D">
        <w:t xml:space="preserve"> </w:t>
      </w:r>
      <w:r w:rsidR="70EE2583" w:rsidRPr="4924F73D">
        <w:t>output</w:t>
      </w:r>
      <w:r w:rsidR="00B43108">
        <w:t xml:space="preserve">.  </w:t>
      </w:r>
      <w:r w:rsidR="0517B396" w:rsidRPr="4924F73D">
        <w:t xml:space="preserve">The tab also allows the user to </w:t>
      </w:r>
      <w:r w:rsidR="6BDDDCCD" w:rsidRPr="4924F73D">
        <w:t>control which year, or which str</w:t>
      </w:r>
      <w:r w:rsidR="1E4BC8E2" w:rsidRPr="4924F73D">
        <w:t>e</w:t>
      </w:r>
      <w:r w:rsidR="6BDDDCCD" w:rsidRPr="4924F73D">
        <w:t xml:space="preserve">am of years is represented in the </w:t>
      </w:r>
      <w:r w:rsidR="10EC0ED0" w:rsidRPr="4924F73D">
        <w:t xml:space="preserve">tab </w:t>
      </w:r>
      <w:r w:rsidR="6BDDDCCD" w:rsidRPr="4924F73D">
        <w:t>output</w:t>
      </w:r>
      <w:r w:rsidR="10EC0ED0" w:rsidRPr="4924F73D">
        <w:t xml:space="preserve">.  The </w:t>
      </w:r>
      <w:r w:rsidR="00B43108" w:rsidRPr="00E439E8">
        <w:rPr>
          <w:b/>
        </w:rPr>
        <w:t>Dashboard</w:t>
      </w:r>
      <w:r w:rsidR="00B43108">
        <w:t xml:space="preserve"> tab also provides</w:t>
      </w:r>
      <w:r w:rsidR="10EC0ED0" w:rsidRPr="4924F73D">
        <w:t xml:space="preserve"> figures that summarize the </w:t>
      </w:r>
      <w:r w:rsidR="6506BF6D" w:rsidRPr="4924F73D">
        <w:t>resu</w:t>
      </w:r>
      <w:r w:rsidR="1E4BC8E2" w:rsidRPr="4924F73D">
        <w:t>lt</w:t>
      </w:r>
      <w:r w:rsidR="6506BF6D" w:rsidRPr="4924F73D">
        <w:t>s of the</w:t>
      </w:r>
      <w:r w:rsidR="6506BF6D" w:rsidRPr="25ED4B98">
        <w:t xml:space="preserve"> </w:t>
      </w:r>
      <w:r w:rsidR="6506BF6D" w:rsidRPr="4924F73D">
        <w:t>user</w:t>
      </w:r>
      <w:r w:rsidR="1E4BC8E2" w:rsidRPr="25ED4B98">
        <w:t>'</w:t>
      </w:r>
      <w:r w:rsidR="6506BF6D" w:rsidRPr="4924F73D">
        <w:t xml:space="preserve">s </w:t>
      </w:r>
      <w:r w:rsidR="10EC0ED0" w:rsidRPr="4924F73D">
        <w:t>avoide</w:t>
      </w:r>
      <w:r w:rsidR="6506BF6D" w:rsidRPr="4924F73D">
        <w:t>d cost choices</w:t>
      </w:r>
      <w:r w:rsidR="1E4BC8E2" w:rsidRPr="4924F73D">
        <w:t xml:space="preserve">, as well as the </w:t>
      </w:r>
      <w:r w:rsidR="043C1CE1" w:rsidRPr="4924F73D">
        <w:t>associated levelized hourly avoided costs by component (located</w:t>
      </w:r>
      <w:r w:rsidR="51EFAB56" w:rsidRPr="4924F73D">
        <w:t xml:space="preserve"> just below the user controls).</w:t>
      </w:r>
    </w:p>
    <w:p w14:paraId="1CF1CC93" w14:textId="5758BF09" w:rsidR="51EFAB56" w:rsidRDefault="0078015E" w:rsidP="008A6BDD">
      <w:pPr>
        <w:pStyle w:val="Caption"/>
      </w:pPr>
      <w:r>
        <w:t xml:space="preserve">Table </w:t>
      </w:r>
      <w:r w:rsidR="00B8765B">
        <w:fldChar w:fldCharType="begin"/>
      </w:r>
      <w:r w:rsidR="00B8765B">
        <w:instrText xml:space="preserve"> SEQ Table \* ARABIC </w:instrText>
      </w:r>
      <w:r w:rsidR="00B8765B">
        <w:fldChar w:fldCharType="separate"/>
      </w:r>
      <w:r w:rsidR="00FD431B">
        <w:rPr>
          <w:noProof/>
        </w:rPr>
        <w:t>16</w:t>
      </w:r>
      <w:r w:rsidR="00B8765B">
        <w:rPr>
          <w:noProof/>
        </w:rPr>
        <w:fldChar w:fldCharType="end"/>
      </w:r>
      <w:r>
        <w:t xml:space="preserve">:  </w:t>
      </w:r>
      <w:r w:rsidR="3D64678B">
        <w:t>Summary of Controls</w:t>
      </w:r>
    </w:p>
    <w:tbl>
      <w:tblPr>
        <w:tblStyle w:val="GridTable4-Accent11"/>
        <w:tblW w:w="0" w:type="auto"/>
        <w:tblLook w:val="06A0" w:firstRow="1" w:lastRow="0" w:firstColumn="1" w:lastColumn="0" w:noHBand="1" w:noVBand="1"/>
      </w:tblPr>
      <w:tblGrid>
        <w:gridCol w:w="1662"/>
        <w:gridCol w:w="7914"/>
      </w:tblGrid>
      <w:tr w:rsidR="3D64678B" w14:paraId="2B886AD8" w14:textId="77777777" w:rsidTr="008A6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4CD791" w14:textId="689ED6D4" w:rsidR="3D64678B" w:rsidRDefault="3D64678B" w:rsidP="008A6BDD">
            <w:pPr>
              <w:spacing w:before="120" w:after="120" w:line="240" w:lineRule="auto"/>
            </w:pPr>
            <w:r>
              <w:t>Control</w:t>
            </w:r>
          </w:p>
        </w:tc>
        <w:tc>
          <w:tcPr>
            <w:tcW w:w="0" w:type="auto"/>
          </w:tcPr>
          <w:p w14:paraId="5F248CBC" w14:textId="391C8A15" w:rsidR="3D64678B" w:rsidRDefault="0BBD0E17" w:rsidP="008A6BDD">
            <w:pPr>
              <w:spacing w:before="120" w:after="120" w:line="240" w:lineRule="auto"/>
              <w:cnfStyle w:val="100000000000" w:firstRow="1" w:lastRow="0" w:firstColumn="0" w:lastColumn="0" w:oddVBand="0" w:evenVBand="0" w:oddHBand="0" w:evenHBand="0" w:firstRowFirstColumn="0" w:firstRowLastColumn="0" w:lastRowFirstColumn="0" w:lastRowLastColumn="0"/>
            </w:pPr>
            <w:r>
              <w:t>Note</w:t>
            </w:r>
          </w:p>
        </w:tc>
      </w:tr>
      <w:tr w:rsidR="00B43108" w14:paraId="5C6C3A3E"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28475167" w14:textId="6EEA5D0B" w:rsidR="00B43108" w:rsidRPr="00E439E8" w:rsidRDefault="00B43108" w:rsidP="00E439E8">
            <w:pPr>
              <w:pStyle w:val="Table"/>
              <w:rPr>
                <w:rFonts w:asciiTheme="minorHAnsi" w:hAnsiTheme="minorHAnsi"/>
              </w:rPr>
            </w:pPr>
            <w:r w:rsidRPr="00E439E8">
              <w:rPr>
                <w:rFonts w:asciiTheme="minorHAnsi" w:hAnsiTheme="minorHAnsi"/>
              </w:rPr>
              <w:t>Utility</w:t>
            </w:r>
          </w:p>
        </w:tc>
        <w:tc>
          <w:tcPr>
            <w:tcW w:w="0" w:type="auto"/>
            <w:tcBorders>
              <w:left w:val="single" w:sz="4" w:space="0" w:color="auto"/>
              <w:bottom w:val="single" w:sz="4" w:space="0" w:color="auto"/>
              <w:right w:val="single" w:sz="4" w:space="0" w:color="auto"/>
            </w:tcBorders>
          </w:tcPr>
          <w:p w14:paraId="530AB26F" w14:textId="5DC5849E" w:rsidR="00B43108" w:rsidRDefault="00B43108" w:rsidP="00E439E8">
            <w:pPr>
              <w:pStyle w:val="Table"/>
              <w:cnfStyle w:val="000000000000" w:firstRow="0" w:lastRow="0" w:firstColumn="0" w:lastColumn="0" w:oddVBand="0" w:evenVBand="0" w:oddHBand="0" w:evenHBand="0" w:firstRowFirstColumn="0" w:firstRowLastColumn="0" w:lastRowFirstColumn="0" w:lastRowLastColumn="0"/>
            </w:pPr>
            <w:r>
              <w:t>PG&amp;E, SCE, or SDG&amp;E</w:t>
            </w:r>
          </w:p>
        </w:tc>
      </w:tr>
      <w:tr w:rsidR="00B43108" w14:paraId="6FB2C6DC"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7F83AAE" w14:textId="4AB644AB" w:rsidR="00B43108" w:rsidRPr="00E439E8" w:rsidRDefault="00B43108" w:rsidP="00E439E8">
            <w:pPr>
              <w:pStyle w:val="Table"/>
              <w:rPr>
                <w:rFonts w:asciiTheme="minorHAnsi" w:eastAsia="Segoe UI" w:hAnsiTheme="minorHAnsi" w:cs="Segoe UI"/>
              </w:rPr>
            </w:pPr>
            <w:r w:rsidRPr="00E439E8">
              <w:rPr>
                <w:rFonts w:asciiTheme="minorHAnsi" w:hAnsiTheme="minorHAnsi"/>
              </w:rPr>
              <w:t>Climate Zone</w:t>
            </w:r>
          </w:p>
        </w:tc>
        <w:tc>
          <w:tcPr>
            <w:tcW w:w="0" w:type="auto"/>
            <w:tcBorders>
              <w:left w:val="single" w:sz="4" w:space="0" w:color="auto"/>
              <w:bottom w:val="single" w:sz="4" w:space="0" w:color="auto"/>
              <w:right w:val="single" w:sz="4" w:space="0" w:color="auto"/>
            </w:tcBorders>
          </w:tcPr>
          <w:p w14:paraId="38F02471" w14:textId="4D752B90" w:rsidR="00B43108" w:rsidRPr="008A6BDD" w:rsidRDefault="00B43108" w:rsidP="00E439E8">
            <w:pPr>
              <w:pStyle w:val="Table"/>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rPr>
            </w:pPr>
            <w:r w:rsidRPr="598F8665">
              <w:t xml:space="preserve">The </w:t>
            </w:r>
            <w:r>
              <w:t>ACC</w:t>
            </w:r>
            <w:r w:rsidRPr="598F8665">
              <w:t xml:space="preserve"> produces avoided costs that are specific to climate zones.  The climate zones correspond to those used by the California Energy Commissi</w:t>
            </w:r>
            <w:r w:rsidRPr="38632E9D">
              <w:t>on for the Title-24 Building Energy Standards.   Clima</w:t>
            </w:r>
            <w:r w:rsidRPr="2068CF52">
              <w:t>te zone 3 has been divided into 3A (San Francisco and Peninsula) and 3B (</w:t>
            </w:r>
            <w:r w:rsidRPr="15C04941">
              <w:t xml:space="preserve">Oakland and East Bay) because of the large historical difference in distribution capacity costs for those areas within </w:t>
            </w:r>
            <w:r w:rsidRPr="414C67E8">
              <w:t>climate zone 3.</w:t>
            </w:r>
          </w:p>
        </w:tc>
      </w:tr>
      <w:tr w:rsidR="00B43108" w14:paraId="37C8A74D"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6224C577" w14:textId="0C846085" w:rsidR="00B43108" w:rsidRPr="00E439E8" w:rsidRDefault="00B43108" w:rsidP="00E439E8">
            <w:pPr>
              <w:pStyle w:val="Table"/>
              <w:rPr>
                <w:rFonts w:asciiTheme="minorHAnsi" w:hAnsiTheme="minorHAnsi"/>
              </w:rPr>
            </w:pPr>
            <w:r w:rsidRPr="00E439E8">
              <w:rPr>
                <w:rFonts w:asciiTheme="minorHAnsi" w:eastAsia="Segoe UI" w:hAnsiTheme="minorHAnsi" w:cs="Segoe UI"/>
              </w:rPr>
              <w:t>Include Reserve Margin</w:t>
            </w:r>
          </w:p>
        </w:tc>
        <w:tc>
          <w:tcPr>
            <w:tcW w:w="0" w:type="auto"/>
            <w:tcBorders>
              <w:left w:val="single" w:sz="4" w:space="0" w:color="auto"/>
              <w:bottom w:val="single" w:sz="4" w:space="0" w:color="auto"/>
              <w:right w:val="single" w:sz="4" w:space="0" w:color="auto"/>
            </w:tcBorders>
          </w:tcPr>
          <w:p w14:paraId="37B8635D" w14:textId="6F280EB0" w:rsidR="00B43108" w:rsidRDefault="00602B3F" w:rsidP="00E439E8">
            <w:pPr>
              <w:pStyle w:val="Table"/>
              <w:cnfStyle w:val="000000000000" w:firstRow="0" w:lastRow="0" w:firstColumn="0" w:lastColumn="0" w:oddVBand="0" w:evenVBand="0" w:oddHBand="0" w:evenHBand="0" w:firstRowFirstColumn="0" w:firstRowLastColumn="0" w:lastRowFirstColumn="0" w:lastRowLastColumn="0"/>
            </w:pPr>
            <w:r>
              <w:rPr>
                <w:rFonts w:ascii="Segoe UI" w:eastAsia="Segoe UI" w:hAnsi="Segoe UI" w:cs="Segoe UI"/>
              </w:rPr>
              <w:t xml:space="preserve">(1 or 0)  </w:t>
            </w:r>
            <w:r w:rsidR="00B43108" w:rsidRPr="008A6BDD">
              <w:rPr>
                <w:rFonts w:ascii="Segoe UI" w:eastAsia="Segoe UI" w:hAnsi="Segoe UI" w:cs="Segoe UI"/>
              </w:rPr>
              <w:t>The default value of 1 should be used for avoided costs at the customer-level, that is avoided costs for demand-side actions.  For generators that do not reduce customer load, this value should be set to zero.  Reductions i</w:t>
            </w:r>
            <w:r w:rsidR="00FC159A">
              <w:rPr>
                <w:rFonts w:ascii="Segoe UI" w:eastAsia="Segoe UI" w:hAnsi="Segoe UI" w:cs="Segoe UI"/>
              </w:rPr>
              <w:t>n</w:t>
            </w:r>
            <w:r w:rsidR="00B43108" w:rsidRPr="008A6BDD">
              <w:rPr>
                <w:rFonts w:ascii="Segoe UI" w:eastAsia="Segoe UI" w:hAnsi="Segoe UI" w:cs="Segoe UI"/>
              </w:rPr>
              <w:t xml:space="preserve"> load produce additional value compared to generation because of the </w:t>
            </w:r>
            <w:r w:rsidR="00B43108" w:rsidRPr="008A6BDD">
              <w:rPr>
                <w:rFonts w:ascii="Segoe UI" w:eastAsia="Segoe UI" w:hAnsi="Segoe UI" w:cs="Segoe UI"/>
              </w:rPr>
              <w:lastRenderedPageBreak/>
              <w:t xml:space="preserve">planning reserve margin.  Setting the value to zero removes the extra planning reserve margin generation capacity benefit from the avoided cost stream. </w:t>
            </w:r>
          </w:p>
        </w:tc>
      </w:tr>
      <w:tr w:rsidR="00FC159A" w14:paraId="48B6046F" w14:textId="77777777" w:rsidTr="00662708">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right w:val="single" w:sz="4" w:space="0" w:color="auto"/>
            </w:tcBorders>
          </w:tcPr>
          <w:p w14:paraId="3EF96F44" w14:textId="6248F663" w:rsidR="00FC159A" w:rsidRPr="00E439E8" w:rsidRDefault="00FC159A" w:rsidP="00E439E8">
            <w:pPr>
              <w:pStyle w:val="Table"/>
              <w:rPr>
                <w:rFonts w:asciiTheme="minorHAnsi" w:hAnsiTheme="minorHAnsi"/>
              </w:rPr>
            </w:pPr>
            <w:r w:rsidRPr="00E439E8">
              <w:rPr>
                <w:rFonts w:asciiTheme="minorHAnsi" w:eastAsia="Calibri" w:hAnsiTheme="minorHAnsi"/>
              </w:rPr>
              <w:lastRenderedPageBreak/>
              <w:t>Start year</w:t>
            </w:r>
          </w:p>
        </w:tc>
        <w:tc>
          <w:tcPr>
            <w:tcW w:w="0" w:type="auto"/>
            <w:tcBorders>
              <w:left w:val="single" w:sz="4" w:space="0" w:color="auto"/>
              <w:bottom w:val="single" w:sz="4" w:space="0" w:color="auto"/>
              <w:right w:val="single" w:sz="4" w:space="0" w:color="auto"/>
            </w:tcBorders>
          </w:tcPr>
          <w:p w14:paraId="4BA486F2" w14:textId="183A5E8C"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w:t>
            </w:r>
            <w:r w:rsidR="00C81396">
              <w:rPr>
                <w:rFonts w:eastAsia="Calibri"/>
              </w:rPr>
              <w:t xml:space="preserve">2018 </w:t>
            </w:r>
            <w:r>
              <w:rPr>
                <w:rFonts w:eastAsia="Calibri"/>
              </w:rPr>
              <w:t xml:space="preserve">– </w:t>
            </w:r>
            <w:r w:rsidR="00C81396">
              <w:rPr>
                <w:rFonts w:eastAsia="Calibri"/>
              </w:rPr>
              <w:t>2048</w:t>
            </w:r>
            <w:r>
              <w:rPr>
                <w:rFonts w:eastAsia="Calibri"/>
              </w:rPr>
              <w:t xml:space="preserve">)  </w:t>
            </w:r>
            <w:r w:rsidR="00FC159A" w:rsidRPr="008A6BDD">
              <w:rPr>
                <w:rFonts w:eastAsia="Calibri"/>
              </w:rPr>
              <w:t xml:space="preserve">This is the first year </w:t>
            </w:r>
            <w:r w:rsidR="00FC159A">
              <w:rPr>
                <w:rFonts w:eastAsia="Calibri"/>
              </w:rPr>
              <w:t>for reported avoided cost results</w:t>
            </w:r>
            <w:r w:rsidR="00FC159A" w:rsidRPr="008A6BDD">
              <w:rPr>
                <w:rFonts w:eastAsia="Calibri"/>
              </w:rPr>
              <w:t xml:space="preserve">. The avoided cost results will be expressed in this year's dollars. If a </w:t>
            </w:r>
            <w:proofErr w:type="spellStart"/>
            <w:r w:rsidR="00FC159A" w:rsidRPr="008A6BDD">
              <w:rPr>
                <w:rFonts w:eastAsia="Calibri"/>
              </w:rPr>
              <w:t>levelization</w:t>
            </w:r>
            <w:proofErr w:type="spellEnd"/>
            <w:r w:rsidR="00FC159A" w:rsidRPr="008A6BDD">
              <w:rPr>
                <w:rFonts w:eastAsia="Calibri"/>
              </w:rPr>
              <w:t xml:space="preserve"> period of one year is used, then the </w:t>
            </w:r>
            <w:proofErr w:type="spellStart"/>
            <w:r w:rsidR="00FC159A" w:rsidRPr="008A6BDD">
              <w:rPr>
                <w:rFonts w:eastAsia="Calibri"/>
              </w:rPr>
              <w:t>levelization</w:t>
            </w:r>
            <w:proofErr w:type="spellEnd"/>
            <w:r w:rsidR="00FC159A" w:rsidRPr="008A6BDD">
              <w:rPr>
                <w:rFonts w:eastAsia="Calibri"/>
              </w:rPr>
              <w:t xml:space="preserve"> results will be the avoided costs for this year only. </w:t>
            </w:r>
            <w:r w:rsidR="00FC159A">
              <w:rPr>
                <w:rFonts w:eastAsia="Calibri"/>
              </w:rPr>
              <w:t xml:space="preserve">  Otherwise, this is the first year of the </w:t>
            </w:r>
            <w:proofErr w:type="spellStart"/>
            <w:r w:rsidR="00FC159A">
              <w:rPr>
                <w:rFonts w:eastAsia="Calibri"/>
              </w:rPr>
              <w:t>levelization</w:t>
            </w:r>
            <w:proofErr w:type="spellEnd"/>
            <w:r w:rsidR="00FC159A">
              <w:rPr>
                <w:rFonts w:eastAsia="Calibri"/>
              </w:rPr>
              <w:t xml:space="preserve"> stream.</w:t>
            </w:r>
          </w:p>
          <w:p w14:paraId="022E63C4" w14:textId="2CB5B7CB" w:rsidR="00602B3F" w:rsidRDefault="00602B3F" w:rsidP="00E439E8">
            <w:pPr>
              <w:pStyle w:val="Table"/>
              <w:cnfStyle w:val="000000000000" w:firstRow="0" w:lastRow="0" w:firstColumn="0" w:lastColumn="0" w:oddVBand="0" w:evenVBand="0" w:oddHBand="0" w:evenHBand="0" w:firstRowFirstColumn="0" w:firstRowLastColumn="0" w:lastRowFirstColumn="0" w:lastRowLastColumn="0"/>
            </w:pPr>
            <w:r>
              <w:t xml:space="preserve">Note that the ACC only contains avoided costs through 2047, so the combination of this entry and the </w:t>
            </w:r>
            <w:proofErr w:type="spellStart"/>
            <w:r>
              <w:t>Levelization</w:t>
            </w:r>
            <w:proofErr w:type="spellEnd"/>
            <w:r>
              <w:t xml:space="preserve"> Period should not exceed 2047.</w:t>
            </w:r>
          </w:p>
        </w:tc>
      </w:tr>
      <w:tr w:rsidR="00FC159A" w14:paraId="027672FD"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tcPr>
          <w:p w14:paraId="51FBFABA" w14:textId="09F68BD9" w:rsidR="00FC159A" w:rsidRPr="00E439E8" w:rsidRDefault="00FC159A" w:rsidP="00E439E8">
            <w:pPr>
              <w:pStyle w:val="Table"/>
              <w:rPr>
                <w:rFonts w:asciiTheme="minorHAnsi" w:hAnsiTheme="minorHAnsi"/>
              </w:rPr>
            </w:pPr>
            <w:proofErr w:type="spellStart"/>
            <w:r w:rsidRPr="00E439E8">
              <w:rPr>
                <w:rFonts w:asciiTheme="minorHAnsi" w:hAnsiTheme="minorHAnsi"/>
              </w:rPr>
              <w:t>Levelization</w:t>
            </w:r>
            <w:proofErr w:type="spellEnd"/>
            <w:r w:rsidRPr="00E439E8">
              <w:rPr>
                <w:rFonts w:asciiTheme="minorHAnsi" w:hAnsiTheme="minorHAnsi"/>
              </w:rPr>
              <w:t xml:space="preserve"> Period</w:t>
            </w:r>
          </w:p>
        </w:tc>
        <w:tc>
          <w:tcPr>
            <w:tcW w:w="0" w:type="auto"/>
            <w:tcBorders>
              <w:top w:val="single" w:sz="4" w:space="0" w:color="auto"/>
              <w:left w:val="single" w:sz="4" w:space="0" w:color="auto"/>
              <w:right w:val="single" w:sz="4" w:space="0" w:color="auto"/>
            </w:tcBorders>
          </w:tcPr>
          <w:p w14:paraId="67ACC62F" w14:textId="0CB93E92"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pPr>
            <w:r>
              <w:t xml:space="preserve">(1-30)  </w:t>
            </w:r>
            <w:r w:rsidR="00FC159A">
              <w:t xml:space="preserve">The number of years to include in the </w:t>
            </w:r>
            <w:proofErr w:type="spellStart"/>
            <w:r w:rsidR="00FC159A">
              <w:t>levelization</w:t>
            </w:r>
            <w:proofErr w:type="spellEnd"/>
            <w:r w:rsidR="00FC159A">
              <w:t xml:space="preserve"> period.  The</w:t>
            </w:r>
            <w:r w:rsidR="00FC159A" w:rsidRPr="25ED4B98">
              <w:t xml:space="preserve"> </w:t>
            </w:r>
            <w:proofErr w:type="spellStart"/>
            <w:r w:rsidR="00FC159A" w:rsidRPr="1F1357A1">
              <w:t>levelization</w:t>
            </w:r>
            <w:proofErr w:type="spellEnd"/>
            <w:r w:rsidR="00FC159A" w:rsidRPr="25ED4B98">
              <w:t xml:space="preserve"> </w:t>
            </w:r>
            <w:r w:rsidR="00FC159A" w:rsidRPr="1F1357A1">
              <w:t>uses the real discount rate from the Inputs tab, and therefore is constant in real dollars, not nominal dollars.  To convert the levelized values into annual values in nominal dollars, the levelized results should be escalated by inflation each year.</w:t>
            </w:r>
          </w:p>
        </w:tc>
      </w:tr>
      <w:tr w:rsidR="00FC159A" w14:paraId="63C92343"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37BB5FF9" w14:textId="54A088D4" w:rsidR="00FC159A" w:rsidRPr="00E439E8" w:rsidRDefault="00602B3F" w:rsidP="00E439E8">
            <w:pPr>
              <w:pStyle w:val="Table"/>
              <w:rPr>
                <w:rFonts w:asciiTheme="minorHAnsi" w:hAnsiTheme="minorHAnsi"/>
              </w:rPr>
            </w:pPr>
            <w:r w:rsidRPr="00E439E8">
              <w:rPr>
                <w:rFonts w:asciiTheme="minorHAnsi" w:hAnsiTheme="minorHAnsi"/>
              </w:rPr>
              <w:t>Electricity Components</w:t>
            </w:r>
          </w:p>
        </w:tc>
        <w:tc>
          <w:tcPr>
            <w:tcW w:w="0" w:type="auto"/>
            <w:tcBorders>
              <w:top w:val="single" w:sz="4" w:space="0" w:color="auto"/>
              <w:left w:val="single" w:sz="4" w:space="0" w:color="auto"/>
              <w:bottom w:val="single" w:sz="4" w:space="0" w:color="auto"/>
              <w:right w:val="single" w:sz="4" w:space="0" w:color="auto"/>
            </w:tcBorders>
          </w:tcPr>
          <w:p w14:paraId="26B0829E" w14:textId="142DFDD8"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pPr>
            <w:r>
              <w:t>(TRUE. FALSE)  Indicates which components to include in the avoided costs displayed in the charts, and represented in the hourly results.  Note that Losses are energy-related losses and are included or excluded based on the selection for Energy.  Capacity-related losses are incorporated into the respective capacity avoided costs, and not reported separately.</w:t>
            </w:r>
          </w:p>
        </w:tc>
      </w:tr>
      <w:tr w:rsidR="00FC159A" w14:paraId="35EFAACE"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CD7291" w14:textId="1EB0C40B" w:rsidR="00FC159A" w:rsidRPr="00E439E8" w:rsidRDefault="00602B3F" w:rsidP="00E439E8">
            <w:pPr>
              <w:pStyle w:val="Table"/>
              <w:rPr>
                <w:rFonts w:asciiTheme="minorHAnsi" w:hAnsiTheme="minorHAnsi"/>
              </w:rPr>
            </w:pPr>
            <w:r w:rsidRPr="00E439E8">
              <w:rPr>
                <w:rFonts w:asciiTheme="minorHAnsi" w:hAnsiTheme="minorHAnsi"/>
              </w:rPr>
              <w:t xml:space="preserve">Three-day </w:t>
            </w:r>
            <w:proofErr w:type="spellStart"/>
            <w:r w:rsidRPr="00E439E8">
              <w:rPr>
                <w:rFonts w:asciiTheme="minorHAnsi" w:hAnsiTheme="minorHAnsi"/>
              </w:rPr>
              <w:t>shapshot</w:t>
            </w:r>
            <w:proofErr w:type="spellEnd"/>
            <w:r w:rsidRPr="00E439E8">
              <w:rPr>
                <w:rFonts w:asciiTheme="minorHAnsi" w:hAnsiTheme="minorHAnsi"/>
              </w:rPr>
              <w:t xml:space="preserve"> Month</w:t>
            </w:r>
          </w:p>
        </w:tc>
        <w:tc>
          <w:tcPr>
            <w:tcW w:w="0" w:type="auto"/>
            <w:tcBorders>
              <w:top w:val="single" w:sz="4" w:space="0" w:color="auto"/>
              <w:left w:val="single" w:sz="4" w:space="0" w:color="auto"/>
              <w:bottom w:val="single" w:sz="4" w:space="0" w:color="auto"/>
              <w:right w:val="single" w:sz="4" w:space="0" w:color="auto"/>
            </w:tcBorders>
          </w:tcPr>
          <w:p w14:paraId="2FB10A94" w14:textId="136C9690" w:rsidR="00FC159A" w:rsidRDefault="00602B3F" w:rsidP="00E439E8">
            <w:pPr>
              <w:pStyle w:val="Table"/>
              <w:cnfStyle w:val="000000000000" w:firstRow="0" w:lastRow="0" w:firstColumn="0" w:lastColumn="0" w:oddVBand="0" w:evenVBand="0" w:oddHBand="0" w:evenHBand="0" w:firstRowFirstColumn="0" w:firstRowLastColumn="0" w:lastRowFirstColumn="0" w:lastRowLastColumn="0"/>
            </w:pPr>
            <w:r>
              <w:t>(1-12)  The Dashboard can graph the component avoided costs for any continuous three-day period.  This is the month for the first day in that period.</w:t>
            </w:r>
          </w:p>
        </w:tc>
      </w:tr>
      <w:tr w:rsidR="00602B3F" w14:paraId="55D59C72" w14:textId="77777777" w:rsidTr="008A6BD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Pr>
          <w:p w14:paraId="47589181" w14:textId="38D0D4DF" w:rsidR="00602B3F" w:rsidRPr="00E439E8" w:rsidRDefault="00602B3F" w:rsidP="00E439E8">
            <w:pPr>
              <w:pStyle w:val="Table"/>
              <w:rPr>
                <w:rFonts w:asciiTheme="minorHAnsi" w:hAnsiTheme="minorHAnsi"/>
              </w:rPr>
            </w:pPr>
            <w:r w:rsidRPr="00E439E8">
              <w:rPr>
                <w:rFonts w:asciiTheme="minorHAnsi" w:hAnsiTheme="minorHAnsi"/>
              </w:rPr>
              <w:t>Starting Day</w:t>
            </w:r>
          </w:p>
        </w:tc>
        <w:tc>
          <w:tcPr>
            <w:tcW w:w="0" w:type="auto"/>
            <w:tcBorders>
              <w:top w:val="single" w:sz="4" w:space="0" w:color="auto"/>
              <w:left w:val="single" w:sz="4" w:space="0" w:color="auto"/>
              <w:bottom w:val="single" w:sz="4" w:space="0" w:color="auto"/>
              <w:right w:val="single" w:sz="4" w:space="0" w:color="auto"/>
            </w:tcBorders>
          </w:tcPr>
          <w:p w14:paraId="2BD2ECDD" w14:textId="75721288" w:rsidR="00602B3F" w:rsidRDefault="00602B3F" w:rsidP="00E439E8">
            <w:pPr>
              <w:pStyle w:val="Table"/>
              <w:cnfStyle w:val="000000000000" w:firstRow="0" w:lastRow="0" w:firstColumn="0" w:lastColumn="0" w:oddVBand="0" w:evenVBand="0" w:oddHBand="0" w:evenHBand="0" w:firstRowFirstColumn="0" w:firstRowLastColumn="0" w:lastRowFirstColumn="0" w:lastRowLastColumn="0"/>
            </w:pPr>
            <w:r>
              <w:t>(1-31).  This is the day of the month for the start of the three-day period.</w:t>
            </w:r>
          </w:p>
        </w:tc>
      </w:tr>
    </w:tbl>
    <w:p w14:paraId="74CD05D6" w14:textId="5B476B25" w:rsidR="5EA42FD1" w:rsidRDefault="5EA42FD1"/>
    <w:p w14:paraId="38B09CCD" w14:textId="77777777" w:rsidR="00602B3F" w:rsidRDefault="00602B3F" w:rsidP="00602B3F">
      <w:pPr>
        <w:pStyle w:val="Heading2"/>
      </w:pPr>
      <w:bookmarkStart w:id="75" w:name="_Toc514055060"/>
      <w:r>
        <w:t>Exporting Hourly Results</w:t>
      </w:r>
      <w:bookmarkEnd w:id="75"/>
    </w:p>
    <w:p w14:paraId="6F185A5D" w14:textId="34E25EBC" w:rsidR="00602B3F" w:rsidRDefault="00602B3F" w:rsidP="00602B3F">
      <w:pPr>
        <w:pStyle w:val="BodyText"/>
      </w:pPr>
      <w:r>
        <w:t xml:space="preserve">In addition to the levelized or single year results discussed above, the Avoided Cost Calculator can produce hourly avoided costs for </w:t>
      </w:r>
      <w:r w:rsidR="00C81396">
        <w:t xml:space="preserve">2018 </w:t>
      </w:r>
      <w:r>
        <w:t xml:space="preserve">through </w:t>
      </w:r>
      <w:r w:rsidR="00C81396">
        <w:t>2048</w:t>
      </w:r>
      <w:r>
        <w:t xml:space="preserve">.  Because the amount of data associated with 31 years of hourly avoided costs, these results are output to separate Excel files, rather than added to the model itself.  In addition, the results are written to the output </w:t>
      </w:r>
      <w:r>
        <w:lastRenderedPageBreak/>
        <w:t>files as the total avoided cost by year and hour, but not by avoided cost component</w:t>
      </w:r>
      <w:r>
        <w:rPr>
          <w:rStyle w:val="FootnoteReference"/>
        </w:rPr>
        <w:footnoteReference w:id="16"/>
      </w:r>
      <w:r>
        <w:t>.  All results are reported in $/MWh at the secondary voltage level.</w:t>
      </w:r>
    </w:p>
    <w:p w14:paraId="6A7C323F" w14:textId="0BC7125E" w:rsidR="00602B3F" w:rsidRDefault="00602B3F" w:rsidP="00602B3F">
      <w:pPr>
        <w:pStyle w:val="BodyText"/>
      </w:pPr>
      <w:r>
        <w:t>The output files are written to a subfolder in the same directory as the Avoided Cost Model.  The subfolder is named according the date the macro is run.</w:t>
      </w:r>
    </w:p>
    <w:p w14:paraId="39A0898E" w14:textId="77777777" w:rsidR="00602B3F" w:rsidRDefault="00602B3F" w:rsidP="00602B3F">
      <w:pPr>
        <w:pStyle w:val="BodyText"/>
      </w:pPr>
      <w:r>
        <w:t>There are three macros included in the Avoided Cost Calculator.  The buttons for each macro are located below Cell F20 on the Dashboard tab.   Each macro is described below.</w:t>
      </w:r>
    </w:p>
    <w:tbl>
      <w:tblPr>
        <w:tblStyle w:val="E3TableforRealThisTime"/>
        <w:tblW w:w="0" w:type="auto"/>
        <w:tblLook w:val="04A0" w:firstRow="1" w:lastRow="0" w:firstColumn="1" w:lastColumn="0" w:noHBand="0" w:noVBand="1"/>
      </w:tblPr>
      <w:tblGrid>
        <w:gridCol w:w="3595"/>
        <w:gridCol w:w="3595"/>
      </w:tblGrid>
      <w:tr w:rsidR="00602B3F" w14:paraId="53ADEB9A" w14:textId="77777777" w:rsidTr="00662708">
        <w:trPr>
          <w:cnfStyle w:val="100000000000" w:firstRow="1" w:lastRow="0" w:firstColumn="0" w:lastColumn="0" w:oddVBand="0" w:evenVBand="0" w:oddHBand="0" w:evenHBand="0" w:firstRowFirstColumn="0" w:firstRowLastColumn="0" w:lastRowFirstColumn="0" w:lastRowLastColumn="0"/>
        </w:trPr>
        <w:tc>
          <w:tcPr>
            <w:tcW w:w="3595" w:type="dxa"/>
          </w:tcPr>
          <w:p w14:paraId="5EC9F14A" w14:textId="77777777" w:rsidR="00602B3F" w:rsidRDefault="00602B3F" w:rsidP="00662708">
            <w:pPr>
              <w:pStyle w:val="E3Table"/>
            </w:pPr>
            <w:r>
              <w:t>Macro</w:t>
            </w:r>
          </w:p>
        </w:tc>
        <w:tc>
          <w:tcPr>
            <w:tcW w:w="3595" w:type="dxa"/>
          </w:tcPr>
          <w:p w14:paraId="043A8285" w14:textId="77777777" w:rsidR="00602B3F" w:rsidRDefault="00602B3F" w:rsidP="00662708">
            <w:pPr>
              <w:pStyle w:val="E3Table"/>
            </w:pPr>
            <w:r>
              <w:t>Comment</w:t>
            </w:r>
          </w:p>
        </w:tc>
      </w:tr>
      <w:tr w:rsidR="00602B3F" w14:paraId="3080395A" w14:textId="77777777" w:rsidTr="00662708">
        <w:trPr>
          <w:cnfStyle w:val="000000100000" w:firstRow="0" w:lastRow="0" w:firstColumn="0" w:lastColumn="0" w:oddVBand="0" w:evenVBand="0" w:oddHBand="1" w:evenHBand="0" w:firstRowFirstColumn="0" w:firstRowLastColumn="0" w:lastRowFirstColumn="0" w:lastRowLastColumn="0"/>
        </w:trPr>
        <w:tc>
          <w:tcPr>
            <w:tcW w:w="3595" w:type="dxa"/>
          </w:tcPr>
          <w:p w14:paraId="52345121" w14:textId="77777777" w:rsidR="00602B3F" w:rsidRDefault="00602B3F" w:rsidP="00662708">
            <w:pPr>
              <w:pStyle w:val="E3Table"/>
            </w:pPr>
            <w:r>
              <w:t>Export Annual Avoided Costs – All CZ</w:t>
            </w:r>
          </w:p>
        </w:tc>
        <w:tc>
          <w:tcPr>
            <w:tcW w:w="3595" w:type="dxa"/>
          </w:tcPr>
          <w:p w14:paraId="3C194531" w14:textId="77777777" w:rsidR="00602B3F" w:rsidRDefault="00602B3F" w:rsidP="00662708">
            <w:pPr>
              <w:pStyle w:val="E3Table"/>
            </w:pPr>
            <w:r>
              <w:t xml:space="preserve">Using the user-selected utility, the macro will iterate through each climate zone that applies to the utility.  The macro will write the total hourly avoided costs for the components indicated by the </w:t>
            </w:r>
            <w:r w:rsidRPr="00754D74">
              <w:rPr>
                <w:i/>
              </w:rPr>
              <w:t xml:space="preserve">Electricity Component </w:t>
            </w:r>
            <w:r>
              <w:t xml:space="preserve">inputs, and will include or exclude the planning reserve margin benefit base on the user input for </w:t>
            </w:r>
            <w:r w:rsidRPr="00754D74">
              <w:rPr>
                <w:i/>
              </w:rPr>
              <w:t>Incl Reserve Margin</w:t>
            </w:r>
            <w:r>
              <w:t xml:space="preserve">.  Note that because the macro is outputting results by year for all years, instead of levelized results, the </w:t>
            </w:r>
            <w:proofErr w:type="spellStart"/>
            <w:r>
              <w:t>Levelization</w:t>
            </w:r>
            <w:proofErr w:type="spellEnd"/>
            <w:r>
              <w:t xml:space="preserve"> Period and the Start year are ignored.</w:t>
            </w:r>
          </w:p>
        </w:tc>
      </w:tr>
      <w:tr w:rsidR="00602B3F" w14:paraId="00F3CFAA" w14:textId="77777777" w:rsidTr="00662708">
        <w:tc>
          <w:tcPr>
            <w:tcW w:w="3595" w:type="dxa"/>
          </w:tcPr>
          <w:p w14:paraId="4224EF49" w14:textId="77777777" w:rsidR="00602B3F" w:rsidRDefault="00602B3F" w:rsidP="00662708">
            <w:pPr>
              <w:pStyle w:val="E3Table"/>
            </w:pPr>
            <w:r>
              <w:t>Export Annual Avoided Costs – One CZ</w:t>
            </w:r>
          </w:p>
        </w:tc>
        <w:tc>
          <w:tcPr>
            <w:tcW w:w="3595" w:type="dxa"/>
          </w:tcPr>
          <w:p w14:paraId="1DFCA933" w14:textId="77777777" w:rsidR="00602B3F" w:rsidRDefault="00602B3F" w:rsidP="00662708">
            <w:pPr>
              <w:pStyle w:val="E3Table"/>
            </w:pPr>
            <w:r>
              <w:t>Same functionality as the macro above, but only outputs results for the user selected Climate Zone.</w:t>
            </w:r>
          </w:p>
        </w:tc>
      </w:tr>
      <w:tr w:rsidR="00602B3F" w14:paraId="4FA5C29C" w14:textId="77777777" w:rsidTr="00662708">
        <w:trPr>
          <w:cnfStyle w:val="000000100000" w:firstRow="0" w:lastRow="0" w:firstColumn="0" w:lastColumn="0" w:oddVBand="0" w:evenVBand="0" w:oddHBand="1" w:evenHBand="0" w:firstRowFirstColumn="0" w:firstRowLastColumn="0" w:lastRowFirstColumn="0" w:lastRowLastColumn="0"/>
        </w:trPr>
        <w:tc>
          <w:tcPr>
            <w:tcW w:w="3595" w:type="dxa"/>
          </w:tcPr>
          <w:p w14:paraId="247260D6" w14:textId="77777777" w:rsidR="00602B3F" w:rsidRDefault="00602B3F" w:rsidP="00662708">
            <w:pPr>
              <w:pStyle w:val="E3Table"/>
            </w:pPr>
            <w:r>
              <w:t>Export Gen &amp; Env for EE</w:t>
            </w:r>
          </w:p>
        </w:tc>
        <w:tc>
          <w:tcPr>
            <w:tcW w:w="3595" w:type="dxa"/>
          </w:tcPr>
          <w:p w14:paraId="52F9AE6F" w14:textId="77777777" w:rsidR="00602B3F" w:rsidRDefault="00602B3F" w:rsidP="00662708">
            <w:pPr>
              <w:pStyle w:val="E3Table"/>
            </w:pPr>
            <w:r>
              <w:t>This is a specialized macro used to create output files used for the E3 Calculator and CET.  It overrides the user selections to generate the needed transfer file for the selected utility. This should not be used by the general user of the model.</w:t>
            </w:r>
          </w:p>
        </w:tc>
      </w:tr>
    </w:tbl>
    <w:p w14:paraId="62241D1F" w14:textId="77777777" w:rsidR="00602B3F" w:rsidRDefault="00602B3F" w:rsidP="00602B3F">
      <w:pPr>
        <w:pStyle w:val="Heading2"/>
      </w:pPr>
    </w:p>
    <w:p w14:paraId="2527BA95" w14:textId="0E80114B" w:rsidR="00602B3F" w:rsidRDefault="00602B3F" w:rsidP="00602B3F">
      <w:pPr>
        <w:pStyle w:val="Heading2"/>
      </w:pPr>
      <w:bookmarkStart w:id="76" w:name="_Toc514055061"/>
      <w:r>
        <w:t>DR Reporting and PLS Tool Interface</w:t>
      </w:r>
      <w:bookmarkEnd w:id="76"/>
    </w:p>
    <w:p w14:paraId="002DACCA" w14:textId="77777777" w:rsidR="00602B3F" w:rsidRDefault="00602B3F" w:rsidP="00602B3F">
      <w:pPr>
        <w:pStyle w:val="BodyText"/>
      </w:pPr>
      <w:r>
        <w:t xml:space="preserve">Finally, the model aggregates specific outputs for input into the DR Reporting </w:t>
      </w:r>
      <w:proofErr w:type="spellStart"/>
      <w:r>
        <w:t>Tempate</w:t>
      </w:r>
      <w:proofErr w:type="spellEnd"/>
      <w:r>
        <w:t xml:space="preserve"> which is used to determine the cost-effectiveness of demand response.</w:t>
      </w:r>
    </w:p>
    <w:p w14:paraId="734A7FDF" w14:textId="77777777" w:rsidR="00602B3F" w:rsidRDefault="00602B3F" w:rsidP="00602B3F">
      <w:pPr>
        <w:pStyle w:val="BodyText"/>
      </w:pPr>
      <w:r>
        <w:lastRenderedPageBreak/>
        <w:t xml:space="preserve">The </w:t>
      </w:r>
      <w:r w:rsidRPr="00C12DE0">
        <w:rPr>
          <w:i/>
        </w:rPr>
        <w:t>DR Outputs</w:t>
      </w:r>
      <w:r>
        <w:t xml:space="preserve"> tab is an exact replica of the Inputs tab in the DR Reporting Template. Thus, the tab can be directly copy/pasted into the DR Reporting Template. A screenshot of this tab is shown below.</w:t>
      </w:r>
    </w:p>
    <w:p w14:paraId="0C187A96" w14:textId="407E6873" w:rsidR="00602B3F" w:rsidRDefault="00602B3F" w:rsidP="00602B3F">
      <w:pPr>
        <w:pStyle w:val="E3Caption"/>
      </w:pPr>
      <w:r>
        <w:t xml:space="preserve">Figure </w:t>
      </w:r>
      <w:r w:rsidR="00B8765B">
        <w:fldChar w:fldCharType="begin"/>
      </w:r>
      <w:r w:rsidR="00B8765B">
        <w:instrText xml:space="preserve"> SEQ Figure \* ARABIC </w:instrText>
      </w:r>
      <w:r w:rsidR="00B8765B">
        <w:fldChar w:fldCharType="separate"/>
      </w:r>
      <w:r w:rsidR="00FD431B">
        <w:rPr>
          <w:noProof/>
        </w:rPr>
        <w:t>22</w:t>
      </w:r>
      <w:r w:rsidR="00B8765B">
        <w:rPr>
          <w:noProof/>
        </w:rPr>
        <w:fldChar w:fldCharType="end"/>
      </w:r>
      <w:r>
        <w:t>: DR Outputs Tab in Avoided Cost Calculator</w:t>
      </w:r>
    </w:p>
    <w:p w14:paraId="22239600" w14:textId="1E137413" w:rsidR="00602B3F" w:rsidRDefault="00602B3F" w:rsidP="00602B3F">
      <w:pPr>
        <w:pStyle w:val="BodyText"/>
      </w:pPr>
      <w:r w:rsidRPr="00D52046">
        <w:rPr>
          <w:noProof/>
        </w:rPr>
        <w:drawing>
          <wp:inline distT="0" distB="0" distL="0" distR="0" wp14:anchorId="5F6EB23F" wp14:editId="6601B0CA">
            <wp:extent cx="5794983" cy="2402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14883" cy="2411210"/>
                    </a:xfrm>
                    <a:prstGeom prst="rect">
                      <a:avLst/>
                    </a:prstGeom>
                    <a:noFill/>
                    <a:ln>
                      <a:noFill/>
                    </a:ln>
                  </pic:spPr>
                </pic:pic>
              </a:graphicData>
            </a:graphic>
          </wp:inline>
        </w:drawing>
      </w:r>
    </w:p>
    <w:p w14:paraId="4A3E38BE" w14:textId="77777777" w:rsidR="00602B3F" w:rsidRDefault="00602B3F" w:rsidP="00602B3F">
      <w:pPr>
        <w:pStyle w:val="BodyText"/>
      </w:pPr>
      <w:r>
        <w:t xml:space="preserve">Additionally, the </w:t>
      </w:r>
      <w:r w:rsidRPr="00C12DE0">
        <w:rPr>
          <w:i/>
        </w:rPr>
        <w:t>PLS Outputs</w:t>
      </w:r>
      <w:r>
        <w:t xml:space="preserve"> tab organizes outputs of the Avoided Cost Calculator that can be copy/pasted as inputs into the </w:t>
      </w:r>
      <w:r w:rsidRPr="00C12DE0">
        <w:rPr>
          <w:i/>
        </w:rPr>
        <w:t>PLS Inputs</w:t>
      </w:r>
      <w:r>
        <w:t xml:space="preserve"> tab of the DR Reporting Template. A screenshot of this tab is shown below.</w:t>
      </w:r>
    </w:p>
    <w:p w14:paraId="5013BA72" w14:textId="35EEB938" w:rsidR="00602B3F" w:rsidRDefault="00602B3F" w:rsidP="00602B3F">
      <w:pPr>
        <w:pStyle w:val="E3Caption"/>
      </w:pPr>
      <w:r>
        <w:lastRenderedPageBreak/>
        <w:t xml:space="preserve">Figure </w:t>
      </w:r>
      <w:r w:rsidR="00B8765B">
        <w:fldChar w:fldCharType="begin"/>
      </w:r>
      <w:r w:rsidR="00B8765B">
        <w:instrText xml:space="preserve"> SEQ Figure \* ARABIC </w:instrText>
      </w:r>
      <w:r w:rsidR="00B8765B">
        <w:fldChar w:fldCharType="separate"/>
      </w:r>
      <w:r w:rsidR="00FD431B">
        <w:rPr>
          <w:noProof/>
        </w:rPr>
        <w:t>23</w:t>
      </w:r>
      <w:r w:rsidR="00B8765B">
        <w:rPr>
          <w:noProof/>
        </w:rPr>
        <w:fldChar w:fldCharType="end"/>
      </w:r>
      <w:r>
        <w:t>: PLS Outputs tab in Avoided Cost Calculator</w:t>
      </w:r>
    </w:p>
    <w:p w14:paraId="1FE4970F" w14:textId="4D83E48A" w:rsidR="00602B3F" w:rsidRDefault="00602B3F" w:rsidP="00602B3F">
      <w:pPr>
        <w:pStyle w:val="BodyText"/>
      </w:pPr>
      <w:r w:rsidRPr="00D52046">
        <w:rPr>
          <w:noProof/>
        </w:rPr>
        <w:drawing>
          <wp:inline distT="0" distB="0" distL="0" distR="0" wp14:anchorId="34B902E3" wp14:editId="40A19272">
            <wp:extent cx="5879805" cy="312575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98817" cy="3135861"/>
                    </a:xfrm>
                    <a:prstGeom prst="rect">
                      <a:avLst/>
                    </a:prstGeom>
                    <a:noFill/>
                    <a:ln>
                      <a:noFill/>
                    </a:ln>
                  </pic:spPr>
                </pic:pic>
              </a:graphicData>
            </a:graphic>
          </wp:inline>
        </w:drawing>
      </w:r>
    </w:p>
    <w:p w14:paraId="1BC30051" w14:textId="77777777" w:rsidR="00F32DFA" w:rsidRPr="00012FE3" w:rsidRDefault="00F32DFA" w:rsidP="00142308"/>
    <w:p w14:paraId="79FD7BF9" w14:textId="00FF6AD8" w:rsidR="269F9AF4" w:rsidRDefault="269F9AF4" w:rsidP="008A6BDD">
      <w:pPr>
        <w:pStyle w:val="Heading2"/>
      </w:pPr>
      <w:bookmarkStart w:id="77" w:name="_Toc514055062"/>
      <w:r>
        <w:t>Inputs</w:t>
      </w:r>
      <w:bookmarkEnd w:id="77"/>
    </w:p>
    <w:p w14:paraId="49567643" w14:textId="218791B4" w:rsidR="269F9AF4" w:rsidRDefault="269F9AF4">
      <w:r>
        <w:t>The</w:t>
      </w:r>
      <w:r w:rsidR="0078015E">
        <w:t xml:space="preserve"> data</w:t>
      </w:r>
      <w:r>
        <w:t xml:space="preserve"> inputs for the </w:t>
      </w:r>
      <w:r w:rsidR="0078015E">
        <w:t xml:space="preserve">model are on two tabs.  The Hourly Data tab contains the hourly inputs for the model such as energy price shapes and capacity allocation factors.  The Inputs tab contains the other inputs for the </w:t>
      </w:r>
      <w:r w:rsidR="00B43108">
        <w:t>ACC</w:t>
      </w:r>
      <w:r w:rsidR="0078015E">
        <w:t>, including natural gas costs, CO2 costs per ton, CT and CCGT plant costs, and T&amp;D capacity costs.</w:t>
      </w:r>
    </w:p>
    <w:p w14:paraId="197DCD1B" w14:textId="13602747" w:rsidR="0078015E" w:rsidRDefault="0078015E">
      <w:r w:rsidRPr="0C0E0D43">
        <w:t xml:space="preserve">If the user alters an </w:t>
      </w:r>
      <w:r w:rsidRPr="008A6BDD">
        <w:t>input</w:t>
      </w:r>
      <w:r w:rsidRPr="0C0E0D43">
        <w:t xml:space="preserve"> that affects energy or capacity, the calibration macro will need to be re-run.  This can be done by pressing the “Calibrate Energy and Capacity Costs” button on either the Inputs or Market Dynamics tab.</w:t>
      </w:r>
      <w:r w:rsidR="0C0E0D43" w:rsidRPr="0C0E0D43">
        <w:t xml:space="preserve"> </w:t>
      </w:r>
      <w:r w:rsidRPr="0C0E0D43">
        <w:t xml:space="preserve"> Note that the calibration process can be time consuming and takes about 10 minutes on a corei7 desktop PC.</w:t>
      </w:r>
    </w:p>
    <w:p w14:paraId="3715FE67" w14:textId="3E382343" w:rsidR="0078015E" w:rsidRDefault="0078015E" w:rsidP="008A6BDD">
      <w:pPr>
        <w:pStyle w:val="Heading2"/>
      </w:pPr>
      <w:bookmarkStart w:id="78" w:name="_Toc514055063"/>
      <w:r>
        <w:lastRenderedPageBreak/>
        <w:t>Remaining tabs</w:t>
      </w:r>
      <w:bookmarkEnd w:id="78"/>
    </w:p>
    <w:p w14:paraId="79E2BFB6" w14:textId="42528247" w:rsidR="48773D83" w:rsidRDefault="0078015E">
      <w:r>
        <w:t xml:space="preserve">The remainder of the </w:t>
      </w:r>
      <w:r w:rsidR="00B43108">
        <w:t>ACC</w:t>
      </w:r>
      <w:r>
        <w:t xml:space="preserve"> tabs are calculation tabs, or ass</w:t>
      </w:r>
      <w:r w:rsidR="0C0E0D43">
        <w:t>ocia</w:t>
      </w:r>
      <w:r>
        <w:t xml:space="preserve">te with model control or tracking.  These tabs are described briefly on the Cover tab for the </w:t>
      </w:r>
      <w:r w:rsidR="00B43108">
        <w:t>ACC</w:t>
      </w:r>
      <w:r>
        <w:t>.</w:t>
      </w:r>
    </w:p>
    <w:p w14:paraId="1F3F25F9" w14:textId="77777777" w:rsidR="0078015E" w:rsidRDefault="0078015E" w:rsidP="0078015E">
      <w:pPr>
        <w:pStyle w:val="Heading1"/>
        <w:sectPr w:rsidR="0078015E" w:rsidSect="00EC1B91">
          <w:footerReference w:type="even" r:id="rId85"/>
          <w:footerReference w:type="default" r:id="rId86"/>
          <w:pgSz w:w="12240" w:h="15840"/>
          <w:pgMar w:top="1440" w:right="1440" w:bottom="1440" w:left="1440" w:header="720" w:footer="720" w:gutter="0"/>
          <w:cols w:space="720"/>
          <w:titlePg/>
          <w:docGrid w:linePitch="360"/>
        </w:sectPr>
      </w:pPr>
    </w:p>
    <w:p w14:paraId="255442A6" w14:textId="65996953" w:rsidR="5EBC713F" w:rsidRDefault="5EBC713F" w:rsidP="008A6BDD">
      <w:pPr>
        <w:pStyle w:val="Heading1"/>
      </w:pPr>
      <w:bookmarkStart w:id="79" w:name="_Toc514055064"/>
      <w:r w:rsidRPr="48773D83">
        <w:lastRenderedPageBreak/>
        <w:t>Version Change S</w:t>
      </w:r>
      <w:r w:rsidR="48773D83" w:rsidRPr="48773D83">
        <w:t>ummary</w:t>
      </w:r>
      <w:bookmarkEnd w:id="79"/>
    </w:p>
    <w:p w14:paraId="17EB0180" w14:textId="1F57A93C" w:rsidR="00E464C7" w:rsidRDefault="00E464C7" w:rsidP="00E464C7">
      <w:pPr>
        <w:pStyle w:val="Heading2"/>
      </w:pPr>
      <w:bookmarkStart w:id="80" w:name="_Toc514055065"/>
      <w:r>
        <w:t>Avoided Cost Model Version ACC_2018_v1</w:t>
      </w:r>
      <w:r w:rsidR="0011637C">
        <w:t>e</w:t>
      </w:r>
      <w:bookmarkEnd w:id="80"/>
      <w:r>
        <w:t xml:space="preserve">  </w:t>
      </w:r>
    </w:p>
    <w:p w14:paraId="2DA55C46" w14:textId="44364F82" w:rsidR="00E464C7" w:rsidRDefault="00E464C7" w:rsidP="00E464C7">
      <w:r>
        <w:t>Revision Date:  5/10/2018</w:t>
      </w:r>
      <w:r w:rsidR="0011637C">
        <w:t xml:space="preserve"> and 5/14/2018</w:t>
      </w:r>
    </w:p>
    <w:p w14:paraId="3BD1BBED" w14:textId="3EDCA441" w:rsidR="00E464C7" w:rsidRDefault="00E464C7" w:rsidP="00E464C7">
      <w:r>
        <w:t>Remove RPS adder (set model to zero out RPS adder when RPS busbar cost equals zero in the General Inputs tab.</w:t>
      </w:r>
    </w:p>
    <w:p w14:paraId="3196149A" w14:textId="40539D33" w:rsidR="00E464C7" w:rsidRDefault="00E464C7" w:rsidP="00E464C7">
      <w:r w:rsidRPr="00E464C7">
        <w:t>Remove (1-RPS%) adjustment factor from calculation of marginal heat rates on emissions tab, and GHG adder and criteria pollutant costs on Dashboard tab</w:t>
      </w:r>
    </w:p>
    <w:p w14:paraId="1745D8CE" w14:textId="77FC1CA6" w:rsidR="00E464C7" w:rsidRDefault="0011637C" w:rsidP="00E464C7">
      <w:r>
        <w:t>Update labels on dashboard figures</w:t>
      </w:r>
    </w:p>
    <w:p w14:paraId="496A8E89" w14:textId="77777777" w:rsidR="00E464C7" w:rsidRPr="00E464C7" w:rsidRDefault="00E464C7" w:rsidP="00E464C7">
      <w:pPr>
        <w:rPr>
          <w:lang w:val="x-none"/>
        </w:rPr>
      </w:pPr>
    </w:p>
    <w:p w14:paraId="788274B7" w14:textId="72AD3E38" w:rsidR="0051165A" w:rsidRDefault="0051165A" w:rsidP="0051165A">
      <w:pPr>
        <w:pStyle w:val="Heading2"/>
      </w:pPr>
      <w:bookmarkStart w:id="81" w:name="_Toc514055066"/>
      <w:r>
        <w:t>Avoided Cost Model Version ACC_2018_v1b</w:t>
      </w:r>
      <w:bookmarkEnd w:id="81"/>
      <w:r>
        <w:t xml:space="preserve">  </w:t>
      </w:r>
    </w:p>
    <w:p w14:paraId="3FC48EF6" w14:textId="20802015" w:rsidR="0051165A" w:rsidRDefault="0051165A" w:rsidP="0051165A">
      <w:r>
        <w:t>Revision Date:  5/4/2018</w:t>
      </w:r>
    </w:p>
    <w:p w14:paraId="6E5B9979" w14:textId="0DA1CB56" w:rsidR="0051165A" w:rsidRDefault="0051165A" w:rsidP="0051165A">
      <w:r>
        <w:t>Correct GHG Adder for 2016 constant dollars instead of 2015 constant dollars</w:t>
      </w:r>
    </w:p>
    <w:p w14:paraId="5B19669D" w14:textId="77777777" w:rsidR="0051165A" w:rsidRPr="0051165A" w:rsidRDefault="0051165A" w:rsidP="0051165A">
      <w:pPr>
        <w:rPr>
          <w:lang w:val="x-none"/>
        </w:rPr>
      </w:pPr>
    </w:p>
    <w:p w14:paraId="1311DCB9" w14:textId="77777777" w:rsidR="00B76B06" w:rsidRDefault="00EE6B3B" w:rsidP="00B76B06">
      <w:pPr>
        <w:pStyle w:val="Heading2"/>
      </w:pPr>
      <w:bookmarkStart w:id="82" w:name="_Toc514055067"/>
      <w:r>
        <w:t>Avoided Cost Model Version ACC_2018_v1</w:t>
      </w:r>
      <w:bookmarkEnd w:id="82"/>
      <w:r>
        <w:t xml:space="preserve">  </w:t>
      </w:r>
    </w:p>
    <w:p w14:paraId="1CC44ADF" w14:textId="3FBB64AB" w:rsidR="00EE6B3B" w:rsidRDefault="00EE6B3B" w:rsidP="00B76B06">
      <w:r>
        <w:t>Revision Date:  4/30/2018</w:t>
      </w:r>
    </w:p>
    <w:p w14:paraId="49936B88" w14:textId="16EEE8DE" w:rsidR="00EE6B3B" w:rsidRDefault="00EE6B3B" w:rsidP="00EE6B3B">
      <w:pPr>
        <w:pStyle w:val="ListParagraph"/>
        <w:numPr>
          <w:ilvl w:val="0"/>
          <w:numId w:val="1"/>
        </w:numPr>
        <w:rPr>
          <w:rFonts w:eastAsia="Calibri"/>
        </w:rPr>
      </w:pPr>
      <w:r>
        <w:rPr>
          <w:b/>
          <w:bCs/>
        </w:rPr>
        <w:t>Data Updates</w:t>
      </w:r>
    </w:p>
    <w:p w14:paraId="2CCE8C66" w14:textId="77777777" w:rsidR="00EE6B3B" w:rsidRDefault="00EE6B3B" w:rsidP="00B76B06">
      <w:pPr>
        <w:numPr>
          <w:ilvl w:val="1"/>
          <w:numId w:val="1"/>
        </w:numPr>
      </w:pPr>
      <w:r>
        <w:t>Natural gas prices</w:t>
      </w:r>
    </w:p>
    <w:p w14:paraId="0AECE486" w14:textId="77777777" w:rsidR="00EE6B3B" w:rsidRDefault="00EE6B3B" w:rsidP="00B76B06">
      <w:pPr>
        <w:numPr>
          <w:ilvl w:val="2"/>
          <w:numId w:val="1"/>
        </w:numPr>
      </w:pPr>
      <w:r>
        <w:t>NYMEX natural gas futures prices from most recent 22 trading days</w:t>
      </w:r>
    </w:p>
    <w:p w14:paraId="3D079663" w14:textId="77777777" w:rsidR="00EE6B3B" w:rsidRDefault="00EE6B3B" w:rsidP="00B76B06">
      <w:pPr>
        <w:numPr>
          <w:ilvl w:val="2"/>
          <w:numId w:val="1"/>
        </w:numPr>
      </w:pPr>
      <w:r>
        <w:t>Long-term natural gas forecast using revised 2017 IEPR Mid-Demand case, and EIA 2018 AEO Report</w:t>
      </w:r>
    </w:p>
    <w:p w14:paraId="67212629" w14:textId="77777777" w:rsidR="00EE6B3B" w:rsidRDefault="00EE6B3B" w:rsidP="00B76B06">
      <w:pPr>
        <w:numPr>
          <w:ilvl w:val="2"/>
          <w:numId w:val="1"/>
        </w:numPr>
      </w:pPr>
      <w:r>
        <w:t>SoCal, PG&amp;E BB and PG&amp;E LT natural gas transportation rates from 2017 IEPR</w:t>
      </w:r>
    </w:p>
    <w:p w14:paraId="7DC1D6B2" w14:textId="77777777" w:rsidR="00EE6B3B" w:rsidRDefault="00EE6B3B" w:rsidP="00B76B06">
      <w:pPr>
        <w:numPr>
          <w:ilvl w:val="2"/>
          <w:numId w:val="1"/>
        </w:numPr>
      </w:pPr>
      <w:r>
        <w:lastRenderedPageBreak/>
        <w:t>Municipal surcharge rate for PG&amp;E</w:t>
      </w:r>
    </w:p>
    <w:p w14:paraId="105668C6" w14:textId="77777777" w:rsidR="00EE6B3B" w:rsidRDefault="00EE6B3B" w:rsidP="00B76B06">
      <w:pPr>
        <w:numPr>
          <w:ilvl w:val="1"/>
          <w:numId w:val="1"/>
        </w:numPr>
      </w:pPr>
      <w:r>
        <w:t>Electricity Forward prices.  On-peak and Off-peak forwards for NP-15 and SP-15 using most recent 22 trading days</w:t>
      </w:r>
    </w:p>
    <w:p w14:paraId="5DFE1C04" w14:textId="77777777" w:rsidR="00EE6B3B" w:rsidRDefault="00EE6B3B" w:rsidP="00B76B06">
      <w:pPr>
        <w:numPr>
          <w:ilvl w:val="1"/>
          <w:numId w:val="1"/>
        </w:numPr>
      </w:pPr>
      <w:r>
        <w:t xml:space="preserve">Ancillary service costs updated to 1.6% for annual energy from CAISO 2016 Annual Report on Market Issues and Performance (p. 142) </w:t>
      </w:r>
    </w:p>
    <w:p w14:paraId="7885A61C" w14:textId="77777777" w:rsidR="00EE6B3B" w:rsidRDefault="00EE6B3B" w:rsidP="00B76B06">
      <w:pPr>
        <w:numPr>
          <w:ilvl w:val="1"/>
          <w:numId w:val="1"/>
        </w:numPr>
      </w:pPr>
      <w:r>
        <w:t>Hourly Market Price Shapes</w:t>
      </w:r>
    </w:p>
    <w:p w14:paraId="3A426626" w14:textId="77777777" w:rsidR="00EE6B3B" w:rsidRDefault="00EE6B3B" w:rsidP="00B76B06">
      <w:pPr>
        <w:numPr>
          <w:ilvl w:val="2"/>
          <w:numId w:val="1"/>
        </w:numPr>
      </w:pPr>
      <w:r>
        <w:t xml:space="preserve">Day ahead and real time prices for 2017 for NP-15 and SP-15.  </w:t>
      </w:r>
    </w:p>
    <w:p w14:paraId="2055A1E3" w14:textId="77777777" w:rsidR="00EE6B3B" w:rsidRDefault="00EE6B3B" w:rsidP="00B76B06">
      <w:pPr>
        <w:numPr>
          <w:ilvl w:val="2"/>
          <w:numId w:val="1"/>
        </w:numPr>
      </w:pPr>
      <w:r>
        <w:t>Daily 2017 natural gas spot prices (used to derive inferred heat rates)</w:t>
      </w:r>
    </w:p>
    <w:p w14:paraId="10305264" w14:textId="77777777" w:rsidR="00EE6B3B" w:rsidRPr="00F139BD" w:rsidRDefault="00EE6B3B" w:rsidP="00B76B06">
      <w:pPr>
        <w:numPr>
          <w:ilvl w:val="2"/>
          <w:numId w:val="1"/>
        </w:numPr>
      </w:pPr>
      <w:r>
        <w:t>Average 2017 CO2 trading price</w:t>
      </w:r>
    </w:p>
    <w:p w14:paraId="28D58066" w14:textId="77777777" w:rsidR="00EE6B3B" w:rsidRDefault="00EE6B3B" w:rsidP="00B76B06">
      <w:pPr>
        <w:numPr>
          <w:ilvl w:val="1"/>
          <w:numId w:val="1"/>
        </w:numPr>
      </w:pPr>
      <w:r>
        <w:t>CO2 market price forecast from Revised 2017 IEPR Mid-Demand forecast</w:t>
      </w:r>
    </w:p>
    <w:p w14:paraId="21AB9A21" w14:textId="77777777" w:rsidR="00EE6B3B" w:rsidRDefault="00EE6B3B" w:rsidP="00B76B06">
      <w:pPr>
        <w:numPr>
          <w:ilvl w:val="1"/>
          <w:numId w:val="1"/>
        </w:numPr>
      </w:pPr>
      <w:r>
        <w:t>Societal cost of carbon from values adopted in CPUC Decision D18.02-018, Table 6</w:t>
      </w:r>
    </w:p>
    <w:p w14:paraId="4F44ABFE" w14:textId="77777777" w:rsidR="00EE6B3B" w:rsidRDefault="00EE6B3B" w:rsidP="00B76B06">
      <w:pPr>
        <w:numPr>
          <w:ilvl w:val="1"/>
          <w:numId w:val="1"/>
        </w:numPr>
      </w:pPr>
      <w:r>
        <w:t>T&amp;D hourly allocation factors updated based on 2017 recorded weather by climate zone, and 2017 weekend and holiday schedules.</w:t>
      </w:r>
    </w:p>
    <w:p w14:paraId="18871E78" w14:textId="77777777" w:rsidR="00EE6B3B" w:rsidRDefault="00EE6B3B" w:rsidP="00B76B06">
      <w:pPr>
        <w:numPr>
          <w:ilvl w:val="1"/>
          <w:numId w:val="1"/>
        </w:numPr>
      </w:pPr>
      <w:r>
        <w:t>Generation capacity hourly allocation factors updated using 2017 recorded weather</w:t>
      </w:r>
    </w:p>
    <w:p w14:paraId="12A8AA5A" w14:textId="77777777" w:rsidR="00EE6B3B" w:rsidRDefault="00EE6B3B" w:rsidP="00B76B06">
      <w:pPr>
        <w:numPr>
          <w:ilvl w:val="1"/>
          <w:numId w:val="1"/>
        </w:numPr>
      </w:pPr>
      <w:r>
        <w:t>New natural gas generation costs and performance updated based on 2017 IRP assumptions.</w:t>
      </w:r>
    </w:p>
    <w:p w14:paraId="17322F24" w14:textId="77777777" w:rsidR="00EE6B3B" w:rsidRDefault="00EE6B3B"/>
    <w:p w14:paraId="74B4F460" w14:textId="77777777" w:rsidR="00EE6B3B" w:rsidRDefault="00EE6B3B"/>
    <w:p w14:paraId="0E1A724A" w14:textId="77777777" w:rsidR="00B76B06" w:rsidRDefault="000B055C" w:rsidP="00B76B06">
      <w:pPr>
        <w:pStyle w:val="Heading2"/>
      </w:pPr>
      <w:bookmarkStart w:id="83" w:name="_Toc514055068"/>
      <w:r>
        <w:t>Avoided Cost Model Version ACC_2017_v1</w:t>
      </w:r>
      <w:bookmarkEnd w:id="83"/>
      <w:r>
        <w:t xml:space="preserve">  </w:t>
      </w:r>
    </w:p>
    <w:p w14:paraId="65FA117D" w14:textId="26044D69" w:rsidR="000B055C" w:rsidRDefault="000B055C" w:rsidP="00B76B06">
      <w:r>
        <w:t>Revision Date:  9/18/2017</w:t>
      </w:r>
    </w:p>
    <w:p w14:paraId="2D5335D3" w14:textId="7078E571" w:rsidR="000B055C" w:rsidRDefault="000B055C" w:rsidP="000B055C">
      <w:pPr>
        <w:pStyle w:val="ListParagraph"/>
        <w:numPr>
          <w:ilvl w:val="0"/>
          <w:numId w:val="1"/>
        </w:numPr>
        <w:rPr>
          <w:rFonts w:eastAsia="Calibri"/>
        </w:rPr>
      </w:pPr>
      <w:r w:rsidRPr="008A6BDD">
        <w:rPr>
          <w:b/>
          <w:bCs/>
        </w:rPr>
        <w:lastRenderedPageBreak/>
        <w:t>Methodology enhancements</w:t>
      </w:r>
    </w:p>
    <w:p w14:paraId="6C449C44" w14:textId="0F61604E" w:rsidR="000B055C" w:rsidRDefault="000B055C" w:rsidP="000B055C">
      <w:pPr>
        <w:pStyle w:val="ListParagraph"/>
        <w:numPr>
          <w:ilvl w:val="1"/>
          <w:numId w:val="1"/>
        </w:numPr>
        <w:rPr>
          <w:rFonts w:eastAsia="Calibri"/>
          <w:color w:val="000000" w:themeColor="text1"/>
        </w:rPr>
      </w:pPr>
      <w:r>
        <w:t xml:space="preserve">Add societal cost of CO2 forecast, and </w:t>
      </w:r>
      <w:r w:rsidR="00EE6B3B">
        <w:t>include residual value of Societal Value – Market value of CO2 as a GHG adder component</w:t>
      </w:r>
    </w:p>
    <w:p w14:paraId="03901101" w14:textId="77777777" w:rsidR="000B055C" w:rsidRDefault="000B055C"/>
    <w:p w14:paraId="22EA709C" w14:textId="77777777" w:rsidR="00B76B06" w:rsidRDefault="58A26562" w:rsidP="00B76B06">
      <w:pPr>
        <w:pStyle w:val="Heading2"/>
      </w:pPr>
      <w:bookmarkStart w:id="84" w:name="_Toc514055069"/>
      <w:r w:rsidRPr="58A26562">
        <w:t xml:space="preserve">Avoided Cost Model Version </w:t>
      </w:r>
      <w:r w:rsidR="000B055C">
        <w:t>ACC_2016_v1</w:t>
      </w:r>
      <w:bookmarkEnd w:id="84"/>
      <w:r w:rsidR="000B055C">
        <w:t xml:space="preserve">  </w:t>
      </w:r>
    </w:p>
    <w:p w14:paraId="52507E91" w14:textId="279F3CC1" w:rsidR="58A26562" w:rsidRDefault="684E8241" w:rsidP="00B76B06">
      <w:r w:rsidRPr="684E8241">
        <w:t>Rev</w:t>
      </w:r>
      <w:r w:rsidR="07A19A9E" w:rsidRPr="684E8241">
        <w:t xml:space="preserve">ision Date: </w:t>
      </w:r>
      <w:r w:rsidRPr="684E8241">
        <w:t>5/</w:t>
      </w:r>
      <w:r w:rsidR="07A19A9E" w:rsidRPr="684E8241">
        <w:t>31/2016</w:t>
      </w:r>
    </w:p>
    <w:p w14:paraId="1B7D08F2" w14:textId="057FA2DC" w:rsidR="07A19A9E" w:rsidRDefault="486F82CE">
      <w:pPr>
        <w:pStyle w:val="ListParagraph"/>
        <w:numPr>
          <w:ilvl w:val="0"/>
          <w:numId w:val="1"/>
        </w:numPr>
        <w:rPr>
          <w:rFonts w:eastAsia="Calibri"/>
        </w:rPr>
      </w:pPr>
      <w:r w:rsidRPr="008A6BDD">
        <w:rPr>
          <w:b/>
          <w:bCs/>
        </w:rPr>
        <w:t>Methodology corrections</w:t>
      </w:r>
      <w:r w:rsidR="62A95F32" w:rsidRPr="008A6BDD">
        <w:rPr>
          <w:b/>
          <w:bCs/>
        </w:rPr>
        <w:t xml:space="preserve"> and enha</w:t>
      </w:r>
      <w:r w:rsidR="2B260064" w:rsidRPr="008A6BDD">
        <w:rPr>
          <w:b/>
          <w:bCs/>
        </w:rPr>
        <w:t>n</w:t>
      </w:r>
      <w:r w:rsidR="62A95F32" w:rsidRPr="008A6BDD">
        <w:rPr>
          <w:b/>
          <w:bCs/>
        </w:rPr>
        <w:t>cements</w:t>
      </w:r>
    </w:p>
    <w:p w14:paraId="7E993D6D" w14:textId="5839F20E" w:rsidR="758DF0B9" w:rsidRDefault="758DF0B9">
      <w:pPr>
        <w:pStyle w:val="ListParagraph"/>
        <w:numPr>
          <w:ilvl w:val="1"/>
          <w:numId w:val="1"/>
        </w:numPr>
        <w:rPr>
          <w:rFonts w:eastAsia="Calibri"/>
          <w:color w:val="000000" w:themeColor="text1"/>
        </w:rPr>
      </w:pPr>
      <w:r>
        <w:t xml:space="preserve">Update T&amp;D allocation factors to reflect </w:t>
      </w:r>
      <w:r w:rsidR="60961552">
        <w:t>recent IOU distribution loading patterns and simulate increased PV impa</w:t>
      </w:r>
      <w:r w:rsidR="2E87AA4B">
        <w:t>cts on net distribution loads</w:t>
      </w:r>
    </w:p>
    <w:p w14:paraId="3067E7C5" w14:textId="569FAE73" w:rsidR="3F3D5780" w:rsidRDefault="2E87AA4B" w:rsidP="3095E0BA">
      <w:pPr>
        <w:pStyle w:val="ListParagraph"/>
        <w:numPr>
          <w:ilvl w:val="1"/>
          <w:numId w:val="1"/>
        </w:numPr>
        <w:rPr>
          <w:rFonts w:eastAsia="Calibri"/>
        </w:rPr>
      </w:pPr>
      <w:r w:rsidRPr="3F3D5780">
        <w:t>Replace 250 peak hour method for genera</w:t>
      </w:r>
      <w:r w:rsidR="25925690" w:rsidRPr="3F3D5780">
        <w:t>ti</w:t>
      </w:r>
      <w:r w:rsidRPr="3F3D5780">
        <w:t>on capacity all</w:t>
      </w:r>
      <w:r w:rsidR="14BCF539" w:rsidRPr="3F3D5780">
        <w:t xml:space="preserve">ocation </w:t>
      </w:r>
      <w:r w:rsidR="3F3D5780" w:rsidRPr="3F3D5780">
        <w:t>with unserved energy probabilities based on E3 RECAP model</w:t>
      </w:r>
      <w:r w:rsidRPr="008A6BDD">
        <w:rPr>
          <w:rStyle w:val="FootnoteReference"/>
        </w:rPr>
        <w:footnoteReference w:id="17"/>
      </w:r>
      <w:r w:rsidR="3F3D5780" w:rsidRPr="25ED4B98">
        <w:t>.</w:t>
      </w:r>
    </w:p>
    <w:p w14:paraId="504BC477" w14:textId="01B28823" w:rsidR="0C1D08FB" w:rsidRPr="00051934" w:rsidRDefault="0C1D08FB" w:rsidP="3095E0BA">
      <w:pPr>
        <w:numPr>
          <w:ilvl w:val="1"/>
          <w:numId w:val="1"/>
        </w:numPr>
        <w:rPr>
          <w:rFonts w:eastAsia="Calibri"/>
        </w:rPr>
      </w:pPr>
      <w:r w:rsidRPr="00051934">
        <w:t xml:space="preserve">Replace use of private long-run gas forecasts (as no longer procured by the CPUC) with </w:t>
      </w:r>
      <w:r w:rsidR="008A6BDD" w:rsidRPr="00051934">
        <w:t>IEPR and EIA escalation rate.</w:t>
      </w:r>
    </w:p>
    <w:p w14:paraId="13409074" w14:textId="2554BD9F" w:rsidR="1B540A3B" w:rsidRDefault="1B540A3B" w:rsidP="3095E0BA">
      <w:pPr>
        <w:pStyle w:val="ListParagraph"/>
        <w:numPr>
          <w:ilvl w:val="1"/>
          <w:numId w:val="1"/>
        </w:numPr>
        <w:rPr>
          <w:rFonts w:eastAsia="Calibri"/>
        </w:rPr>
      </w:pPr>
      <w:r>
        <w:t>Replace 2010 MRTU hourly energy price shapes with 2015 data and update the hourly price shapes to reflect changes in market prices expected to occur due to increased renewable generation as California continues to move toward the 50% RPS goal.</w:t>
      </w:r>
    </w:p>
    <w:p w14:paraId="010C2065" w14:textId="326BD9EA" w:rsidR="23BBA6DA" w:rsidRDefault="23BBA6DA" w:rsidP="3095E0BA">
      <w:pPr>
        <w:numPr>
          <w:ilvl w:val="1"/>
          <w:numId w:val="1"/>
        </w:numPr>
        <w:rPr>
          <w:rFonts w:eastAsia="Calibri"/>
        </w:rPr>
      </w:pPr>
      <w:r w:rsidRPr="23BBA6DA">
        <w:t>Include the carbon price and variable O&amp;M in the dispatch logic for calculating the residual net cost of generation capacity.</w:t>
      </w:r>
    </w:p>
    <w:p w14:paraId="7BEBF5D1" w14:textId="133A6E91" w:rsidR="2DCCF5AD" w:rsidRDefault="2DCCF5AD" w:rsidP="3095E0BA">
      <w:pPr>
        <w:numPr>
          <w:ilvl w:val="1"/>
          <w:numId w:val="1"/>
        </w:numPr>
        <w:rPr>
          <w:rFonts w:eastAsia="Calibri"/>
        </w:rPr>
      </w:pPr>
      <w:r w:rsidRPr="008A6BDD">
        <w:rPr>
          <w:rFonts w:eastAsia="Calibri"/>
        </w:rPr>
        <w:lastRenderedPageBreak/>
        <w:t xml:space="preserve">Forecast annual energy prices that include CO2 costs (consistent with the </w:t>
      </w:r>
      <w:r w:rsidR="00FD431B">
        <w:rPr>
          <w:rFonts w:eastAsia="Calibri"/>
        </w:rPr>
        <w:t>c</w:t>
      </w:r>
      <w:r w:rsidRPr="008A6BDD">
        <w:rPr>
          <w:rFonts w:eastAsia="Calibri"/>
        </w:rPr>
        <w:t xml:space="preserve">ap and </w:t>
      </w:r>
      <w:r w:rsidR="00FD431B">
        <w:rPr>
          <w:rFonts w:eastAsia="Calibri"/>
        </w:rPr>
        <w:t>t</w:t>
      </w:r>
      <w:r w:rsidRPr="008A6BDD">
        <w:rPr>
          <w:rFonts w:eastAsia="Calibri"/>
        </w:rPr>
        <w:t xml:space="preserve">rade market), and decompose those prices into energy and </w:t>
      </w:r>
      <w:r w:rsidR="000606BD">
        <w:rPr>
          <w:rFonts w:eastAsia="Calibri"/>
        </w:rPr>
        <w:t>monetized carbon (</w:t>
      </w:r>
      <w:r w:rsidR="00FD431B">
        <w:rPr>
          <w:rFonts w:eastAsia="Calibri"/>
        </w:rPr>
        <w:t>cap and trade</w:t>
      </w:r>
      <w:r w:rsidR="000606BD">
        <w:rPr>
          <w:rFonts w:eastAsia="Calibri"/>
        </w:rPr>
        <w:t xml:space="preserve">) </w:t>
      </w:r>
      <w:r w:rsidRPr="008A6BDD">
        <w:rPr>
          <w:rFonts w:eastAsia="Calibri"/>
        </w:rPr>
        <w:t>components.</w:t>
      </w:r>
    </w:p>
    <w:p w14:paraId="55FB0B6D" w14:textId="6A2D55CC" w:rsidR="62A95F32" w:rsidRDefault="62A95F32" w:rsidP="3095E0BA">
      <w:pPr>
        <w:numPr>
          <w:ilvl w:val="1"/>
          <w:numId w:val="1"/>
        </w:numPr>
        <w:rPr>
          <w:rFonts w:eastAsia="Calibri"/>
        </w:rPr>
      </w:pPr>
      <w:r w:rsidRPr="008A6BDD">
        <w:rPr>
          <w:rFonts w:eastAsia="Calibri"/>
        </w:rPr>
        <w:t>Include adjustments to the hourly energy price profile using the CPUC RPS Calculator to account for projected increases in renewable generation.</w:t>
      </w:r>
      <w:r w:rsidR="50DAAC3D" w:rsidRPr="008A6BDD">
        <w:rPr>
          <w:rFonts w:eastAsia="Calibri"/>
        </w:rPr>
        <w:t xml:space="preserve">  RPS Calcu</w:t>
      </w:r>
      <w:r w:rsidR="78B3B494" w:rsidRPr="008A6BDD">
        <w:rPr>
          <w:rFonts w:eastAsia="Calibri"/>
        </w:rPr>
        <w:t>lator impl</w:t>
      </w:r>
      <w:r w:rsidR="50DAAC3D" w:rsidRPr="008A6BDD">
        <w:rPr>
          <w:rFonts w:eastAsia="Calibri"/>
        </w:rPr>
        <w:t xml:space="preserve">ied heat rate changes by month/hour are incorporated into the price shape for </w:t>
      </w:r>
      <w:r w:rsidR="78B3B494" w:rsidRPr="008A6BDD">
        <w:rPr>
          <w:rFonts w:eastAsia="Calibri"/>
        </w:rPr>
        <w:t xml:space="preserve">2020.  Adjustments prior to 2020 are </w:t>
      </w:r>
      <w:r w:rsidR="4C086A0A" w:rsidRPr="008A6BDD">
        <w:rPr>
          <w:rFonts w:eastAsia="Calibri"/>
        </w:rPr>
        <w:t>linearly interpolated, and adjustments after 2020 are held at the 2020 levels.</w:t>
      </w:r>
    </w:p>
    <w:p w14:paraId="2B13CE53" w14:textId="72A7E149" w:rsidR="2B260064" w:rsidRDefault="504903AA" w:rsidP="3095E0BA">
      <w:pPr>
        <w:numPr>
          <w:ilvl w:val="1"/>
          <w:numId w:val="1"/>
        </w:numPr>
        <w:rPr>
          <w:rFonts w:eastAsia="Calibri"/>
        </w:rPr>
      </w:pPr>
      <w:r w:rsidRPr="008A6BDD">
        <w:rPr>
          <w:rFonts w:eastAsia="Calibri"/>
        </w:rPr>
        <w:t>CT levelized cost changes</w:t>
      </w:r>
    </w:p>
    <w:p w14:paraId="1B092D46" w14:textId="14FBD01D" w:rsidR="2B260064" w:rsidRDefault="504903AA">
      <w:pPr>
        <w:numPr>
          <w:ilvl w:val="2"/>
          <w:numId w:val="1"/>
        </w:numPr>
        <w:rPr>
          <w:rFonts w:eastAsia="Calibri"/>
        </w:rPr>
      </w:pPr>
      <w:r w:rsidRPr="008A6BDD">
        <w:rPr>
          <w:rFonts w:eastAsia="Calibri"/>
        </w:rPr>
        <w:t xml:space="preserve">Change from use of </w:t>
      </w:r>
      <w:r w:rsidR="3EC6CF88" w:rsidRPr="008A6BDD">
        <w:rPr>
          <w:rFonts w:eastAsia="Calibri"/>
        </w:rPr>
        <w:t xml:space="preserve">instant </w:t>
      </w:r>
      <w:r w:rsidRPr="008A6BDD">
        <w:rPr>
          <w:rFonts w:eastAsia="Calibri"/>
        </w:rPr>
        <w:t>costs to installed costs as CT plant cost input</w:t>
      </w:r>
    </w:p>
    <w:p w14:paraId="6D10B2E0" w14:textId="739E3CD9" w:rsidR="504903AA" w:rsidRDefault="07967B52">
      <w:pPr>
        <w:numPr>
          <w:ilvl w:val="2"/>
          <w:numId w:val="1"/>
        </w:numPr>
        <w:rPr>
          <w:rFonts w:eastAsia="Calibri"/>
        </w:rPr>
      </w:pPr>
      <w:r w:rsidRPr="5BD6E86E">
        <w:t>Remove manufacturer tax credit</w:t>
      </w:r>
    </w:p>
    <w:p w14:paraId="22B260D1" w14:textId="6CBC41BC" w:rsidR="07967B52" w:rsidRDefault="7814C2A1" w:rsidP="3095E0BA">
      <w:pPr>
        <w:numPr>
          <w:ilvl w:val="2"/>
          <w:numId w:val="1"/>
        </w:numPr>
        <w:rPr>
          <w:rFonts w:eastAsia="Calibri"/>
        </w:rPr>
      </w:pPr>
      <w:r w:rsidRPr="5BD6E86E">
        <w:t xml:space="preserve">Remove short term tax effect scaling factor (as installed costs are used instead of </w:t>
      </w:r>
      <w:r w:rsidR="3EC6CF88" w:rsidRPr="5BD6E86E">
        <w:t xml:space="preserve">instant </w:t>
      </w:r>
      <w:r w:rsidRPr="5BD6E86E">
        <w:t>costs)</w:t>
      </w:r>
    </w:p>
    <w:p w14:paraId="5DB57916" w14:textId="6C895A65" w:rsidR="05DA9323" w:rsidRDefault="05DA9323" w:rsidP="3095E0BA">
      <w:pPr>
        <w:pStyle w:val="ListParagraph"/>
        <w:numPr>
          <w:ilvl w:val="0"/>
          <w:numId w:val="1"/>
        </w:numPr>
        <w:rPr>
          <w:rFonts w:eastAsia="Calibri"/>
        </w:rPr>
      </w:pPr>
      <w:r w:rsidRPr="008A6BDD">
        <w:rPr>
          <w:rStyle w:val="Strong"/>
        </w:rPr>
        <w:t>Simple Data Updates</w:t>
      </w:r>
    </w:p>
    <w:p w14:paraId="062B509E" w14:textId="049998E5" w:rsidR="05DA9323" w:rsidRDefault="1285F18B" w:rsidP="008A6BDD">
      <w:pPr>
        <w:numPr>
          <w:ilvl w:val="1"/>
          <w:numId w:val="2"/>
        </w:numPr>
      </w:pPr>
      <w:r w:rsidRPr="1285F18B">
        <w:t>Move the resource balance year (the year when the avoided costs for are based on sustaining new CT and CCGT units in the market) to 2015.</w:t>
      </w:r>
    </w:p>
    <w:p w14:paraId="3D698DE4" w14:textId="6C895A65" w:rsidR="05DA9323" w:rsidRDefault="05DA9323" w:rsidP="008A6BDD">
      <w:pPr>
        <w:numPr>
          <w:ilvl w:val="1"/>
          <w:numId w:val="2"/>
        </w:numPr>
      </w:pPr>
      <w:r>
        <w:t>Update the cost and operating characteristics of a simple cycle gas turbine (CT) and a combined cycle gas turbine (CCGT) unit with data from the CEC Estimated Cost of New Renewable and Fossil Generation in California report</w:t>
      </w:r>
      <w:r w:rsidRPr="008A6BDD">
        <w:rPr>
          <w:rStyle w:val="FootnoteReference"/>
        </w:rPr>
        <w:footnoteReference w:id="18"/>
      </w:r>
      <w:r w:rsidRPr="42C633DC">
        <w:t>.</w:t>
      </w:r>
    </w:p>
    <w:p w14:paraId="7E0FCE05" w14:textId="56E564E4" w:rsidR="05DA9323" w:rsidRDefault="05DA9323" w:rsidP="2B260064">
      <w:pPr>
        <w:numPr>
          <w:ilvl w:val="1"/>
          <w:numId w:val="2"/>
        </w:numPr>
      </w:pPr>
      <w:r>
        <w:lastRenderedPageBreak/>
        <w:t xml:space="preserve">Update the ancillary service </w:t>
      </w:r>
      <w:r w:rsidR="7235951E">
        <w:t>p</w:t>
      </w:r>
      <w:r w:rsidR="6D6352EB">
        <w:t xml:space="preserve">ercentage relative to energy costs </w:t>
      </w:r>
      <w:r>
        <w:t>to reflect 2015 markets</w:t>
      </w:r>
    </w:p>
    <w:p w14:paraId="598CBCD0" w14:textId="7E55D7B3" w:rsidR="6D6352EB" w:rsidRDefault="6D6352EB" w:rsidP="008A6BDD">
      <w:pPr>
        <w:numPr>
          <w:ilvl w:val="1"/>
          <w:numId w:val="2"/>
        </w:numPr>
      </w:pPr>
      <w:r>
        <w:t>Update the CT ancillar</w:t>
      </w:r>
      <w:r w:rsidR="75664574">
        <w:t xml:space="preserve">y revenues adder with the CAISO 2015 market performance and monitoring </w:t>
      </w:r>
      <w:r w:rsidR="6921EF02">
        <w:t>report.</w:t>
      </w:r>
    </w:p>
    <w:p w14:paraId="2C5B4ACE" w14:textId="6C895A65" w:rsidR="05DA9323" w:rsidRDefault="05DA9323" w:rsidP="2B260064">
      <w:pPr>
        <w:numPr>
          <w:ilvl w:val="1"/>
          <w:numId w:val="2"/>
        </w:numPr>
      </w:pPr>
      <w:r>
        <w:t>Update T&amp;D capacity costs for latest utility General Rate Case (GRC) filings.</w:t>
      </w:r>
    </w:p>
    <w:p w14:paraId="55B9F35F" w14:textId="6C895A65" w:rsidR="05DA9323" w:rsidRDefault="05DA9323" w:rsidP="2B260064">
      <w:pPr>
        <w:numPr>
          <w:ilvl w:val="1"/>
          <w:numId w:val="2"/>
        </w:numPr>
      </w:pPr>
      <w:r>
        <w:t>Replace Synapse forecast of CO2 price forecast with 2015 IEPR mid-case forecast values</w:t>
      </w:r>
    </w:p>
    <w:p w14:paraId="2B99F525" w14:textId="100BCBB3" w:rsidR="05DA9323" w:rsidRDefault="05DA9323" w:rsidP="2B260064">
      <w:pPr>
        <w:numPr>
          <w:ilvl w:val="1"/>
          <w:numId w:val="2"/>
        </w:numPr>
      </w:pPr>
      <w:r>
        <w:t>Update the marginal RPS cost (used to calculate the RPS premium) with values from the latest RPS Calculator spreadsheet model (version 6.2)</w:t>
      </w:r>
    </w:p>
    <w:p w14:paraId="2F92528B" w14:textId="05A5DD70" w:rsidR="00AC3D95" w:rsidRDefault="00AC3D95" w:rsidP="2B260064">
      <w:pPr>
        <w:numPr>
          <w:ilvl w:val="1"/>
          <w:numId w:val="2"/>
        </w:numPr>
      </w:pPr>
      <w:r>
        <w:t>Updated RECAP model to incorporate 2015 LTPP net qualifying capacity generator data, updated NREL wind profiles from the western wind dataset, and load and renewable penetrations consistent with SB 350 i.e. 2x energy efficiency and 50% RPS by 2030</w:t>
      </w:r>
    </w:p>
    <w:sectPr w:rsidR="00AC3D95" w:rsidSect="00C97CE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0DCB08" w14:textId="77777777" w:rsidR="00B8765B" w:rsidRDefault="00B8765B" w:rsidP="000145D0">
      <w:r>
        <w:separator/>
      </w:r>
    </w:p>
  </w:endnote>
  <w:endnote w:type="continuationSeparator" w:id="0">
    <w:p w14:paraId="18F23FB2" w14:textId="77777777" w:rsidR="00B8765B" w:rsidRDefault="00B8765B" w:rsidP="00014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Times New Roman">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1A64B" w14:textId="77777777" w:rsidR="005B4A2A" w:rsidRDefault="005B4A2A" w:rsidP="000145D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0557101" w14:textId="77777777" w:rsidR="005B4A2A" w:rsidRDefault="005B4A2A" w:rsidP="000145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7EDC3" w14:textId="5C3FD2B1" w:rsidR="005B4A2A" w:rsidRDefault="005B4A2A" w:rsidP="00121E26">
    <w:pPr>
      <w:pStyle w:val="Footer"/>
      <w:pBdr>
        <w:top w:val="single" w:sz="4" w:space="1" w:color="D9D9D9"/>
      </w:pBdr>
      <w:jc w:val="right"/>
    </w:pPr>
    <w:r>
      <w:fldChar w:fldCharType="begin"/>
    </w:r>
    <w:r>
      <w:instrText xml:space="preserve"> PAGE   \* MERGEFORMAT </w:instrText>
    </w:r>
    <w:r>
      <w:fldChar w:fldCharType="separate"/>
    </w:r>
    <w:r w:rsidR="00A224F9">
      <w:rPr>
        <w:noProof/>
      </w:rPr>
      <w:t>21</w:t>
    </w:r>
    <w:r>
      <w:rPr>
        <w:noProof/>
      </w:rPr>
      <w:fldChar w:fldCharType="end"/>
    </w:r>
    <w:r>
      <w:t xml:space="preserve"> | </w:t>
    </w:r>
    <w:r w:rsidRPr="00121E26">
      <w:rPr>
        <w:color w:val="808080"/>
        <w:spacing w:val="60"/>
      </w:rPr>
      <w:t>Page</w:t>
    </w:r>
  </w:p>
  <w:p w14:paraId="745943A7" w14:textId="77777777" w:rsidR="005B4A2A" w:rsidRDefault="005B4A2A" w:rsidP="000145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1D06A" w14:textId="77777777" w:rsidR="00B8765B" w:rsidRDefault="00B8765B" w:rsidP="000145D0">
      <w:r>
        <w:separator/>
      </w:r>
    </w:p>
  </w:footnote>
  <w:footnote w:type="continuationSeparator" w:id="0">
    <w:p w14:paraId="1922923B" w14:textId="77777777" w:rsidR="00B8765B" w:rsidRDefault="00B8765B" w:rsidP="000145D0">
      <w:r>
        <w:continuationSeparator/>
      </w:r>
    </w:p>
  </w:footnote>
  <w:footnote w:id="1">
    <w:p w14:paraId="24150907" w14:textId="77777777" w:rsidR="005B4A2A" w:rsidRPr="00A00333" w:rsidRDefault="005B4A2A" w:rsidP="00651409">
      <w:pPr>
        <w:keepNext/>
        <w:spacing w:before="0" w:after="0" w:line="240" w:lineRule="auto"/>
        <w:rPr>
          <w:sz w:val="22"/>
        </w:rPr>
      </w:pPr>
      <w:r>
        <w:rPr>
          <w:rStyle w:val="FootnoteReference"/>
        </w:rPr>
        <w:footnoteRef/>
      </w:r>
      <w:r>
        <w:t xml:space="preserve"> </w:t>
      </w:r>
      <w:r w:rsidRPr="000637DE">
        <w:rPr>
          <w:sz w:val="22"/>
          <w:szCs w:val="22"/>
        </w:rPr>
        <w:t>The actual process steps for determining the calibration factor for each year (and therefore the real-time and day-ahead market prices) are listed below.</w:t>
      </w:r>
    </w:p>
    <w:p w14:paraId="56080983" w14:textId="5E836761" w:rsidR="005B4A2A" w:rsidRPr="001A55C0" w:rsidRDefault="005B4A2A" w:rsidP="008A6BDD">
      <w:pPr>
        <w:numPr>
          <w:ilvl w:val="0"/>
          <w:numId w:val="3"/>
        </w:numPr>
        <w:spacing w:before="0" w:after="0" w:line="240" w:lineRule="auto"/>
        <w:rPr>
          <w:sz w:val="22"/>
          <w:szCs w:val="22"/>
        </w:rPr>
      </w:pPr>
      <w:r w:rsidRPr="000637DE">
        <w:rPr>
          <w:sz w:val="22"/>
          <w:szCs w:val="22"/>
        </w:rPr>
        <w:t xml:space="preserve">Set the annual day-ahead </w:t>
      </w:r>
      <w:r w:rsidRPr="001A55C0">
        <w:rPr>
          <w:sz w:val="22"/>
          <w:szCs w:val="22"/>
        </w:rPr>
        <w:t>energy price at the 2017 level increased by the percentage change in the forecast annual gas burner tip price.</w:t>
      </w:r>
    </w:p>
    <w:p w14:paraId="0D61DABB" w14:textId="77777777" w:rsidR="005B4A2A" w:rsidRPr="001A55C0" w:rsidRDefault="005B4A2A" w:rsidP="008A6BDD">
      <w:pPr>
        <w:numPr>
          <w:ilvl w:val="0"/>
          <w:numId w:val="3"/>
        </w:numPr>
        <w:spacing w:before="0" w:after="0" w:line="240" w:lineRule="auto"/>
        <w:rPr>
          <w:sz w:val="22"/>
          <w:szCs w:val="22"/>
        </w:rPr>
      </w:pPr>
      <w:r w:rsidRPr="001A55C0">
        <w:rPr>
          <w:sz w:val="22"/>
          <w:szCs w:val="22"/>
        </w:rPr>
        <w:t>Set the energy market calibration factor to 100%</w:t>
      </w:r>
    </w:p>
    <w:p w14:paraId="7E11003C" w14:textId="77777777" w:rsidR="005B4A2A" w:rsidRPr="001A55C0" w:rsidRDefault="005B4A2A" w:rsidP="008A6BDD">
      <w:pPr>
        <w:numPr>
          <w:ilvl w:val="0"/>
          <w:numId w:val="3"/>
        </w:numPr>
        <w:spacing w:before="0" w:after="0" w:line="240" w:lineRule="auto"/>
        <w:rPr>
          <w:sz w:val="22"/>
          <w:szCs w:val="22"/>
        </w:rPr>
      </w:pPr>
      <w:r w:rsidRPr="001A55C0">
        <w:rPr>
          <w:sz w:val="22"/>
          <w:szCs w:val="22"/>
        </w:rPr>
        <w:t>Multiply (1) by (2) to yield the adjusted annual day-ahead price</w:t>
      </w:r>
    </w:p>
    <w:p w14:paraId="6D4308DD" w14:textId="77777777" w:rsidR="005B4A2A" w:rsidRPr="001A55C0" w:rsidRDefault="005B4A2A" w:rsidP="008A6BDD">
      <w:pPr>
        <w:numPr>
          <w:ilvl w:val="0"/>
          <w:numId w:val="3"/>
        </w:numPr>
        <w:spacing w:before="0" w:after="0" w:line="240" w:lineRule="auto"/>
        <w:rPr>
          <w:sz w:val="22"/>
          <w:szCs w:val="22"/>
        </w:rPr>
      </w:pPr>
      <w:r w:rsidRPr="001A55C0">
        <w:rPr>
          <w:sz w:val="22"/>
          <w:szCs w:val="22"/>
        </w:rPr>
        <w:t>Calculate capacity cost</w:t>
      </w:r>
    </w:p>
    <w:p w14:paraId="3FB7E4EC" w14:textId="5E6463AC" w:rsidR="005B4A2A" w:rsidRPr="001A55C0" w:rsidRDefault="005B4A2A" w:rsidP="008A6BDD">
      <w:pPr>
        <w:numPr>
          <w:ilvl w:val="1"/>
          <w:numId w:val="3"/>
        </w:numPr>
        <w:spacing w:before="0" w:after="0" w:line="240" w:lineRule="auto"/>
        <w:rPr>
          <w:sz w:val="22"/>
          <w:szCs w:val="22"/>
        </w:rPr>
      </w:pPr>
      <w:r w:rsidRPr="001A55C0">
        <w:rPr>
          <w:sz w:val="22"/>
          <w:szCs w:val="22"/>
        </w:rPr>
        <w:t>Multiply the real-time hourly price shape by the adjusted annual day ahead price</w:t>
      </w:r>
    </w:p>
    <w:p w14:paraId="0CD5F519" w14:textId="77777777" w:rsidR="005B4A2A" w:rsidRPr="001A55C0" w:rsidRDefault="005B4A2A" w:rsidP="008A6BDD">
      <w:pPr>
        <w:numPr>
          <w:ilvl w:val="1"/>
          <w:numId w:val="3"/>
        </w:numPr>
        <w:spacing w:before="0" w:after="0" w:line="240" w:lineRule="auto"/>
        <w:rPr>
          <w:sz w:val="22"/>
          <w:szCs w:val="22"/>
        </w:rPr>
      </w:pPr>
      <w:r w:rsidRPr="001A55C0">
        <w:rPr>
          <w:sz w:val="22"/>
          <w:szCs w:val="22"/>
        </w:rPr>
        <w:t>Dispatch a new CT against the hourly prices in Northern and Southern CA from 4a to determine real time dispatch revenue in Northern and Southern CA</w:t>
      </w:r>
    </w:p>
    <w:p w14:paraId="07287EE0" w14:textId="46F454E8" w:rsidR="005B4A2A" w:rsidRPr="001A55C0" w:rsidRDefault="005B4A2A" w:rsidP="008A6BDD">
      <w:pPr>
        <w:numPr>
          <w:ilvl w:val="1"/>
          <w:numId w:val="3"/>
        </w:numPr>
        <w:spacing w:before="0" w:after="0" w:line="240" w:lineRule="auto"/>
        <w:rPr>
          <w:sz w:val="22"/>
          <w:szCs w:val="22"/>
        </w:rPr>
      </w:pPr>
      <w:r w:rsidRPr="001A55C0">
        <w:rPr>
          <w:sz w:val="22"/>
          <w:szCs w:val="22"/>
        </w:rPr>
        <w:t>Calculate ancillary service revenues as 2.74% of the real-time dispatch revenue</w:t>
      </w:r>
    </w:p>
    <w:p w14:paraId="37981318" w14:textId="522ABD72" w:rsidR="005B4A2A" w:rsidRPr="001A55C0" w:rsidRDefault="005B4A2A" w:rsidP="008A6BDD">
      <w:pPr>
        <w:numPr>
          <w:ilvl w:val="1"/>
          <w:numId w:val="3"/>
        </w:numPr>
        <w:spacing w:before="0" w:after="0" w:line="240" w:lineRule="auto"/>
        <w:rPr>
          <w:sz w:val="22"/>
          <w:szCs w:val="22"/>
        </w:rPr>
      </w:pPr>
      <w:r w:rsidRPr="001A55C0">
        <w:rPr>
          <w:sz w:val="22"/>
          <w:szCs w:val="22"/>
        </w:rPr>
        <w:t xml:space="preserve">Capacity value is the net capacity cost.  Net capacity cost = the levelized cost of the new CT plus fuel and O&amp;M costs less </w:t>
      </w:r>
      <w:r>
        <w:t>4.b</w:t>
      </w:r>
      <w:r w:rsidRPr="001A55C0">
        <w:rPr>
          <w:sz w:val="22"/>
          <w:szCs w:val="22"/>
        </w:rPr>
        <w:t xml:space="preserve"> and </w:t>
      </w:r>
      <w:r>
        <w:t>4.c.</w:t>
      </w:r>
    </w:p>
    <w:p w14:paraId="602150A4" w14:textId="77777777" w:rsidR="005B4A2A" w:rsidRDefault="005B4A2A" w:rsidP="008A6BDD">
      <w:pPr>
        <w:numPr>
          <w:ilvl w:val="1"/>
          <w:numId w:val="3"/>
        </w:numPr>
        <w:spacing w:before="0" w:after="0" w:line="240" w:lineRule="auto"/>
        <w:rPr>
          <w:sz w:val="22"/>
          <w:szCs w:val="22"/>
        </w:rPr>
      </w:pPr>
      <w:r w:rsidRPr="00813981">
        <w:rPr>
          <w:sz w:val="22"/>
          <w:szCs w:val="22"/>
        </w:rPr>
        <w:t>Adjust capacity value ($/kW-yr) to reflect degraded output at system peak weather conditions</w:t>
      </w:r>
    </w:p>
    <w:p w14:paraId="791F8402" w14:textId="77777777" w:rsidR="005B4A2A" w:rsidRPr="00A00333" w:rsidRDefault="005B4A2A" w:rsidP="008A6BDD">
      <w:pPr>
        <w:numPr>
          <w:ilvl w:val="1"/>
          <w:numId w:val="3"/>
        </w:numPr>
        <w:spacing w:before="0" w:after="0" w:line="240" w:lineRule="auto"/>
        <w:rPr>
          <w:sz w:val="22"/>
          <w:szCs w:val="22"/>
        </w:rPr>
      </w:pPr>
      <w:r w:rsidRPr="00813981">
        <w:rPr>
          <w:sz w:val="22"/>
          <w:szCs w:val="22"/>
        </w:rPr>
        <w:t>Set the capacity value at the average of Northern and Southern CA capacity values</w:t>
      </w:r>
    </w:p>
    <w:p w14:paraId="49183829" w14:textId="77777777" w:rsidR="005B4A2A" w:rsidRPr="00A00333" w:rsidRDefault="005B4A2A" w:rsidP="008A6BDD">
      <w:pPr>
        <w:numPr>
          <w:ilvl w:val="0"/>
          <w:numId w:val="3"/>
        </w:numPr>
        <w:spacing w:before="0" w:after="0" w:line="240" w:lineRule="auto"/>
        <w:rPr>
          <w:sz w:val="22"/>
          <w:szCs w:val="22"/>
        </w:rPr>
      </w:pPr>
      <w:r w:rsidRPr="00813981">
        <w:rPr>
          <w:sz w:val="22"/>
          <w:szCs w:val="22"/>
        </w:rPr>
        <w:t>Calculate energy cost</w:t>
      </w:r>
    </w:p>
    <w:p w14:paraId="412F6B6A" w14:textId="00139954" w:rsidR="005B4A2A" w:rsidRPr="00A00333" w:rsidRDefault="005B4A2A" w:rsidP="008A6BDD">
      <w:pPr>
        <w:numPr>
          <w:ilvl w:val="1"/>
          <w:numId w:val="3"/>
        </w:numPr>
        <w:spacing w:before="0" w:after="0" w:line="240" w:lineRule="auto"/>
        <w:rPr>
          <w:sz w:val="22"/>
          <w:szCs w:val="22"/>
        </w:rPr>
      </w:pPr>
      <w:r w:rsidRPr="00813981">
        <w:rPr>
          <w:sz w:val="22"/>
          <w:szCs w:val="22"/>
        </w:rPr>
        <w:t>Multiply the day-ahead hourly price shape by the adjusted annual day ahead price</w:t>
      </w:r>
    </w:p>
    <w:p w14:paraId="53389846" w14:textId="0FCF9FB1" w:rsidR="005B4A2A" w:rsidRPr="00A00333" w:rsidRDefault="005B4A2A" w:rsidP="008A6BDD">
      <w:pPr>
        <w:numPr>
          <w:ilvl w:val="1"/>
          <w:numId w:val="3"/>
        </w:numPr>
        <w:spacing w:before="0" w:after="0" w:line="240" w:lineRule="auto"/>
        <w:rPr>
          <w:sz w:val="22"/>
          <w:szCs w:val="22"/>
        </w:rPr>
      </w:pPr>
      <w:r w:rsidRPr="00813981">
        <w:rPr>
          <w:sz w:val="22"/>
          <w:szCs w:val="22"/>
        </w:rPr>
        <w:t xml:space="preserve">Dispatch a new CCGT against the hourly prices from </w:t>
      </w:r>
      <w:r>
        <w:t>5.a</w:t>
      </w:r>
      <w:r w:rsidRPr="00813981">
        <w:rPr>
          <w:sz w:val="22"/>
          <w:szCs w:val="22"/>
        </w:rPr>
        <w:t xml:space="preserve"> to determine the day-ahead dispatch revenue </w:t>
      </w:r>
    </w:p>
    <w:p w14:paraId="3D369C4F" w14:textId="761A4292" w:rsidR="005B4A2A" w:rsidRPr="00A00333" w:rsidRDefault="005B4A2A" w:rsidP="008A6BDD">
      <w:pPr>
        <w:numPr>
          <w:ilvl w:val="1"/>
          <w:numId w:val="3"/>
        </w:numPr>
        <w:spacing w:before="0" w:after="0" w:line="240" w:lineRule="auto"/>
        <w:rPr>
          <w:sz w:val="22"/>
          <w:szCs w:val="22"/>
        </w:rPr>
      </w:pPr>
      <w:r w:rsidRPr="00813981">
        <w:rPr>
          <w:sz w:val="22"/>
          <w:szCs w:val="22"/>
        </w:rPr>
        <w:t xml:space="preserve">Calculate the excess (deficient) margin of a CCGT unit as the levelized cost of a new CCGT plus fuel and O&amp;M costs less </w:t>
      </w:r>
      <w:r>
        <w:t xml:space="preserve">5.b </w:t>
      </w:r>
      <w:r w:rsidRPr="00813981">
        <w:rPr>
          <w:sz w:val="22"/>
          <w:szCs w:val="22"/>
        </w:rPr>
        <w:t xml:space="preserve">and less </w:t>
      </w:r>
      <w:r>
        <w:t>4.e</w:t>
      </w:r>
      <w:r w:rsidRPr="00813981">
        <w:rPr>
          <w:sz w:val="22"/>
          <w:szCs w:val="22"/>
        </w:rPr>
        <w:t xml:space="preserve"> (adjusted for CCGT output degradation)</w:t>
      </w:r>
    </w:p>
    <w:p w14:paraId="7317453C" w14:textId="3CE9F2F4" w:rsidR="005B4A2A" w:rsidRPr="00A00333" w:rsidRDefault="005B4A2A" w:rsidP="008A6BDD">
      <w:pPr>
        <w:numPr>
          <w:ilvl w:val="0"/>
          <w:numId w:val="3"/>
        </w:numPr>
        <w:spacing w:before="0" w:after="0" w:line="240" w:lineRule="auto"/>
        <w:rPr>
          <w:sz w:val="22"/>
          <w:szCs w:val="22"/>
        </w:rPr>
      </w:pPr>
      <w:r w:rsidRPr="00813981">
        <w:rPr>
          <w:sz w:val="22"/>
          <w:szCs w:val="22"/>
        </w:rPr>
        <w:t xml:space="preserve">If there is excess or deficient margin for the CCGT unit, decrease or increase the energy market calibration factor, and repeat from step </w:t>
      </w:r>
      <w:r>
        <w:t>2.</w:t>
      </w:r>
      <w:r w:rsidRPr="00813981">
        <w:rPr>
          <w:sz w:val="22"/>
          <w:szCs w:val="22"/>
        </w:rPr>
        <w:t xml:space="preserve">  </w:t>
      </w:r>
    </w:p>
    <w:p w14:paraId="5EC7F406" w14:textId="77777777" w:rsidR="005B4A2A" w:rsidRDefault="005B4A2A" w:rsidP="00F214CF">
      <w:pPr>
        <w:pStyle w:val="FootnoteText"/>
      </w:pPr>
    </w:p>
  </w:footnote>
  <w:footnote w:id="2">
    <w:p w14:paraId="67D33B7B" w14:textId="2F45AA7B" w:rsidR="005B4A2A" w:rsidRDefault="005B4A2A">
      <w:pPr>
        <w:pStyle w:val="FootnoteText"/>
      </w:pPr>
      <w:r>
        <w:rPr>
          <w:rStyle w:val="FootnoteReference"/>
        </w:rPr>
        <w:footnoteRef/>
      </w:r>
      <w:r>
        <w:t xml:space="preserve"> </w:t>
      </w:r>
      <w:r w:rsidRPr="001C3D63">
        <w:t>https://e3.sharefile.com/d-s517ef02de3740209</w:t>
      </w:r>
    </w:p>
  </w:footnote>
  <w:footnote w:id="3">
    <w:p w14:paraId="277210E4" w14:textId="623496D0" w:rsidR="005B4A2A" w:rsidRDefault="005B4A2A" w:rsidP="000637DE">
      <w:pPr>
        <w:pStyle w:val="FootnoteText"/>
      </w:pPr>
      <w:r>
        <w:rPr>
          <w:rStyle w:val="FootnoteReference"/>
        </w:rPr>
        <w:footnoteRef/>
      </w:r>
      <w:r>
        <w:t xml:space="preserve">.  According to the CAISO’s </w:t>
      </w:r>
      <w:r w:rsidRPr="00336CA6">
        <w:t>201</w:t>
      </w:r>
      <w:r>
        <w:t>5</w:t>
      </w:r>
      <w:r w:rsidRPr="00336CA6">
        <w:t xml:space="preserve"> Annual Report on Market Issues and Performance</w:t>
      </w:r>
      <w:r>
        <w:t xml:space="preserve"> CT A/S revenues from 2012 through 2015 averaged 2.74% of the CT energy market revenue  </w:t>
      </w:r>
      <w:hyperlink r:id="rId1" w:history="1">
        <w:r w:rsidRPr="00570878">
          <w:rPr>
            <w:rStyle w:val="Hyperlink"/>
          </w:rPr>
          <w:t>http://caiso.com/Documents/2015AnnualReportonMarketIssuesandPerformance.pdf</w:t>
        </w:r>
      </w:hyperlink>
      <w:r>
        <w:t xml:space="preserve">  Table 1.10 Financial analysis of a new combustion turbine (2012-2015).  An updated value was not available in the CAISO’s 2016 annual report.</w:t>
      </w:r>
    </w:p>
  </w:footnote>
  <w:footnote w:id="4">
    <w:p w14:paraId="1E4EB5E6" w14:textId="4496400C" w:rsidR="005B4A2A" w:rsidRDefault="005B4A2A" w:rsidP="00CC3913">
      <w:pPr>
        <w:pStyle w:val="FootnoteText"/>
      </w:pPr>
      <w:r>
        <w:rPr>
          <w:rStyle w:val="FootnoteReference"/>
        </w:rPr>
        <w:footnoteRef/>
      </w:r>
      <w:r>
        <w:t xml:space="preserve"> The market calibration factor is used to adjust the energy market prices to a level each year such that a new CCGT would not over or under collect its return on and of capital from the energy market margins, and is described in more detail in the energy market section.</w:t>
      </w:r>
    </w:p>
  </w:footnote>
  <w:footnote w:id="5">
    <w:p w14:paraId="11F94B1C" w14:textId="77777777" w:rsidR="005B4A2A" w:rsidRDefault="005B4A2A" w:rsidP="000145D0">
      <w:pPr>
        <w:pStyle w:val="FootnoteText"/>
      </w:pPr>
      <w:r>
        <w:rPr>
          <w:rStyle w:val="FootnoteReference"/>
        </w:rPr>
        <w:footnoteRef/>
      </w:r>
      <w:r>
        <w:t xml:space="preserve"> ISO conditions assume 59ºF, 60% relative humidity, and elevation at sea level.</w:t>
      </w:r>
    </w:p>
  </w:footnote>
  <w:footnote w:id="6">
    <w:p w14:paraId="23C3277F" w14:textId="77777777" w:rsidR="005B4A2A" w:rsidRDefault="005B4A2A">
      <w:pPr>
        <w:pStyle w:val="FootnoteText"/>
      </w:pPr>
      <w:r>
        <w:rPr>
          <w:rStyle w:val="FootnoteReference"/>
        </w:rPr>
        <w:footnoteRef/>
      </w:r>
      <w:r>
        <w:t xml:space="preserve"> See </w:t>
      </w:r>
      <w:r>
        <w:rPr>
          <w:lang w:val="fr-FR"/>
        </w:rPr>
        <w:t xml:space="preserve">D.10-06-036 OP 6b, and the 2012 Final RA Guide at </w:t>
      </w:r>
      <w:hyperlink r:id="rId2" w:history="1">
        <w:r>
          <w:rPr>
            <w:rStyle w:val="Hyperlink"/>
          </w:rPr>
          <w:t>http://www.cpuc.ca.gov/PUC/energy/Procurement/RA/ra_compliance_materials.htm</w:t>
        </w:r>
      </w:hyperlink>
    </w:p>
  </w:footnote>
  <w:footnote w:id="7">
    <w:p w14:paraId="2674131D" w14:textId="3EEB0B85" w:rsidR="005B4A2A" w:rsidRDefault="005B4A2A">
      <w:pPr>
        <w:pStyle w:val="FootnoteText"/>
      </w:pPr>
      <w:r>
        <w:rPr>
          <w:rStyle w:val="FootnoteReference"/>
        </w:rPr>
        <w:footnoteRef/>
      </w:r>
      <w:r>
        <w:t xml:space="preserve"> </w:t>
      </w:r>
      <w:hyperlink r:id="rId3" w:history="1">
        <w:r w:rsidRPr="00952775">
          <w:rPr>
            <w:rStyle w:val="Hyperlink"/>
          </w:rPr>
          <w:t>https://ethree.com/public_projects/recap.php</w:t>
        </w:r>
      </w:hyperlink>
      <w:r>
        <w:t xml:space="preserve"> </w:t>
      </w:r>
    </w:p>
  </w:footnote>
  <w:footnote w:id="8">
    <w:p w14:paraId="10CF0111" w14:textId="6668F1B8" w:rsidR="005B4A2A" w:rsidRDefault="005B4A2A" w:rsidP="00F03153">
      <w:pPr>
        <w:pStyle w:val="FootnoteText"/>
      </w:pPr>
      <w:r>
        <w:rPr>
          <w:rStyle w:val="FootnoteReference"/>
        </w:rPr>
        <w:footnoteRef/>
      </w:r>
      <w:hyperlink r:id="rId4" w:history="1">
        <w:r w:rsidRPr="00570878">
          <w:rPr>
            <w:rStyle w:val="Hyperlink"/>
          </w:rPr>
          <w:t>http://caiso.com/Documents/2015AnnualReportonMarketIssuesandPerformance.pdf</w:t>
        </w:r>
      </w:hyperlink>
      <w:r>
        <w:t xml:space="preserve">  p. 9</w:t>
      </w:r>
    </w:p>
  </w:footnote>
  <w:footnote w:id="9">
    <w:p w14:paraId="7B2CFD53" w14:textId="37ABE121" w:rsidR="005B4A2A" w:rsidRDefault="005B4A2A">
      <w:pPr>
        <w:pStyle w:val="FootnoteText"/>
      </w:pPr>
      <w:r>
        <w:rPr>
          <w:rStyle w:val="FootnoteReference"/>
        </w:rPr>
        <w:footnoteRef/>
      </w:r>
      <w:r>
        <w:t xml:space="preserve"> While the updated allocation factors are superior to the prior values, they are not substitutes or replacements for the work that utilities are currently undertaking as part of the DRP proceeding.  These allocation factors are simulations based on a limited number of 2010 circuit and substation load patterns.  Actual loading for a specific local distribution area within a climate zone could vary significantly from the loading assumed herein.  Moreover, the IOUs may develop alternate methods for determining the peak contribution of distributed energy resources.</w:t>
      </w:r>
    </w:p>
  </w:footnote>
  <w:footnote w:id="10">
    <w:p w14:paraId="4F5E7A3A" w14:textId="5CF83992" w:rsidR="005B4A2A" w:rsidRDefault="005B4A2A">
      <w:pPr>
        <w:pStyle w:val="FootnoteText"/>
      </w:pPr>
      <w:r>
        <w:rPr>
          <w:rStyle w:val="FootnoteReference"/>
        </w:rPr>
        <w:footnoteRef/>
      </w:r>
      <w:r>
        <w:t xml:space="preserve"> The complete list of regression variables and model fit can be found in the Appendix.</w:t>
      </w:r>
    </w:p>
  </w:footnote>
  <w:footnote w:id="11">
    <w:p w14:paraId="36E51AA6" w14:textId="77777777" w:rsidR="005B4A2A" w:rsidRDefault="005B4A2A" w:rsidP="007908A9">
      <w:pPr>
        <w:pStyle w:val="FootnoteText"/>
      </w:pPr>
      <w:r>
        <w:rPr>
          <w:rStyle w:val="FootnoteReference"/>
        </w:rPr>
        <w:footnoteRef/>
      </w:r>
      <w:r>
        <w:t xml:space="preserve"> The monetized carbon (cap &amp; trade) cost separates out the cost of CO2.  Costs for NOx and PM-10 are typically minimal for natural gas units, and those costs have not been separated out from the energy component.</w:t>
      </w:r>
    </w:p>
  </w:footnote>
  <w:footnote w:id="12">
    <w:p w14:paraId="3E8FC82B" w14:textId="66244F7D" w:rsidR="005B4A2A" w:rsidRDefault="005B4A2A">
      <w:pPr>
        <w:pStyle w:val="FootnoteText"/>
      </w:pPr>
      <w:r>
        <w:rPr>
          <w:rStyle w:val="FootnoteReference"/>
        </w:rPr>
        <w:footnoteRef/>
      </w:r>
      <w:r>
        <w:t xml:space="preserve"> 2.3 percent per year annual inflation was used.  The value is from the </w:t>
      </w:r>
      <w:r w:rsidRPr="00356B42">
        <w:t>2/9/2018 Long-term inflation forecast from</w:t>
      </w:r>
      <w:r>
        <w:t xml:space="preserve"> the Federal Reserve Bank of Philadelphia</w:t>
      </w:r>
      <w:r w:rsidRPr="00356B42">
        <w:t xml:space="preserve"> Survey of Professional Forecasters</w:t>
      </w:r>
      <w:r>
        <w:t xml:space="preserve">, rounded to the nearest tenth of a percent.  </w:t>
      </w:r>
      <w:r w:rsidRPr="00356B42">
        <w:t>https://www.philadelphiafed.org/research-and-data/real-time-center/survey-of-professional-forecasters/historical-data/inflation-forecasts</w:t>
      </w:r>
    </w:p>
  </w:footnote>
  <w:footnote w:id="13">
    <w:p w14:paraId="2B8AB5FB" w14:textId="7BE7D4A7" w:rsidR="005B4A2A" w:rsidRDefault="005B4A2A" w:rsidP="00273CE0">
      <w:pPr>
        <w:pStyle w:val="FootnoteText"/>
      </w:pPr>
      <w:r>
        <w:rPr>
          <w:rStyle w:val="FootnoteReference"/>
        </w:rPr>
        <w:footnoteRef/>
      </w:r>
      <w:r>
        <w:t xml:space="preserve">  More information about the use of non-energy benefits to evaluate Low Income programs can be found in the revised final report “ </w:t>
      </w:r>
      <w:r w:rsidRPr="3095E0BA">
        <w:rPr>
          <w:i/>
          <w:iCs/>
        </w:rPr>
        <w:t xml:space="preserve">Non-Energy Benefits:  Status, Findings, Next Steps, and Implications for Low Income Program Analyses in </w:t>
      </w:r>
      <w:smartTag w:uri="urn:schemas-microsoft-com:office:smarttags" w:element="place">
        <w:smartTag w:uri="urn:schemas-microsoft-com:office:smarttags" w:element="State">
          <w:r w:rsidRPr="3095E0BA">
            <w:rPr>
              <w:i/>
              <w:iCs/>
            </w:rPr>
            <w:t>California</w:t>
          </w:r>
        </w:smartTag>
      </w:smartTag>
      <w:r>
        <w:t xml:space="preserve">” issued May 11, 2010.  </w:t>
      </w:r>
      <w:hyperlink r:id="rId5" w:history="1">
        <w:r>
          <w:rPr>
            <w:rStyle w:val="Hyperlink"/>
          </w:rPr>
          <w:t>http://www.liob.org/docs/LIEE%20Non-Energy%20Benefits%20Revised%20Report.pdf</w:t>
        </w:r>
      </w:hyperlink>
    </w:p>
  </w:footnote>
  <w:footnote w:id="14">
    <w:p w14:paraId="03741E67" w14:textId="13D453AC" w:rsidR="005B4A2A" w:rsidRDefault="005B4A2A" w:rsidP="00273CE0">
      <w:pPr>
        <w:pStyle w:val="FootnoteText"/>
      </w:pPr>
      <w:r>
        <w:rPr>
          <w:rStyle w:val="FootnoteReference"/>
        </w:rPr>
        <w:footnoteRef/>
      </w:r>
      <w:r>
        <w:t xml:space="preserve"> </w:t>
      </w:r>
      <w:hyperlink r:id="rId6" w:history="1">
        <w:r w:rsidRPr="007F6604">
          <w:rPr>
            <w:rStyle w:val="Hyperlink"/>
          </w:rPr>
          <w:t>http://www.cpuc.ca.gov/PUC/energy/Energy+Efficiency/EM+and+V/Embedded+Energy+in+Water+Studies1_and_2.htm</w:t>
        </w:r>
      </w:hyperlink>
      <w:r>
        <w:t xml:space="preserve"> </w:t>
      </w:r>
    </w:p>
  </w:footnote>
  <w:footnote w:id="15">
    <w:p w14:paraId="18BEFC15" w14:textId="729475D8" w:rsidR="005B4A2A" w:rsidRDefault="005B4A2A" w:rsidP="00273CE0">
      <w:pPr>
        <w:pStyle w:val="FootnoteText"/>
      </w:pPr>
      <w:r>
        <w:rPr>
          <w:rStyle w:val="FootnoteReference"/>
        </w:rPr>
        <w:footnoteRef/>
      </w:r>
      <w:r>
        <w:t xml:space="preserve"> </w:t>
      </w:r>
      <w:hyperlink r:id="rId7" w:history="1">
        <w:r w:rsidRPr="007F6604">
          <w:rPr>
            <w:rStyle w:val="Hyperlink"/>
          </w:rPr>
          <w:t>http://www.ethree.com/public_projects/cpucOEEP.php</w:t>
        </w:r>
      </w:hyperlink>
      <w:r>
        <w:t xml:space="preserve"> </w:t>
      </w:r>
    </w:p>
  </w:footnote>
  <w:footnote w:id="16">
    <w:p w14:paraId="1F83E6A7" w14:textId="77777777" w:rsidR="005B4A2A" w:rsidRDefault="005B4A2A" w:rsidP="00602B3F">
      <w:pPr>
        <w:pStyle w:val="FootnoteText"/>
      </w:pPr>
      <w:r>
        <w:rPr>
          <w:rStyle w:val="FootnoteReference"/>
        </w:rPr>
        <w:footnoteRef/>
      </w:r>
      <w:r>
        <w:t xml:space="preserve"> </w:t>
      </w:r>
      <w:r w:rsidRPr="002C1848">
        <w:t>Costs by component could</w:t>
      </w:r>
      <w:r>
        <w:t xml:space="preserve"> be generated by running the export macros with only the desired component set to TRUE in the Dashboard Electricity Components section.</w:t>
      </w:r>
    </w:p>
  </w:footnote>
  <w:footnote w:id="17">
    <w:p w14:paraId="7FF7C209" w14:textId="4035CA46" w:rsidR="005B4A2A" w:rsidRDefault="005B4A2A" w:rsidP="008A6BDD">
      <w:pPr>
        <w:pStyle w:val="FootnoteText"/>
      </w:pPr>
      <w:r w:rsidRPr="008A6BDD">
        <w:rPr>
          <w:rStyle w:val="FootnoteReference"/>
        </w:rPr>
        <w:footnoteRef/>
      </w:r>
      <w:r>
        <w:t xml:space="preserve"> </w:t>
      </w:r>
      <w:hyperlink r:id="rId8" w:history="1">
        <w:r w:rsidRPr="003D7849">
          <w:rPr>
            <w:rStyle w:val="Hyperlink"/>
          </w:rPr>
          <w:t>https://ethree.com/public_projects/recap.php</w:t>
        </w:r>
      </w:hyperlink>
      <w:r>
        <w:t xml:space="preserve"> </w:t>
      </w:r>
    </w:p>
  </w:footnote>
  <w:footnote w:id="18">
    <w:p w14:paraId="0A06069E" w14:textId="77777777" w:rsidR="005B4A2A" w:rsidRDefault="005B4A2A" w:rsidP="008A6BDD">
      <w:pPr>
        <w:pStyle w:val="FootnoteText"/>
      </w:pPr>
      <w:r w:rsidRPr="008A6BDD">
        <w:rPr>
          <w:rStyle w:val="FootnoteReference"/>
        </w:rPr>
        <w:footnoteRef/>
      </w:r>
      <w:r>
        <w:t xml:space="preserve"> </w:t>
      </w:r>
      <w:hyperlink r:id="rId9">
        <w:r w:rsidRPr="008A6BDD">
          <w:rPr>
            <w:rStyle w:val="Hyperlink"/>
          </w:rPr>
          <w:t>http://www.energy.ca.gov/2014publications/CEC-200-2014-003/index.html</w:t>
        </w:r>
      </w:hyperlink>
    </w:p>
    <w:p w14:paraId="67FAB9A5" w14:textId="77777777" w:rsidR="005B4A2A" w:rsidRDefault="005B4A2A" w:rsidP="008A6BD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B317E"/>
    <w:multiLevelType w:val="hybridMultilevel"/>
    <w:tmpl w:val="CED08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E051C1"/>
    <w:multiLevelType w:val="hybridMultilevel"/>
    <w:tmpl w:val="998A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80011"/>
    <w:multiLevelType w:val="hybridMultilevel"/>
    <w:tmpl w:val="5B705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4681F"/>
    <w:multiLevelType w:val="hybridMultilevel"/>
    <w:tmpl w:val="998AB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362EB"/>
    <w:multiLevelType w:val="hybridMultilevel"/>
    <w:tmpl w:val="1EC849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790033"/>
    <w:multiLevelType w:val="hybridMultilevel"/>
    <w:tmpl w:val="A52AD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9527C7"/>
    <w:multiLevelType w:val="hybridMultilevel"/>
    <w:tmpl w:val="63C87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B17F5E"/>
    <w:multiLevelType w:val="hybridMultilevel"/>
    <w:tmpl w:val="3CEE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902DA7"/>
    <w:multiLevelType w:val="hybridMultilevel"/>
    <w:tmpl w:val="23F82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5818BF"/>
    <w:multiLevelType w:val="hybridMultilevel"/>
    <w:tmpl w:val="0C1E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7A7ABE"/>
    <w:multiLevelType w:val="hybridMultilevel"/>
    <w:tmpl w:val="2272E966"/>
    <w:lvl w:ilvl="0" w:tplc="836A1314">
      <w:start w:val="1"/>
      <w:numFmt w:val="decimal"/>
      <w:lvlText w:val="%1."/>
      <w:lvlJc w:val="left"/>
      <w:pPr>
        <w:ind w:left="720" w:hanging="360"/>
      </w:pPr>
    </w:lvl>
    <w:lvl w:ilvl="1" w:tplc="6478DB7E">
      <w:start w:val="1"/>
      <w:numFmt w:val="lowerLetter"/>
      <w:lvlText w:val="%2."/>
      <w:lvlJc w:val="left"/>
      <w:pPr>
        <w:ind w:left="1440" w:hanging="360"/>
      </w:pPr>
    </w:lvl>
    <w:lvl w:ilvl="2" w:tplc="216440C8">
      <w:start w:val="1"/>
      <w:numFmt w:val="lowerRoman"/>
      <w:lvlText w:val="%3."/>
      <w:lvlJc w:val="right"/>
      <w:pPr>
        <w:ind w:left="2160" w:hanging="180"/>
      </w:pPr>
    </w:lvl>
    <w:lvl w:ilvl="3" w:tplc="BE740872">
      <w:start w:val="1"/>
      <w:numFmt w:val="decimal"/>
      <w:lvlText w:val="%4."/>
      <w:lvlJc w:val="left"/>
      <w:pPr>
        <w:ind w:left="2880" w:hanging="360"/>
      </w:pPr>
    </w:lvl>
    <w:lvl w:ilvl="4" w:tplc="7DF8F022">
      <w:start w:val="1"/>
      <w:numFmt w:val="lowerLetter"/>
      <w:lvlText w:val="%5."/>
      <w:lvlJc w:val="left"/>
      <w:pPr>
        <w:ind w:left="3600" w:hanging="360"/>
      </w:pPr>
    </w:lvl>
    <w:lvl w:ilvl="5" w:tplc="E80CB414">
      <w:start w:val="1"/>
      <w:numFmt w:val="lowerRoman"/>
      <w:lvlText w:val="%6."/>
      <w:lvlJc w:val="right"/>
      <w:pPr>
        <w:ind w:left="4320" w:hanging="180"/>
      </w:pPr>
    </w:lvl>
    <w:lvl w:ilvl="6" w:tplc="D77C5812">
      <w:start w:val="1"/>
      <w:numFmt w:val="decimal"/>
      <w:lvlText w:val="%7."/>
      <w:lvlJc w:val="left"/>
      <w:pPr>
        <w:ind w:left="5040" w:hanging="360"/>
      </w:pPr>
    </w:lvl>
    <w:lvl w:ilvl="7" w:tplc="39BC2C26">
      <w:start w:val="1"/>
      <w:numFmt w:val="lowerLetter"/>
      <w:lvlText w:val="%8."/>
      <w:lvlJc w:val="left"/>
      <w:pPr>
        <w:ind w:left="5760" w:hanging="360"/>
      </w:pPr>
    </w:lvl>
    <w:lvl w:ilvl="8" w:tplc="289AF47A">
      <w:start w:val="1"/>
      <w:numFmt w:val="lowerRoman"/>
      <w:lvlText w:val="%9."/>
      <w:lvlJc w:val="right"/>
      <w:pPr>
        <w:ind w:left="6480" w:hanging="180"/>
      </w:pPr>
    </w:lvl>
  </w:abstractNum>
  <w:abstractNum w:abstractNumId="11">
    <w:nsid w:val="3C2F2152"/>
    <w:multiLevelType w:val="hybridMultilevel"/>
    <w:tmpl w:val="3DD0B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CE4E53"/>
    <w:multiLevelType w:val="hybridMultilevel"/>
    <w:tmpl w:val="3CEED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F71B0E"/>
    <w:multiLevelType w:val="hybridMultilevel"/>
    <w:tmpl w:val="3CF26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4"/>
  </w:num>
  <w:num w:numId="4">
    <w:abstractNumId w:val="9"/>
  </w:num>
  <w:num w:numId="5">
    <w:abstractNumId w:val="2"/>
  </w:num>
  <w:num w:numId="6">
    <w:abstractNumId w:val="13"/>
  </w:num>
  <w:num w:numId="7">
    <w:abstractNumId w:val="0"/>
  </w:num>
  <w:num w:numId="8">
    <w:abstractNumId w:val="11"/>
  </w:num>
  <w:num w:numId="9">
    <w:abstractNumId w:val="5"/>
  </w:num>
  <w:num w:numId="10">
    <w:abstractNumId w:val="6"/>
  </w:num>
  <w:num w:numId="11">
    <w:abstractNumId w:val="12"/>
  </w:num>
  <w:num w:numId="12">
    <w:abstractNumId w:val="7"/>
  </w:num>
  <w:num w:numId="13">
    <w:abstractNumId w:val="1"/>
  </w:num>
  <w:num w:numId="1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75D"/>
    <w:rsid w:val="00000ADA"/>
    <w:rsid w:val="00003F5F"/>
    <w:rsid w:val="0001237A"/>
    <w:rsid w:val="00012FE3"/>
    <w:rsid w:val="000145D0"/>
    <w:rsid w:val="000201A2"/>
    <w:rsid w:val="00020926"/>
    <w:rsid w:val="0003179A"/>
    <w:rsid w:val="00037DDF"/>
    <w:rsid w:val="0004296A"/>
    <w:rsid w:val="00044BC8"/>
    <w:rsid w:val="00045E93"/>
    <w:rsid w:val="00046DA9"/>
    <w:rsid w:val="00047D70"/>
    <w:rsid w:val="000514E9"/>
    <w:rsid w:val="00051934"/>
    <w:rsid w:val="00053DCC"/>
    <w:rsid w:val="000561E2"/>
    <w:rsid w:val="000606BD"/>
    <w:rsid w:val="00060B2F"/>
    <w:rsid w:val="00060EFB"/>
    <w:rsid w:val="000637DE"/>
    <w:rsid w:val="00064471"/>
    <w:rsid w:val="000647F6"/>
    <w:rsid w:val="0007300F"/>
    <w:rsid w:val="00074CF9"/>
    <w:rsid w:val="0007707A"/>
    <w:rsid w:val="0007763F"/>
    <w:rsid w:val="0008735B"/>
    <w:rsid w:val="00087461"/>
    <w:rsid w:val="00087AE6"/>
    <w:rsid w:val="00093B00"/>
    <w:rsid w:val="00097618"/>
    <w:rsid w:val="0009792D"/>
    <w:rsid w:val="00097E23"/>
    <w:rsid w:val="000A1CC0"/>
    <w:rsid w:val="000A2828"/>
    <w:rsid w:val="000B055C"/>
    <w:rsid w:val="000B0B1C"/>
    <w:rsid w:val="000B4394"/>
    <w:rsid w:val="000B4DFF"/>
    <w:rsid w:val="000B5D4C"/>
    <w:rsid w:val="000B63AA"/>
    <w:rsid w:val="000B6B25"/>
    <w:rsid w:val="000C333A"/>
    <w:rsid w:val="000C5FA9"/>
    <w:rsid w:val="000C7775"/>
    <w:rsid w:val="000C7C10"/>
    <w:rsid w:val="000D1A99"/>
    <w:rsid w:val="000E5EF4"/>
    <w:rsid w:val="000F59D7"/>
    <w:rsid w:val="00102C16"/>
    <w:rsid w:val="001068CE"/>
    <w:rsid w:val="001120E8"/>
    <w:rsid w:val="0011366A"/>
    <w:rsid w:val="0011488E"/>
    <w:rsid w:val="00115F87"/>
    <w:rsid w:val="0011637C"/>
    <w:rsid w:val="001203D6"/>
    <w:rsid w:val="00121E26"/>
    <w:rsid w:val="00124A40"/>
    <w:rsid w:val="00127E9A"/>
    <w:rsid w:val="00132655"/>
    <w:rsid w:val="001359AF"/>
    <w:rsid w:val="00137726"/>
    <w:rsid w:val="00142308"/>
    <w:rsid w:val="001427A0"/>
    <w:rsid w:val="00144EA9"/>
    <w:rsid w:val="001467EE"/>
    <w:rsid w:val="00146FB1"/>
    <w:rsid w:val="00156051"/>
    <w:rsid w:val="00157452"/>
    <w:rsid w:val="001678E0"/>
    <w:rsid w:val="0017063B"/>
    <w:rsid w:val="00170C89"/>
    <w:rsid w:val="00170CD9"/>
    <w:rsid w:val="00170EEC"/>
    <w:rsid w:val="00181133"/>
    <w:rsid w:val="00185482"/>
    <w:rsid w:val="00186B05"/>
    <w:rsid w:val="001A3790"/>
    <w:rsid w:val="001A3909"/>
    <w:rsid w:val="001A3BB1"/>
    <w:rsid w:val="001A48A4"/>
    <w:rsid w:val="001A55C0"/>
    <w:rsid w:val="001C372A"/>
    <w:rsid w:val="001C3D63"/>
    <w:rsid w:val="001C44CB"/>
    <w:rsid w:val="001C6EE2"/>
    <w:rsid w:val="001C712F"/>
    <w:rsid w:val="001D7980"/>
    <w:rsid w:val="001E0B11"/>
    <w:rsid w:val="001E1B1D"/>
    <w:rsid w:val="001F343F"/>
    <w:rsid w:val="00202CF1"/>
    <w:rsid w:val="00203CF5"/>
    <w:rsid w:val="00210FFF"/>
    <w:rsid w:val="00211737"/>
    <w:rsid w:val="00215903"/>
    <w:rsid w:val="00226A94"/>
    <w:rsid w:val="00230E53"/>
    <w:rsid w:val="0023104E"/>
    <w:rsid w:val="00233ED0"/>
    <w:rsid w:val="0023663D"/>
    <w:rsid w:val="002424AB"/>
    <w:rsid w:val="00246636"/>
    <w:rsid w:val="00247A37"/>
    <w:rsid w:val="002522D1"/>
    <w:rsid w:val="00257B84"/>
    <w:rsid w:val="00270763"/>
    <w:rsid w:val="00273CE0"/>
    <w:rsid w:val="00276309"/>
    <w:rsid w:val="0028423A"/>
    <w:rsid w:val="00286D69"/>
    <w:rsid w:val="00290FBB"/>
    <w:rsid w:val="0029180D"/>
    <w:rsid w:val="00293876"/>
    <w:rsid w:val="00293DE3"/>
    <w:rsid w:val="002B05B1"/>
    <w:rsid w:val="002B08BA"/>
    <w:rsid w:val="002B1036"/>
    <w:rsid w:val="002B1AA3"/>
    <w:rsid w:val="002B2A44"/>
    <w:rsid w:val="002B7BDF"/>
    <w:rsid w:val="002C21CE"/>
    <w:rsid w:val="002C44A4"/>
    <w:rsid w:val="002C5DF7"/>
    <w:rsid w:val="002C6A66"/>
    <w:rsid w:val="002D1092"/>
    <w:rsid w:val="002D70BF"/>
    <w:rsid w:val="002D7E26"/>
    <w:rsid w:val="002E1620"/>
    <w:rsid w:val="002E1DAD"/>
    <w:rsid w:val="002E5AEA"/>
    <w:rsid w:val="002F0874"/>
    <w:rsid w:val="002F7669"/>
    <w:rsid w:val="003005EF"/>
    <w:rsid w:val="00307F63"/>
    <w:rsid w:val="00307FEE"/>
    <w:rsid w:val="00311165"/>
    <w:rsid w:val="00311B77"/>
    <w:rsid w:val="003173B4"/>
    <w:rsid w:val="00317D00"/>
    <w:rsid w:val="00320920"/>
    <w:rsid w:val="00320BF8"/>
    <w:rsid w:val="003212A1"/>
    <w:rsid w:val="0032234A"/>
    <w:rsid w:val="00324071"/>
    <w:rsid w:val="00325C9D"/>
    <w:rsid w:val="00325EDF"/>
    <w:rsid w:val="003271A2"/>
    <w:rsid w:val="00327390"/>
    <w:rsid w:val="0033103F"/>
    <w:rsid w:val="003311B2"/>
    <w:rsid w:val="0033613F"/>
    <w:rsid w:val="00336CA6"/>
    <w:rsid w:val="0034779F"/>
    <w:rsid w:val="003502A7"/>
    <w:rsid w:val="003503C4"/>
    <w:rsid w:val="003507F0"/>
    <w:rsid w:val="003536FC"/>
    <w:rsid w:val="00356B42"/>
    <w:rsid w:val="003604F4"/>
    <w:rsid w:val="00367F45"/>
    <w:rsid w:val="003716BE"/>
    <w:rsid w:val="0037257C"/>
    <w:rsid w:val="00387E19"/>
    <w:rsid w:val="003972B0"/>
    <w:rsid w:val="00397CE6"/>
    <w:rsid w:val="003A1773"/>
    <w:rsid w:val="003A245B"/>
    <w:rsid w:val="003A3269"/>
    <w:rsid w:val="003A7B2B"/>
    <w:rsid w:val="003A7C92"/>
    <w:rsid w:val="003B43B1"/>
    <w:rsid w:val="003B5BCD"/>
    <w:rsid w:val="003D530F"/>
    <w:rsid w:val="003D6B24"/>
    <w:rsid w:val="003E39F5"/>
    <w:rsid w:val="003E57FE"/>
    <w:rsid w:val="003F52C9"/>
    <w:rsid w:val="003F56EA"/>
    <w:rsid w:val="00406A5F"/>
    <w:rsid w:val="004074FF"/>
    <w:rsid w:val="0041260B"/>
    <w:rsid w:val="004148F9"/>
    <w:rsid w:val="00420900"/>
    <w:rsid w:val="004254D0"/>
    <w:rsid w:val="00431FEE"/>
    <w:rsid w:val="0043549A"/>
    <w:rsid w:val="00437F8C"/>
    <w:rsid w:val="004439AD"/>
    <w:rsid w:val="004443EC"/>
    <w:rsid w:val="00452851"/>
    <w:rsid w:val="004570E9"/>
    <w:rsid w:val="004701E8"/>
    <w:rsid w:val="004734C7"/>
    <w:rsid w:val="0048119C"/>
    <w:rsid w:val="0048482A"/>
    <w:rsid w:val="00487987"/>
    <w:rsid w:val="0049040A"/>
    <w:rsid w:val="00493988"/>
    <w:rsid w:val="00493DFF"/>
    <w:rsid w:val="004940EF"/>
    <w:rsid w:val="004972F1"/>
    <w:rsid w:val="004A03F6"/>
    <w:rsid w:val="004A41F3"/>
    <w:rsid w:val="004B417D"/>
    <w:rsid w:val="004B7AD6"/>
    <w:rsid w:val="004C4958"/>
    <w:rsid w:val="004D1CFA"/>
    <w:rsid w:val="004D68D1"/>
    <w:rsid w:val="004D7C76"/>
    <w:rsid w:val="004E790D"/>
    <w:rsid w:val="004E798B"/>
    <w:rsid w:val="004F3A81"/>
    <w:rsid w:val="004F6663"/>
    <w:rsid w:val="004F7BD4"/>
    <w:rsid w:val="00507D93"/>
    <w:rsid w:val="00510478"/>
    <w:rsid w:val="0051165A"/>
    <w:rsid w:val="005127ED"/>
    <w:rsid w:val="005160AE"/>
    <w:rsid w:val="00525ABF"/>
    <w:rsid w:val="0052767F"/>
    <w:rsid w:val="00527860"/>
    <w:rsid w:val="00530B29"/>
    <w:rsid w:val="00533AB1"/>
    <w:rsid w:val="00543945"/>
    <w:rsid w:val="005442EA"/>
    <w:rsid w:val="00552166"/>
    <w:rsid w:val="0055393E"/>
    <w:rsid w:val="00554457"/>
    <w:rsid w:val="00556BA0"/>
    <w:rsid w:val="00563271"/>
    <w:rsid w:val="0056388C"/>
    <w:rsid w:val="005718C1"/>
    <w:rsid w:val="00576677"/>
    <w:rsid w:val="00576FA4"/>
    <w:rsid w:val="00580A9E"/>
    <w:rsid w:val="00580D09"/>
    <w:rsid w:val="0058382B"/>
    <w:rsid w:val="00590E6A"/>
    <w:rsid w:val="005927B2"/>
    <w:rsid w:val="005930A7"/>
    <w:rsid w:val="00593D5D"/>
    <w:rsid w:val="005A1FFC"/>
    <w:rsid w:val="005A20A3"/>
    <w:rsid w:val="005B4A2A"/>
    <w:rsid w:val="005B5C9D"/>
    <w:rsid w:val="005C2E3E"/>
    <w:rsid w:val="005C714D"/>
    <w:rsid w:val="005D10AA"/>
    <w:rsid w:val="005D270E"/>
    <w:rsid w:val="005E212D"/>
    <w:rsid w:val="005F1521"/>
    <w:rsid w:val="005F3B80"/>
    <w:rsid w:val="005F5AE5"/>
    <w:rsid w:val="00602B3F"/>
    <w:rsid w:val="00603D60"/>
    <w:rsid w:val="0061143A"/>
    <w:rsid w:val="006119AF"/>
    <w:rsid w:val="00615294"/>
    <w:rsid w:val="00623915"/>
    <w:rsid w:val="00624CD1"/>
    <w:rsid w:val="00625313"/>
    <w:rsid w:val="0063075E"/>
    <w:rsid w:val="00637C2D"/>
    <w:rsid w:val="006430CC"/>
    <w:rsid w:val="00647903"/>
    <w:rsid w:val="00650236"/>
    <w:rsid w:val="00651409"/>
    <w:rsid w:val="00651754"/>
    <w:rsid w:val="00651C4D"/>
    <w:rsid w:val="00652ADA"/>
    <w:rsid w:val="00661013"/>
    <w:rsid w:val="00662708"/>
    <w:rsid w:val="00663CB2"/>
    <w:rsid w:val="00664090"/>
    <w:rsid w:val="00673D95"/>
    <w:rsid w:val="00674B29"/>
    <w:rsid w:val="00681C76"/>
    <w:rsid w:val="006960AD"/>
    <w:rsid w:val="00696B8F"/>
    <w:rsid w:val="006A0C88"/>
    <w:rsid w:val="006A5BB9"/>
    <w:rsid w:val="006A625E"/>
    <w:rsid w:val="006A7ED2"/>
    <w:rsid w:val="006B2392"/>
    <w:rsid w:val="006B2FE4"/>
    <w:rsid w:val="006B6769"/>
    <w:rsid w:val="006B6DB5"/>
    <w:rsid w:val="006B7047"/>
    <w:rsid w:val="006C62DE"/>
    <w:rsid w:val="006D1F76"/>
    <w:rsid w:val="006D288E"/>
    <w:rsid w:val="006D77E2"/>
    <w:rsid w:val="006E3A3D"/>
    <w:rsid w:val="006E4231"/>
    <w:rsid w:val="006E704E"/>
    <w:rsid w:val="006E7455"/>
    <w:rsid w:val="00701197"/>
    <w:rsid w:val="00702E17"/>
    <w:rsid w:val="007049A9"/>
    <w:rsid w:val="007072C7"/>
    <w:rsid w:val="007072E1"/>
    <w:rsid w:val="00710799"/>
    <w:rsid w:val="00712F5C"/>
    <w:rsid w:val="00713802"/>
    <w:rsid w:val="00717DAC"/>
    <w:rsid w:val="00722D29"/>
    <w:rsid w:val="007369CD"/>
    <w:rsid w:val="00740E3A"/>
    <w:rsid w:val="0074491A"/>
    <w:rsid w:val="0076078A"/>
    <w:rsid w:val="007629AF"/>
    <w:rsid w:val="0076540A"/>
    <w:rsid w:val="0076740E"/>
    <w:rsid w:val="007770E0"/>
    <w:rsid w:val="0078015E"/>
    <w:rsid w:val="007849CF"/>
    <w:rsid w:val="007876A4"/>
    <w:rsid w:val="007908A9"/>
    <w:rsid w:val="007A095A"/>
    <w:rsid w:val="007A19C3"/>
    <w:rsid w:val="007A589B"/>
    <w:rsid w:val="007B7923"/>
    <w:rsid w:val="007C0543"/>
    <w:rsid w:val="007D3D67"/>
    <w:rsid w:val="007E2F86"/>
    <w:rsid w:val="007F2179"/>
    <w:rsid w:val="007F4B43"/>
    <w:rsid w:val="007F7B22"/>
    <w:rsid w:val="008013E0"/>
    <w:rsid w:val="008018EC"/>
    <w:rsid w:val="00801BE4"/>
    <w:rsid w:val="0080310A"/>
    <w:rsid w:val="00803C1D"/>
    <w:rsid w:val="0080581A"/>
    <w:rsid w:val="008108D0"/>
    <w:rsid w:val="00813981"/>
    <w:rsid w:val="00817739"/>
    <w:rsid w:val="00820A57"/>
    <w:rsid w:val="008256EE"/>
    <w:rsid w:val="00826BD1"/>
    <w:rsid w:val="0083579C"/>
    <w:rsid w:val="00836907"/>
    <w:rsid w:val="0084098F"/>
    <w:rsid w:val="00840C6B"/>
    <w:rsid w:val="00844616"/>
    <w:rsid w:val="00852A9A"/>
    <w:rsid w:val="00856BC0"/>
    <w:rsid w:val="0086014F"/>
    <w:rsid w:val="00866B30"/>
    <w:rsid w:val="00874210"/>
    <w:rsid w:val="00882679"/>
    <w:rsid w:val="0088296D"/>
    <w:rsid w:val="0088397B"/>
    <w:rsid w:val="0088454A"/>
    <w:rsid w:val="00887CC3"/>
    <w:rsid w:val="00897301"/>
    <w:rsid w:val="008A5607"/>
    <w:rsid w:val="008A562A"/>
    <w:rsid w:val="008A6BDD"/>
    <w:rsid w:val="008B0D10"/>
    <w:rsid w:val="008B5C2F"/>
    <w:rsid w:val="008C24E1"/>
    <w:rsid w:val="008C2DEB"/>
    <w:rsid w:val="008D1B33"/>
    <w:rsid w:val="008D58D2"/>
    <w:rsid w:val="008D6145"/>
    <w:rsid w:val="008E0233"/>
    <w:rsid w:val="008E2205"/>
    <w:rsid w:val="008E6075"/>
    <w:rsid w:val="008E72DD"/>
    <w:rsid w:val="008E7D5B"/>
    <w:rsid w:val="008F0CAB"/>
    <w:rsid w:val="008F608E"/>
    <w:rsid w:val="00902AE5"/>
    <w:rsid w:val="00903B6C"/>
    <w:rsid w:val="00914FBC"/>
    <w:rsid w:val="009170BC"/>
    <w:rsid w:val="009208B9"/>
    <w:rsid w:val="009245D9"/>
    <w:rsid w:val="00925202"/>
    <w:rsid w:val="00925DA2"/>
    <w:rsid w:val="00927D81"/>
    <w:rsid w:val="00930109"/>
    <w:rsid w:val="00931C51"/>
    <w:rsid w:val="009336FE"/>
    <w:rsid w:val="00937042"/>
    <w:rsid w:val="00951EFF"/>
    <w:rsid w:val="009527DB"/>
    <w:rsid w:val="00953720"/>
    <w:rsid w:val="00955E18"/>
    <w:rsid w:val="0096316E"/>
    <w:rsid w:val="00965806"/>
    <w:rsid w:val="0097348C"/>
    <w:rsid w:val="00980059"/>
    <w:rsid w:val="00983138"/>
    <w:rsid w:val="00992562"/>
    <w:rsid w:val="009931CB"/>
    <w:rsid w:val="009947C7"/>
    <w:rsid w:val="009A27D1"/>
    <w:rsid w:val="009A560E"/>
    <w:rsid w:val="009B0419"/>
    <w:rsid w:val="009B1072"/>
    <w:rsid w:val="009B3755"/>
    <w:rsid w:val="009D4A1C"/>
    <w:rsid w:val="009D7D0D"/>
    <w:rsid w:val="009F201F"/>
    <w:rsid w:val="009F2F10"/>
    <w:rsid w:val="00A00333"/>
    <w:rsid w:val="00A05C18"/>
    <w:rsid w:val="00A14622"/>
    <w:rsid w:val="00A15EAC"/>
    <w:rsid w:val="00A224F9"/>
    <w:rsid w:val="00A33D4E"/>
    <w:rsid w:val="00A3513A"/>
    <w:rsid w:val="00A35A53"/>
    <w:rsid w:val="00A43D6D"/>
    <w:rsid w:val="00A56F83"/>
    <w:rsid w:val="00A61938"/>
    <w:rsid w:val="00A701FB"/>
    <w:rsid w:val="00A72318"/>
    <w:rsid w:val="00A737AD"/>
    <w:rsid w:val="00A80DF9"/>
    <w:rsid w:val="00A92D9D"/>
    <w:rsid w:val="00A93E2C"/>
    <w:rsid w:val="00A94233"/>
    <w:rsid w:val="00A96AE0"/>
    <w:rsid w:val="00AA20F8"/>
    <w:rsid w:val="00AA288F"/>
    <w:rsid w:val="00AA6B38"/>
    <w:rsid w:val="00AB32AB"/>
    <w:rsid w:val="00AB74AD"/>
    <w:rsid w:val="00AC01B7"/>
    <w:rsid w:val="00AC3D95"/>
    <w:rsid w:val="00AC5002"/>
    <w:rsid w:val="00AD0398"/>
    <w:rsid w:val="00AD07EB"/>
    <w:rsid w:val="00AD41AB"/>
    <w:rsid w:val="00AE1244"/>
    <w:rsid w:val="00AE63A1"/>
    <w:rsid w:val="00AE64A3"/>
    <w:rsid w:val="00AE716C"/>
    <w:rsid w:val="00B01953"/>
    <w:rsid w:val="00B06201"/>
    <w:rsid w:val="00B07B02"/>
    <w:rsid w:val="00B1567E"/>
    <w:rsid w:val="00B16E01"/>
    <w:rsid w:val="00B1745D"/>
    <w:rsid w:val="00B230A8"/>
    <w:rsid w:val="00B30BED"/>
    <w:rsid w:val="00B33E53"/>
    <w:rsid w:val="00B424C5"/>
    <w:rsid w:val="00B43108"/>
    <w:rsid w:val="00B46A3B"/>
    <w:rsid w:val="00B5010C"/>
    <w:rsid w:val="00B50DE1"/>
    <w:rsid w:val="00B6042B"/>
    <w:rsid w:val="00B71A17"/>
    <w:rsid w:val="00B73B76"/>
    <w:rsid w:val="00B76B06"/>
    <w:rsid w:val="00B81B29"/>
    <w:rsid w:val="00B82BCB"/>
    <w:rsid w:val="00B845D1"/>
    <w:rsid w:val="00B84DBC"/>
    <w:rsid w:val="00B86B31"/>
    <w:rsid w:val="00B8765B"/>
    <w:rsid w:val="00B95560"/>
    <w:rsid w:val="00BA4A48"/>
    <w:rsid w:val="00BA629B"/>
    <w:rsid w:val="00BB05C1"/>
    <w:rsid w:val="00BB17CA"/>
    <w:rsid w:val="00BB533C"/>
    <w:rsid w:val="00BC03B9"/>
    <w:rsid w:val="00BD1BAD"/>
    <w:rsid w:val="00BD3FAC"/>
    <w:rsid w:val="00BE7E5F"/>
    <w:rsid w:val="00BF5652"/>
    <w:rsid w:val="00C03B4C"/>
    <w:rsid w:val="00C04748"/>
    <w:rsid w:val="00C04D38"/>
    <w:rsid w:val="00C20EC9"/>
    <w:rsid w:val="00C211BF"/>
    <w:rsid w:val="00C214EF"/>
    <w:rsid w:val="00C23FF7"/>
    <w:rsid w:val="00C2787E"/>
    <w:rsid w:val="00C40E73"/>
    <w:rsid w:val="00C5599B"/>
    <w:rsid w:val="00C62D91"/>
    <w:rsid w:val="00C63ECA"/>
    <w:rsid w:val="00C6570F"/>
    <w:rsid w:val="00C746DD"/>
    <w:rsid w:val="00C759B7"/>
    <w:rsid w:val="00C81396"/>
    <w:rsid w:val="00C84EB7"/>
    <w:rsid w:val="00C865C8"/>
    <w:rsid w:val="00C920DD"/>
    <w:rsid w:val="00C92288"/>
    <w:rsid w:val="00C93014"/>
    <w:rsid w:val="00C97154"/>
    <w:rsid w:val="00C9731C"/>
    <w:rsid w:val="00C97CE1"/>
    <w:rsid w:val="00CA07A8"/>
    <w:rsid w:val="00CA1124"/>
    <w:rsid w:val="00CA7FD9"/>
    <w:rsid w:val="00CB27F2"/>
    <w:rsid w:val="00CB2F0C"/>
    <w:rsid w:val="00CB6E0B"/>
    <w:rsid w:val="00CC0813"/>
    <w:rsid w:val="00CC3913"/>
    <w:rsid w:val="00CC3AF9"/>
    <w:rsid w:val="00CC5EF2"/>
    <w:rsid w:val="00CC641F"/>
    <w:rsid w:val="00CC6E82"/>
    <w:rsid w:val="00CC71B3"/>
    <w:rsid w:val="00CD0E8C"/>
    <w:rsid w:val="00CD12B1"/>
    <w:rsid w:val="00CD6FA3"/>
    <w:rsid w:val="00CE1B8E"/>
    <w:rsid w:val="00CE3526"/>
    <w:rsid w:val="00CE4649"/>
    <w:rsid w:val="00CE4A28"/>
    <w:rsid w:val="00CF5207"/>
    <w:rsid w:val="00D00104"/>
    <w:rsid w:val="00D05611"/>
    <w:rsid w:val="00D10CCD"/>
    <w:rsid w:val="00D12EFA"/>
    <w:rsid w:val="00D13E57"/>
    <w:rsid w:val="00D200F2"/>
    <w:rsid w:val="00D2062C"/>
    <w:rsid w:val="00D20834"/>
    <w:rsid w:val="00D31D92"/>
    <w:rsid w:val="00D422C7"/>
    <w:rsid w:val="00D43CCB"/>
    <w:rsid w:val="00D44EEC"/>
    <w:rsid w:val="00D52504"/>
    <w:rsid w:val="00D57B55"/>
    <w:rsid w:val="00D628AA"/>
    <w:rsid w:val="00D62A0A"/>
    <w:rsid w:val="00D62E70"/>
    <w:rsid w:val="00D63038"/>
    <w:rsid w:val="00D66ED2"/>
    <w:rsid w:val="00D67F89"/>
    <w:rsid w:val="00D75AAE"/>
    <w:rsid w:val="00D8245C"/>
    <w:rsid w:val="00D84845"/>
    <w:rsid w:val="00D84A96"/>
    <w:rsid w:val="00D858C7"/>
    <w:rsid w:val="00D9160A"/>
    <w:rsid w:val="00DA20DB"/>
    <w:rsid w:val="00DA5B7F"/>
    <w:rsid w:val="00DA6C95"/>
    <w:rsid w:val="00DB268A"/>
    <w:rsid w:val="00DB3E9A"/>
    <w:rsid w:val="00DB516E"/>
    <w:rsid w:val="00DB6435"/>
    <w:rsid w:val="00DB7905"/>
    <w:rsid w:val="00DC046E"/>
    <w:rsid w:val="00DC3164"/>
    <w:rsid w:val="00DC351D"/>
    <w:rsid w:val="00DC46F5"/>
    <w:rsid w:val="00DC492E"/>
    <w:rsid w:val="00DD325E"/>
    <w:rsid w:val="00DD6B5D"/>
    <w:rsid w:val="00DD7B49"/>
    <w:rsid w:val="00DE2AA1"/>
    <w:rsid w:val="00DE2C3B"/>
    <w:rsid w:val="00DE2F52"/>
    <w:rsid w:val="00DE3966"/>
    <w:rsid w:val="00DF0579"/>
    <w:rsid w:val="00DF468C"/>
    <w:rsid w:val="00DF7545"/>
    <w:rsid w:val="00E018B3"/>
    <w:rsid w:val="00E05181"/>
    <w:rsid w:val="00E14826"/>
    <w:rsid w:val="00E17052"/>
    <w:rsid w:val="00E227FC"/>
    <w:rsid w:val="00E22D58"/>
    <w:rsid w:val="00E26F68"/>
    <w:rsid w:val="00E412A9"/>
    <w:rsid w:val="00E4311E"/>
    <w:rsid w:val="00E439E8"/>
    <w:rsid w:val="00E44563"/>
    <w:rsid w:val="00E45619"/>
    <w:rsid w:val="00E464C7"/>
    <w:rsid w:val="00E47E9E"/>
    <w:rsid w:val="00E51049"/>
    <w:rsid w:val="00E606BB"/>
    <w:rsid w:val="00E6364B"/>
    <w:rsid w:val="00E65EAE"/>
    <w:rsid w:val="00E71404"/>
    <w:rsid w:val="00E73FDD"/>
    <w:rsid w:val="00E754D2"/>
    <w:rsid w:val="00E76191"/>
    <w:rsid w:val="00E8092E"/>
    <w:rsid w:val="00E843E1"/>
    <w:rsid w:val="00E84823"/>
    <w:rsid w:val="00E94637"/>
    <w:rsid w:val="00EA2879"/>
    <w:rsid w:val="00EA4F73"/>
    <w:rsid w:val="00EA5922"/>
    <w:rsid w:val="00EA5FD2"/>
    <w:rsid w:val="00EB0C6D"/>
    <w:rsid w:val="00EC1688"/>
    <w:rsid w:val="00EC16D7"/>
    <w:rsid w:val="00EC1B91"/>
    <w:rsid w:val="00ED0140"/>
    <w:rsid w:val="00ED1495"/>
    <w:rsid w:val="00ED2192"/>
    <w:rsid w:val="00EE6B38"/>
    <w:rsid w:val="00EE6B3B"/>
    <w:rsid w:val="00EF1053"/>
    <w:rsid w:val="00EF385A"/>
    <w:rsid w:val="00EF67F4"/>
    <w:rsid w:val="00EF7AB7"/>
    <w:rsid w:val="00F0139B"/>
    <w:rsid w:val="00F03153"/>
    <w:rsid w:val="00F07953"/>
    <w:rsid w:val="00F1292E"/>
    <w:rsid w:val="00F139BD"/>
    <w:rsid w:val="00F148D5"/>
    <w:rsid w:val="00F150F9"/>
    <w:rsid w:val="00F162F5"/>
    <w:rsid w:val="00F165CB"/>
    <w:rsid w:val="00F1761F"/>
    <w:rsid w:val="00F214CF"/>
    <w:rsid w:val="00F236C7"/>
    <w:rsid w:val="00F24C1E"/>
    <w:rsid w:val="00F25C27"/>
    <w:rsid w:val="00F26268"/>
    <w:rsid w:val="00F27749"/>
    <w:rsid w:val="00F30B63"/>
    <w:rsid w:val="00F30C71"/>
    <w:rsid w:val="00F32DFA"/>
    <w:rsid w:val="00F409D0"/>
    <w:rsid w:val="00F45E77"/>
    <w:rsid w:val="00F50167"/>
    <w:rsid w:val="00F50305"/>
    <w:rsid w:val="00F50DD6"/>
    <w:rsid w:val="00F5344B"/>
    <w:rsid w:val="00F60ECE"/>
    <w:rsid w:val="00F63CB3"/>
    <w:rsid w:val="00F659CC"/>
    <w:rsid w:val="00F675AF"/>
    <w:rsid w:val="00F71AB2"/>
    <w:rsid w:val="00F72427"/>
    <w:rsid w:val="00F75859"/>
    <w:rsid w:val="00F7589E"/>
    <w:rsid w:val="00F7631C"/>
    <w:rsid w:val="00F7796B"/>
    <w:rsid w:val="00F82658"/>
    <w:rsid w:val="00F82C30"/>
    <w:rsid w:val="00F85BA8"/>
    <w:rsid w:val="00F93E35"/>
    <w:rsid w:val="00FA0D3B"/>
    <w:rsid w:val="00FA6723"/>
    <w:rsid w:val="00FB2E15"/>
    <w:rsid w:val="00FB4B8A"/>
    <w:rsid w:val="00FB5B8E"/>
    <w:rsid w:val="00FC159A"/>
    <w:rsid w:val="00FC31B1"/>
    <w:rsid w:val="00FC5D62"/>
    <w:rsid w:val="00FC7081"/>
    <w:rsid w:val="00FD06E9"/>
    <w:rsid w:val="00FD0A62"/>
    <w:rsid w:val="00FD163B"/>
    <w:rsid w:val="00FD2417"/>
    <w:rsid w:val="00FD2C50"/>
    <w:rsid w:val="00FD431B"/>
    <w:rsid w:val="00FE3122"/>
    <w:rsid w:val="00FE3CBB"/>
    <w:rsid w:val="00FE3FAE"/>
    <w:rsid w:val="00FE7DC8"/>
    <w:rsid w:val="00FF2F0D"/>
    <w:rsid w:val="00FF3E9A"/>
    <w:rsid w:val="00FF4C69"/>
    <w:rsid w:val="00FF675D"/>
    <w:rsid w:val="01087E66"/>
    <w:rsid w:val="011804CA"/>
    <w:rsid w:val="0192AD6E"/>
    <w:rsid w:val="02581B35"/>
    <w:rsid w:val="02BCABCC"/>
    <w:rsid w:val="02D57EEA"/>
    <w:rsid w:val="030737D0"/>
    <w:rsid w:val="0336CFFC"/>
    <w:rsid w:val="04257529"/>
    <w:rsid w:val="043C1CE1"/>
    <w:rsid w:val="04672EBF"/>
    <w:rsid w:val="04E158B7"/>
    <w:rsid w:val="0501B362"/>
    <w:rsid w:val="0517B396"/>
    <w:rsid w:val="054143EB"/>
    <w:rsid w:val="0550F61F"/>
    <w:rsid w:val="059707EE"/>
    <w:rsid w:val="05DA9323"/>
    <w:rsid w:val="067EAF76"/>
    <w:rsid w:val="06A5B8AB"/>
    <w:rsid w:val="06D974C3"/>
    <w:rsid w:val="06E2600E"/>
    <w:rsid w:val="078510A7"/>
    <w:rsid w:val="07967B52"/>
    <w:rsid w:val="07A19A9E"/>
    <w:rsid w:val="083612AE"/>
    <w:rsid w:val="08DBACB0"/>
    <w:rsid w:val="08E4997C"/>
    <w:rsid w:val="09F81006"/>
    <w:rsid w:val="09FFC427"/>
    <w:rsid w:val="0A8740F7"/>
    <w:rsid w:val="0AD11C60"/>
    <w:rsid w:val="0AF07EAD"/>
    <w:rsid w:val="0B29B844"/>
    <w:rsid w:val="0B3DB3A0"/>
    <w:rsid w:val="0B69799C"/>
    <w:rsid w:val="0BBD0E17"/>
    <w:rsid w:val="0C037688"/>
    <w:rsid w:val="0C0E0D43"/>
    <w:rsid w:val="0C1D08FB"/>
    <w:rsid w:val="0C68D290"/>
    <w:rsid w:val="0C906926"/>
    <w:rsid w:val="0C9BFCC9"/>
    <w:rsid w:val="0CE1E027"/>
    <w:rsid w:val="0D130F2A"/>
    <w:rsid w:val="0D366BC7"/>
    <w:rsid w:val="0D7B296A"/>
    <w:rsid w:val="0E316727"/>
    <w:rsid w:val="0E56B703"/>
    <w:rsid w:val="0F2AC5D4"/>
    <w:rsid w:val="0FACACDF"/>
    <w:rsid w:val="102CAC07"/>
    <w:rsid w:val="10D2FEA0"/>
    <w:rsid w:val="10EC0ED0"/>
    <w:rsid w:val="1124BE9D"/>
    <w:rsid w:val="11682004"/>
    <w:rsid w:val="122D49B8"/>
    <w:rsid w:val="1258F60B"/>
    <w:rsid w:val="1285F18B"/>
    <w:rsid w:val="12C13018"/>
    <w:rsid w:val="12E2BA0A"/>
    <w:rsid w:val="14BCF539"/>
    <w:rsid w:val="15C04941"/>
    <w:rsid w:val="15F3D8AC"/>
    <w:rsid w:val="15F700D0"/>
    <w:rsid w:val="17562FED"/>
    <w:rsid w:val="17C1CD6C"/>
    <w:rsid w:val="17C45E1D"/>
    <w:rsid w:val="18005959"/>
    <w:rsid w:val="1851181F"/>
    <w:rsid w:val="191FBD81"/>
    <w:rsid w:val="194FBAF3"/>
    <w:rsid w:val="19578B34"/>
    <w:rsid w:val="19DD4467"/>
    <w:rsid w:val="1ADBD408"/>
    <w:rsid w:val="1B4CFB0E"/>
    <w:rsid w:val="1B540A3B"/>
    <w:rsid w:val="1C3337B9"/>
    <w:rsid w:val="1C662C29"/>
    <w:rsid w:val="1CFD8BA0"/>
    <w:rsid w:val="1D70FB7B"/>
    <w:rsid w:val="1D967738"/>
    <w:rsid w:val="1E4BC8E2"/>
    <w:rsid w:val="1E554E2D"/>
    <w:rsid w:val="1E57EA85"/>
    <w:rsid w:val="1F1357A1"/>
    <w:rsid w:val="2068CF52"/>
    <w:rsid w:val="2072C5D2"/>
    <w:rsid w:val="20A79D21"/>
    <w:rsid w:val="20C8A259"/>
    <w:rsid w:val="20CDEBBD"/>
    <w:rsid w:val="21C93694"/>
    <w:rsid w:val="22C612E7"/>
    <w:rsid w:val="23858FDF"/>
    <w:rsid w:val="23BBA6DA"/>
    <w:rsid w:val="2478941C"/>
    <w:rsid w:val="24E1C480"/>
    <w:rsid w:val="25219DA9"/>
    <w:rsid w:val="2528ADE2"/>
    <w:rsid w:val="25651DA7"/>
    <w:rsid w:val="25925690"/>
    <w:rsid w:val="25A58436"/>
    <w:rsid w:val="25C2119A"/>
    <w:rsid w:val="25ED4B98"/>
    <w:rsid w:val="263D5B58"/>
    <w:rsid w:val="267EB7E2"/>
    <w:rsid w:val="2693F1C5"/>
    <w:rsid w:val="269F9AF4"/>
    <w:rsid w:val="26BD6075"/>
    <w:rsid w:val="28586219"/>
    <w:rsid w:val="298708D5"/>
    <w:rsid w:val="29B1DBA4"/>
    <w:rsid w:val="29B45BED"/>
    <w:rsid w:val="29DB315B"/>
    <w:rsid w:val="2A0B41D1"/>
    <w:rsid w:val="2A1C32A5"/>
    <w:rsid w:val="2A86E694"/>
    <w:rsid w:val="2B260064"/>
    <w:rsid w:val="2BCC55FA"/>
    <w:rsid w:val="2BDB6321"/>
    <w:rsid w:val="2BE6A0B9"/>
    <w:rsid w:val="2C462462"/>
    <w:rsid w:val="2C8A5904"/>
    <w:rsid w:val="2D098C3D"/>
    <w:rsid w:val="2D648C52"/>
    <w:rsid w:val="2D6CC7F8"/>
    <w:rsid w:val="2D70944C"/>
    <w:rsid w:val="2DCCF5AD"/>
    <w:rsid w:val="2E316FEF"/>
    <w:rsid w:val="2E7BBC42"/>
    <w:rsid w:val="2E87AA4B"/>
    <w:rsid w:val="2EB5CD45"/>
    <w:rsid w:val="2FCE3C6F"/>
    <w:rsid w:val="302F6643"/>
    <w:rsid w:val="3095E0BA"/>
    <w:rsid w:val="30EC6D2E"/>
    <w:rsid w:val="30F319B6"/>
    <w:rsid w:val="31372397"/>
    <w:rsid w:val="3171E9C4"/>
    <w:rsid w:val="31AB0B47"/>
    <w:rsid w:val="31E2BFD7"/>
    <w:rsid w:val="3272528B"/>
    <w:rsid w:val="32DA490B"/>
    <w:rsid w:val="32F7D420"/>
    <w:rsid w:val="333BB6C3"/>
    <w:rsid w:val="3397BAC1"/>
    <w:rsid w:val="33D0320E"/>
    <w:rsid w:val="3415F3CC"/>
    <w:rsid w:val="34C9CF8C"/>
    <w:rsid w:val="34D39BD1"/>
    <w:rsid w:val="34F7F583"/>
    <w:rsid w:val="35FF4D91"/>
    <w:rsid w:val="36E42A9B"/>
    <w:rsid w:val="37120796"/>
    <w:rsid w:val="3720CF5D"/>
    <w:rsid w:val="37262C32"/>
    <w:rsid w:val="3761262B"/>
    <w:rsid w:val="37D802BE"/>
    <w:rsid w:val="38632E9D"/>
    <w:rsid w:val="38643851"/>
    <w:rsid w:val="38F4EC60"/>
    <w:rsid w:val="39449FF6"/>
    <w:rsid w:val="397B6B0F"/>
    <w:rsid w:val="398EA8BC"/>
    <w:rsid w:val="3995A6BD"/>
    <w:rsid w:val="39C1F298"/>
    <w:rsid w:val="39F83E66"/>
    <w:rsid w:val="3B2529DD"/>
    <w:rsid w:val="3C0FC5C2"/>
    <w:rsid w:val="3C2459F9"/>
    <w:rsid w:val="3CA85655"/>
    <w:rsid w:val="3CB30EF8"/>
    <w:rsid w:val="3CC595BC"/>
    <w:rsid w:val="3CDB1125"/>
    <w:rsid w:val="3CE276F4"/>
    <w:rsid w:val="3D64678B"/>
    <w:rsid w:val="3DD84BA4"/>
    <w:rsid w:val="3E1120AD"/>
    <w:rsid w:val="3E1BA881"/>
    <w:rsid w:val="3E655794"/>
    <w:rsid w:val="3E8E639F"/>
    <w:rsid w:val="3E96C57C"/>
    <w:rsid w:val="3EC6CF88"/>
    <w:rsid w:val="3F3D5780"/>
    <w:rsid w:val="3F55EA67"/>
    <w:rsid w:val="3F929ABC"/>
    <w:rsid w:val="400555DA"/>
    <w:rsid w:val="40666927"/>
    <w:rsid w:val="4080830B"/>
    <w:rsid w:val="413677E5"/>
    <w:rsid w:val="414C67E8"/>
    <w:rsid w:val="41A517B2"/>
    <w:rsid w:val="41D85F30"/>
    <w:rsid w:val="42C633DC"/>
    <w:rsid w:val="42D10F44"/>
    <w:rsid w:val="431674EC"/>
    <w:rsid w:val="432A14A4"/>
    <w:rsid w:val="43E9A741"/>
    <w:rsid w:val="447D286F"/>
    <w:rsid w:val="448B5BBB"/>
    <w:rsid w:val="44D1ED6C"/>
    <w:rsid w:val="44F07EA1"/>
    <w:rsid w:val="44FFA002"/>
    <w:rsid w:val="451A10F8"/>
    <w:rsid w:val="45640DAA"/>
    <w:rsid w:val="45F25941"/>
    <w:rsid w:val="46111144"/>
    <w:rsid w:val="4612FEEA"/>
    <w:rsid w:val="46B53AD0"/>
    <w:rsid w:val="48352AEA"/>
    <w:rsid w:val="485CB662"/>
    <w:rsid w:val="486F82CE"/>
    <w:rsid w:val="48773D83"/>
    <w:rsid w:val="48DC47E0"/>
    <w:rsid w:val="48FDF49C"/>
    <w:rsid w:val="4924F73D"/>
    <w:rsid w:val="492AF21E"/>
    <w:rsid w:val="4941E8D8"/>
    <w:rsid w:val="49BC9946"/>
    <w:rsid w:val="4A60B311"/>
    <w:rsid w:val="4A8017BC"/>
    <w:rsid w:val="4B30F5A7"/>
    <w:rsid w:val="4B7BB10F"/>
    <w:rsid w:val="4B8DB956"/>
    <w:rsid w:val="4B9749DB"/>
    <w:rsid w:val="4BF6FE64"/>
    <w:rsid w:val="4C007F81"/>
    <w:rsid w:val="4C086A0A"/>
    <w:rsid w:val="4C3BBB81"/>
    <w:rsid w:val="4CFB6DA8"/>
    <w:rsid w:val="4DC716DB"/>
    <w:rsid w:val="4E3C0921"/>
    <w:rsid w:val="4E9D8373"/>
    <w:rsid w:val="4ECF698C"/>
    <w:rsid w:val="5014A8A9"/>
    <w:rsid w:val="504903AA"/>
    <w:rsid w:val="50BB9A87"/>
    <w:rsid w:val="50C4AE0B"/>
    <w:rsid w:val="50DAAC3D"/>
    <w:rsid w:val="510E9195"/>
    <w:rsid w:val="515AE92A"/>
    <w:rsid w:val="5179ABC5"/>
    <w:rsid w:val="51995454"/>
    <w:rsid w:val="51EFAB56"/>
    <w:rsid w:val="51F6D3BC"/>
    <w:rsid w:val="523190A3"/>
    <w:rsid w:val="5266027F"/>
    <w:rsid w:val="529D8064"/>
    <w:rsid w:val="52D710FC"/>
    <w:rsid w:val="5365D348"/>
    <w:rsid w:val="538CED39"/>
    <w:rsid w:val="53EB8094"/>
    <w:rsid w:val="542F65D8"/>
    <w:rsid w:val="559D7A01"/>
    <w:rsid w:val="55D88296"/>
    <w:rsid w:val="565D58FF"/>
    <w:rsid w:val="56A86C18"/>
    <w:rsid w:val="56BFC27A"/>
    <w:rsid w:val="56C6C07B"/>
    <w:rsid w:val="57010858"/>
    <w:rsid w:val="57E288C2"/>
    <w:rsid w:val="57EA8B78"/>
    <w:rsid w:val="5844988A"/>
    <w:rsid w:val="587D81CD"/>
    <w:rsid w:val="58A26562"/>
    <w:rsid w:val="58E35BE2"/>
    <w:rsid w:val="5989E50D"/>
    <w:rsid w:val="598F8665"/>
    <w:rsid w:val="59C5D031"/>
    <w:rsid w:val="5A4AD89F"/>
    <w:rsid w:val="5AD56FFE"/>
    <w:rsid w:val="5BD6E86E"/>
    <w:rsid w:val="5C23E23D"/>
    <w:rsid w:val="5C2A8A7E"/>
    <w:rsid w:val="5C41FFA1"/>
    <w:rsid w:val="5D26B1D1"/>
    <w:rsid w:val="5D565534"/>
    <w:rsid w:val="5D8B6A77"/>
    <w:rsid w:val="5D92EB5A"/>
    <w:rsid w:val="5D9BB126"/>
    <w:rsid w:val="5DB03B08"/>
    <w:rsid w:val="5E3DF426"/>
    <w:rsid w:val="5E49CAB7"/>
    <w:rsid w:val="5EA42FD1"/>
    <w:rsid w:val="5EBC713F"/>
    <w:rsid w:val="5EC0E201"/>
    <w:rsid w:val="5EC4562F"/>
    <w:rsid w:val="5EF4C03F"/>
    <w:rsid w:val="5EF73D66"/>
    <w:rsid w:val="5F5C2DD7"/>
    <w:rsid w:val="5FD8ABC2"/>
    <w:rsid w:val="5FF3FC8D"/>
    <w:rsid w:val="60156D2A"/>
    <w:rsid w:val="6036B4E3"/>
    <w:rsid w:val="60517B6F"/>
    <w:rsid w:val="608AEB6E"/>
    <w:rsid w:val="60961552"/>
    <w:rsid w:val="60E73124"/>
    <w:rsid w:val="615B3E96"/>
    <w:rsid w:val="6207A5B9"/>
    <w:rsid w:val="62A95F32"/>
    <w:rsid w:val="62CD6308"/>
    <w:rsid w:val="63537273"/>
    <w:rsid w:val="63B5EF78"/>
    <w:rsid w:val="640A206A"/>
    <w:rsid w:val="641D1212"/>
    <w:rsid w:val="649A0295"/>
    <w:rsid w:val="64E1E670"/>
    <w:rsid w:val="6506BF6D"/>
    <w:rsid w:val="650AC115"/>
    <w:rsid w:val="6518B1E0"/>
    <w:rsid w:val="65CF1E94"/>
    <w:rsid w:val="663948A0"/>
    <w:rsid w:val="6679D85E"/>
    <w:rsid w:val="678FC601"/>
    <w:rsid w:val="67BA36CA"/>
    <w:rsid w:val="67D066D2"/>
    <w:rsid w:val="6839749B"/>
    <w:rsid w:val="684E8241"/>
    <w:rsid w:val="69141258"/>
    <w:rsid w:val="6921EF02"/>
    <w:rsid w:val="69271397"/>
    <w:rsid w:val="6969A998"/>
    <w:rsid w:val="6988F8FA"/>
    <w:rsid w:val="69FA55F3"/>
    <w:rsid w:val="6A6D1F45"/>
    <w:rsid w:val="6A7BD25D"/>
    <w:rsid w:val="6A7F16D0"/>
    <w:rsid w:val="6BDDDCCD"/>
    <w:rsid w:val="6BF81976"/>
    <w:rsid w:val="6C81CD12"/>
    <w:rsid w:val="6C9ADC1D"/>
    <w:rsid w:val="6D1F0109"/>
    <w:rsid w:val="6D6352EB"/>
    <w:rsid w:val="6D85341E"/>
    <w:rsid w:val="6D869F7C"/>
    <w:rsid w:val="6DBA0E94"/>
    <w:rsid w:val="6E38BAE7"/>
    <w:rsid w:val="6E3EE9A0"/>
    <w:rsid w:val="6E4D4ABE"/>
    <w:rsid w:val="6F5F72E4"/>
    <w:rsid w:val="6F9B0FE0"/>
    <w:rsid w:val="6FEDE07C"/>
    <w:rsid w:val="701EBFC5"/>
    <w:rsid w:val="70C82298"/>
    <w:rsid w:val="70EE2583"/>
    <w:rsid w:val="71465D1C"/>
    <w:rsid w:val="715EE595"/>
    <w:rsid w:val="716F2FE0"/>
    <w:rsid w:val="71C7B760"/>
    <w:rsid w:val="71D322B1"/>
    <w:rsid w:val="7235951E"/>
    <w:rsid w:val="73220CF7"/>
    <w:rsid w:val="746CB370"/>
    <w:rsid w:val="74EEE699"/>
    <w:rsid w:val="750C1CC8"/>
    <w:rsid w:val="75664574"/>
    <w:rsid w:val="758DF0B9"/>
    <w:rsid w:val="75A7B08E"/>
    <w:rsid w:val="764C2991"/>
    <w:rsid w:val="76C5D7BC"/>
    <w:rsid w:val="775EEB8D"/>
    <w:rsid w:val="77BD5CEC"/>
    <w:rsid w:val="7814C2A1"/>
    <w:rsid w:val="783B2EEF"/>
    <w:rsid w:val="785480FC"/>
    <w:rsid w:val="78B1B3C0"/>
    <w:rsid w:val="78B3B494"/>
    <w:rsid w:val="7A3095AD"/>
    <w:rsid w:val="7AED0FB8"/>
    <w:rsid w:val="7B07CBAC"/>
    <w:rsid w:val="7B863597"/>
    <w:rsid w:val="7B87B3F9"/>
    <w:rsid w:val="7C4BB442"/>
    <w:rsid w:val="7DF55D84"/>
    <w:rsid w:val="7E3A6006"/>
    <w:rsid w:val="7E90EAE0"/>
    <w:rsid w:val="7EBD8CAD"/>
    <w:rsid w:val="7ECC5941"/>
    <w:rsid w:val="7F0F2521"/>
    <w:rsid w:val="7FCEE768"/>
    <w:rsid w:val="7FEED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386F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5D0"/>
    <w:pPr>
      <w:spacing w:before="180" w:after="180" w:line="360" w:lineRule="auto"/>
    </w:pPr>
    <w:rPr>
      <w:rFonts w:ascii="Calibri" w:hAnsi="Calibri" w:cs="Calibri"/>
      <w:sz w:val="24"/>
      <w:szCs w:val="24"/>
    </w:rPr>
  </w:style>
  <w:style w:type="paragraph" w:styleId="Heading1">
    <w:name w:val="heading 1"/>
    <w:basedOn w:val="Normal"/>
    <w:next w:val="Normal"/>
    <w:link w:val="Heading1Char"/>
    <w:qFormat/>
    <w:rsid w:val="0078015E"/>
    <w:pPr>
      <w:keepNext/>
      <w:spacing w:before="240" w:after="60"/>
      <w:outlineLvl w:val="0"/>
    </w:pPr>
    <w:rPr>
      <w:rFonts w:asciiTheme="minorHAnsi" w:eastAsia="PMingLiU" w:hAnsiTheme="minorHAnsi"/>
      <w:b/>
      <w:bCs/>
      <w:color w:val="034E6E" w:themeColor="accent1"/>
      <w:kern w:val="32"/>
      <w:sz w:val="36"/>
      <w:szCs w:val="32"/>
      <w:lang w:val="x-none"/>
    </w:rPr>
  </w:style>
  <w:style w:type="paragraph" w:styleId="Heading2">
    <w:name w:val="heading 2"/>
    <w:basedOn w:val="Normal"/>
    <w:next w:val="Normal"/>
    <w:link w:val="Heading2Char"/>
    <w:qFormat/>
    <w:rsid w:val="0078015E"/>
    <w:pPr>
      <w:keepNext/>
      <w:pBdr>
        <w:bottom w:val="single" w:sz="4" w:space="1" w:color="034E6E" w:themeColor="accent1"/>
      </w:pBdr>
      <w:spacing w:before="240" w:after="120" w:line="240" w:lineRule="auto"/>
      <w:outlineLvl w:val="1"/>
    </w:pPr>
    <w:rPr>
      <w:rFonts w:asciiTheme="minorHAnsi" w:eastAsia="PMingLiU" w:hAnsiTheme="minorHAnsi" w:cs="Times New Roman"/>
      <w:b/>
      <w:bCs/>
      <w:iCs/>
      <w:color w:val="034E6E" w:themeColor="accent1"/>
      <w:sz w:val="28"/>
      <w:szCs w:val="28"/>
    </w:rPr>
  </w:style>
  <w:style w:type="paragraph" w:styleId="Heading3">
    <w:name w:val="heading 3"/>
    <w:basedOn w:val="Normal"/>
    <w:next w:val="Normal"/>
    <w:link w:val="Heading3Char"/>
    <w:qFormat/>
    <w:rsid w:val="00EF7AB7"/>
    <w:pPr>
      <w:keepNext/>
      <w:spacing w:before="240" w:after="0" w:line="240" w:lineRule="auto"/>
      <w:outlineLvl w:val="2"/>
    </w:pPr>
    <w:rPr>
      <w:rFonts w:ascii="Cambria" w:eastAsia="PMingLiU" w:hAnsi="Cambria" w:cs="Times New Roman"/>
      <w:b/>
      <w:bCs/>
      <w:sz w:val="26"/>
      <w:szCs w:val="26"/>
    </w:rPr>
  </w:style>
  <w:style w:type="paragraph" w:styleId="Heading4">
    <w:name w:val="heading 4"/>
    <w:basedOn w:val="Normal"/>
    <w:next w:val="Normal"/>
    <w:link w:val="Heading4Char"/>
    <w:qFormat/>
    <w:rsid w:val="00831D40"/>
    <w:pPr>
      <w:keepNext/>
      <w:spacing w:before="240" w:after="60"/>
      <w:outlineLvl w:val="3"/>
    </w:pPr>
    <w:rPr>
      <w:rFonts w:eastAsia="PMingLiU"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Footnote Text1 Char,Footnote Text Char Ch,E3 Footnote Text"/>
    <w:basedOn w:val="Normal"/>
    <w:link w:val="FootnoteTextChar1"/>
    <w:uiPriority w:val="99"/>
    <w:semiHidden/>
    <w:qFormat/>
    <w:rsid w:val="00FF16DA"/>
    <w:rPr>
      <w:sz w:val="20"/>
      <w:szCs w:val="20"/>
    </w:rPr>
  </w:style>
  <w:style w:type="character" w:styleId="FootnoteReference">
    <w:name w:val="footnote reference"/>
    <w:aliases w:val="o"/>
    <w:uiPriority w:val="99"/>
    <w:semiHidden/>
    <w:rsid w:val="00FF16DA"/>
    <w:rPr>
      <w:vertAlign w:val="superscript"/>
    </w:rPr>
  </w:style>
  <w:style w:type="paragraph" w:styleId="Header">
    <w:name w:val="header"/>
    <w:basedOn w:val="Normal"/>
    <w:rsid w:val="006E7963"/>
    <w:pPr>
      <w:tabs>
        <w:tab w:val="center" w:pos="4320"/>
        <w:tab w:val="right" w:pos="8640"/>
      </w:tabs>
    </w:pPr>
  </w:style>
  <w:style w:type="paragraph" w:styleId="Footer">
    <w:name w:val="footer"/>
    <w:basedOn w:val="Normal"/>
    <w:link w:val="FooterChar"/>
    <w:uiPriority w:val="99"/>
    <w:rsid w:val="006E7963"/>
    <w:pPr>
      <w:tabs>
        <w:tab w:val="center" w:pos="4320"/>
        <w:tab w:val="right" w:pos="8640"/>
      </w:tabs>
    </w:pPr>
  </w:style>
  <w:style w:type="paragraph" w:styleId="BalloonText">
    <w:name w:val="Balloon Text"/>
    <w:basedOn w:val="Normal"/>
    <w:semiHidden/>
    <w:rsid w:val="00C61722"/>
    <w:rPr>
      <w:rFonts w:ascii="Tahoma" w:hAnsi="Tahoma" w:cs="Tahoma"/>
      <w:sz w:val="16"/>
      <w:szCs w:val="16"/>
    </w:rPr>
  </w:style>
  <w:style w:type="character" w:styleId="CommentReference">
    <w:name w:val="annotation reference"/>
    <w:semiHidden/>
    <w:rsid w:val="002F2072"/>
    <w:rPr>
      <w:sz w:val="16"/>
      <w:szCs w:val="16"/>
    </w:rPr>
  </w:style>
  <w:style w:type="paragraph" w:styleId="CommentText">
    <w:name w:val="annotation text"/>
    <w:basedOn w:val="Normal"/>
    <w:semiHidden/>
    <w:rsid w:val="002F2072"/>
    <w:rPr>
      <w:sz w:val="20"/>
      <w:szCs w:val="20"/>
    </w:rPr>
  </w:style>
  <w:style w:type="paragraph" w:styleId="CommentSubject">
    <w:name w:val="annotation subject"/>
    <w:basedOn w:val="CommentText"/>
    <w:next w:val="CommentText"/>
    <w:semiHidden/>
    <w:rsid w:val="002F2072"/>
    <w:rPr>
      <w:b/>
      <w:bCs/>
    </w:rPr>
  </w:style>
  <w:style w:type="character" w:styleId="PageNumber">
    <w:name w:val="page number"/>
    <w:basedOn w:val="DefaultParagraphFont"/>
    <w:rsid w:val="005146D0"/>
  </w:style>
  <w:style w:type="character" w:customStyle="1" w:styleId="FootnoteTextChar1">
    <w:name w:val="Footnote Text Char1"/>
    <w:aliases w:val="Footnote Text Char Char,Footnote Text1 Char Char,Footnote Text Char Ch Char,E3 Footnote Text Char1"/>
    <w:link w:val="FootnoteText"/>
    <w:rsid w:val="00DB108F"/>
    <w:rPr>
      <w:lang w:val="en-US" w:eastAsia="en-US" w:bidi="ar-SA"/>
    </w:rPr>
  </w:style>
  <w:style w:type="table" w:styleId="TableGrid">
    <w:name w:val="Table Grid"/>
    <w:basedOn w:val="TableNormal"/>
    <w:rsid w:val="009C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3794B"/>
    <w:rPr>
      <w:color w:val="0000FF"/>
      <w:u w:val="single"/>
    </w:rPr>
  </w:style>
  <w:style w:type="paragraph" w:styleId="NormalWeb">
    <w:name w:val="Normal (Web)"/>
    <w:basedOn w:val="Normal"/>
    <w:rsid w:val="00A110E2"/>
    <w:pPr>
      <w:spacing w:before="100" w:beforeAutospacing="1" w:after="100" w:afterAutospacing="1"/>
    </w:pPr>
    <w:rPr>
      <w:color w:val="000000"/>
    </w:rPr>
  </w:style>
  <w:style w:type="character" w:styleId="Strong">
    <w:name w:val="Strong"/>
    <w:qFormat/>
    <w:rsid w:val="00A110E2"/>
    <w:rPr>
      <w:b/>
      <w:bCs/>
    </w:rPr>
  </w:style>
  <w:style w:type="paragraph" w:customStyle="1" w:styleId="Default">
    <w:name w:val="Default"/>
    <w:rsid w:val="00075BEF"/>
    <w:pPr>
      <w:autoSpaceDE w:val="0"/>
      <w:autoSpaceDN w:val="0"/>
      <w:adjustRightInd w:val="0"/>
    </w:pPr>
    <w:rPr>
      <w:color w:val="000000"/>
      <w:sz w:val="24"/>
      <w:szCs w:val="24"/>
    </w:rPr>
  </w:style>
  <w:style w:type="paragraph" w:styleId="HTMLPreformatted">
    <w:name w:val="HTML Preformatted"/>
    <w:basedOn w:val="Normal"/>
    <w:rsid w:val="002E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eattleBody">
    <w:name w:val="Seattle Body"/>
    <w:basedOn w:val="Normal"/>
    <w:link w:val="SeattleBodyChar"/>
    <w:rsid w:val="00B141E4"/>
    <w:pPr>
      <w:spacing w:after="240"/>
    </w:pPr>
    <w:rPr>
      <w:rFonts w:ascii="Verdana" w:hAnsi="Verdana"/>
      <w:sz w:val="22"/>
    </w:rPr>
  </w:style>
  <w:style w:type="character" w:customStyle="1" w:styleId="SeattleBodyChar">
    <w:name w:val="Seattle Body Char"/>
    <w:link w:val="SeattleBody"/>
    <w:rsid w:val="00B141E4"/>
    <w:rPr>
      <w:rFonts w:ascii="Verdana" w:hAnsi="Verdana"/>
      <w:sz w:val="22"/>
      <w:szCs w:val="24"/>
      <w:lang w:val="en-US" w:eastAsia="en-US" w:bidi="ar-SA"/>
    </w:rPr>
  </w:style>
  <w:style w:type="paragraph" w:styleId="Caption">
    <w:name w:val="caption"/>
    <w:basedOn w:val="Normal"/>
    <w:next w:val="Normal"/>
    <w:uiPriority w:val="35"/>
    <w:qFormat/>
    <w:rsid w:val="00087461"/>
    <w:pPr>
      <w:keepNext/>
      <w:keepLines/>
      <w:spacing w:before="240" w:line="240" w:lineRule="auto"/>
    </w:pPr>
    <w:rPr>
      <w:b/>
      <w:bCs/>
    </w:rPr>
  </w:style>
  <w:style w:type="character" w:customStyle="1" w:styleId="apple-style-span">
    <w:name w:val="apple-style-span"/>
    <w:basedOn w:val="DefaultParagraphFont"/>
    <w:rsid w:val="00780711"/>
  </w:style>
  <w:style w:type="character" w:customStyle="1" w:styleId="apple-converted-space">
    <w:name w:val="apple-converted-space"/>
    <w:basedOn w:val="DefaultParagraphFont"/>
    <w:rsid w:val="00780711"/>
  </w:style>
  <w:style w:type="character" w:customStyle="1" w:styleId="Heading1Char">
    <w:name w:val="Heading 1 Char"/>
    <w:link w:val="Heading1"/>
    <w:rsid w:val="0078015E"/>
    <w:rPr>
      <w:rFonts w:asciiTheme="minorHAnsi" w:eastAsia="PMingLiU" w:hAnsiTheme="minorHAnsi" w:cs="Calibri"/>
      <w:b/>
      <w:bCs/>
      <w:color w:val="034E6E" w:themeColor="accent1"/>
      <w:kern w:val="32"/>
      <w:sz w:val="36"/>
      <w:szCs w:val="32"/>
      <w:lang w:val="x-none"/>
    </w:rPr>
  </w:style>
  <w:style w:type="character" w:customStyle="1" w:styleId="Heading2Char">
    <w:name w:val="Heading 2 Char"/>
    <w:link w:val="Heading2"/>
    <w:rsid w:val="0078015E"/>
    <w:rPr>
      <w:rFonts w:asciiTheme="minorHAnsi" w:eastAsia="PMingLiU" w:hAnsiTheme="minorHAnsi"/>
      <w:b/>
      <w:bCs/>
      <w:iCs/>
      <w:color w:val="034E6E" w:themeColor="accent1"/>
      <w:sz w:val="28"/>
      <w:szCs w:val="28"/>
    </w:rPr>
  </w:style>
  <w:style w:type="character" w:customStyle="1" w:styleId="Heading3Char">
    <w:name w:val="Heading 3 Char"/>
    <w:link w:val="Heading3"/>
    <w:rsid w:val="00EF7AB7"/>
    <w:rPr>
      <w:rFonts w:ascii="Cambria" w:eastAsia="PMingLiU" w:hAnsi="Cambria"/>
      <w:b/>
      <w:bCs/>
      <w:sz w:val="26"/>
      <w:szCs w:val="26"/>
    </w:rPr>
  </w:style>
  <w:style w:type="paragraph" w:styleId="TOCHeading">
    <w:name w:val="TOC Heading"/>
    <w:basedOn w:val="Heading1"/>
    <w:next w:val="Normal"/>
    <w:uiPriority w:val="39"/>
    <w:qFormat/>
    <w:rsid w:val="00BD6403"/>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rsid w:val="00FD163B"/>
    <w:pPr>
      <w:tabs>
        <w:tab w:val="right" w:leader="dot" w:pos="9350"/>
      </w:tabs>
      <w:spacing w:before="120" w:after="0" w:line="240" w:lineRule="auto"/>
    </w:pPr>
  </w:style>
  <w:style w:type="paragraph" w:styleId="TOC2">
    <w:name w:val="toc 2"/>
    <w:basedOn w:val="Normal"/>
    <w:next w:val="Normal"/>
    <w:autoRedefine/>
    <w:uiPriority w:val="39"/>
    <w:rsid w:val="00E6364B"/>
    <w:pPr>
      <w:tabs>
        <w:tab w:val="right" w:leader="dot" w:pos="9350"/>
      </w:tabs>
      <w:spacing w:before="120" w:after="0" w:line="240" w:lineRule="auto"/>
      <w:ind w:left="245"/>
    </w:pPr>
  </w:style>
  <w:style w:type="paragraph" w:styleId="TOC3">
    <w:name w:val="toc 3"/>
    <w:basedOn w:val="Normal"/>
    <w:next w:val="Normal"/>
    <w:autoRedefine/>
    <w:uiPriority w:val="39"/>
    <w:rsid w:val="00FD163B"/>
    <w:pPr>
      <w:tabs>
        <w:tab w:val="right" w:leader="dot" w:pos="9350"/>
      </w:tabs>
      <w:spacing w:after="0" w:line="240" w:lineRule="auto"/>
      <w:ind w:left="475"/>
    </w:pPr>
  </w:style>
  <w:style w:type="paragraph" w:customStyle="1" w:styleId="Header4">
    <w:name w:val="Header 4"/>
    <w:basedOn w:val="Normal"/>
    <w:qFormat/>
    <w:rsid w:val="00BD6403"/>
    <w:rPr>
      <w:b/>
    </w:rPr>
  </w:style>
  <w:style w:type="character" w:customStyle="1" w:styleId="Heading4Char">
    <w:name w:val="Heading 4 Char"/>
    <w:link w:val="Heading4"/>
    <w:rsid w:val="00831D40"/>
    <w:rPr>
      <w:rFonts w:ascii="Calibri" w:eastAsia="PMingLiU" w:hAnsi="Calibri" w:cs="Times New Roman"/>
      <w:b/>
      <w:bCs/>
      <w:sz w:val="28"/>
      <w:szCs w:val="28"/>
      <w:lang w:eastAsia="en-US"/>
    </w:rPr>
  </w:style>
  <w:style w:type="paragraph" w:styleId="TOC4">
    <w:name w:val="toc 4"/>
    <w:basedOn w:val="Normal"/>
    <w:next w:val="Normal"/>
    <w:autoRedefine/>
    <w:uiPriority w:val="39"/>
    <w:rsid w:val="00831D40"/>
    <w:pPr>
      <w:ind w:left="720"/>
    </w:pPr>
  </w:style>
  <w:style w:type="paragraph" w:customStyle="1" w:styleId="ColorfulShading-Accent11">
    <w:name w:val="Colorful Shading - Accent 11"/>
    <w:hidden/>
    <w:uiPriority w:val="99"/>
    <w:semiHidden/>
    <w:rsid w:val="00BC03B9"/>
    <w:rPr>
      <w:sz w:val="24"/>
      <w:szCs w:val="24"/>
    </w:rPr>
  </w:style>
  <w:style w:type="paragraph" w:customStyle="1" w:styleId="ColorfulList-Accent11">
    <w:name w:val="Colorful List - Accent 11"/>
    <w:basedOn w:val="Normal"/>
    <w:uiPriority w:val="34"/>
    <w:qFormat/>
    <w:rsid w:val="007F2179"/>
    <w:pPr>
      <w:spacing w:after="200" w:line="276" w:lineRule="auto"/>
      <w:ind w:left="720"/>
      <w:contextualSpacing/>
    </w:pPr>
    <w:rPr>
      <w:rFonts w:eastAsia="Calibri" w:cs="Times New Roman"/>
      <w:sz w:val="22"/>
      <w:szCs w:val="22"/>
    </w:rPr>
  </w:style>
  <w:style w:type="character" w:styleId="IntenseReference">
    <w:name w:val="Intense Reference"/>
    <w:uiPriority w:val="32"/>
    <w:qFormat/>
    <w:rsid w:val="00B82BCB"/>
    <w:rPr>
      <w:b/>
      <w:bCs/>
      <w:smallCaps/>
      <w:color w:val="C0504D"/>
      <w:spacing w:val="5"/>
      <w:u w:val="single"/>
    </w:rPr>
  </w:style>
  <w:style w:type="paragraph" w:customStyle="1" w:styleId="LightShading-Accent21">
    <w:name w:val="Light Shading - Accent 21"/>
    <w:basedOn w:val="Normal"/>
    <w:next w:val="Normal"/>
    <w:link w:val="LightShading-Accent2Char"/>
    <w:uiPriority w:val="30"/>
    <w:qFormat/>
    <w:rsid w:val="00E412A9"/>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E412A9"/>
    <w:rPr>
      <w:rFonts w:ascii="Calibri" w:hAnsi="Calibri" w:cs="Calibri"/>
      <w:b/>
      <w:bCs/>
      <w:i/>
      <w:iCs/>
      <w:color w:val="4F81BD"/>
      <w:sz w:val="24"/>
      <w:szCs w:val="24"/>
    </w:rPr>
  </w:style>
  <w:style w:type="paragraph" w:customStyle="1" w:styleId="Table">
    <w:name w:val="Table"/>
    <w:basedOn w:val="Normal"/>
    <w:link w:val="TableChar"/>
    <w:qFormat/>
    <w:rsid w:val="00F139BD"/>
    <w:pPr>
      <w:spacing w:before="0" w:line="240" w:lineRule="auto"/>
    </w:pPr>
    <w:rPr>
      <w:sz w:val="22"/>
    </w:rPr>
  </w:style>
  <w:style w:type="table" w:styleId="MediumGrid3">
    <w:name w:val="Medium Grid 3"/>
    <w:basedOn w:val="TableNormal"/>
    <w:uiPriority w:val="60"/>
    <w:rsid w:val="00856BC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Char">
    <w:name w:val="Table Char"/>
    <w:link w:val="Table"/>
    <w:rsid w:val="00F139BD"/>
    <w:rPr>
      <w:rFonts w:ascii="Calibri" w:hAnsi="Calibri" w:cs="Calibri"/>
      <w:sz w:val="22"/>
      <w:szCs w:val="24"/>
    </w:rPr>
  </w:style>
  <w:style w:type="table" w:styleId="DarkList">
    <w:name w:val="Dark List"/>
    <w:basedOn w:val="TableNormal"/>
    <w:uiPriority w:val="61"/>
    <w:rsid w:val="00856B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link w:val="Footer"/>
    <w:uiPriority w:val="99"/>
    <w:rsid w:val="00121E26"/>
    <w:rPr>
      <w:rFonts w:ascii="Calibri" w:hAnsi="Calibri" w:cs="Calibri"/>
      <w:sz w:val="24"/>
      <w:szCs w:val="24"/>
    </w:rPr>
  </w:style>
  <w:style w:type="table" w:styleId="TableGrid8">
    <w:name w:val="Table Grid 8"/>
    <w:basedOn w:val="TableNormal"/>
    <w:rsid w:val="009B1072"/>
    <w:pPr>
      <w:spacing w:before="180" w:after="18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link w:val="NoSpacingChar"/>
    <w:uiPriority w:val="1"/>
    <w:qFormat/>
    <w:rsid w:val="00FD163B"/>
    <w:rPr>
      <w:rFonts w:ascii="Calibri" w:eastAsia="MS Mincho" w:hAnsi="Calibri" w:cs="Arial"/>
      <w:sz w:val="22"/>
      <w:szCs w:val="22"/>
      <w:lang w:eastAsia="ja-JP"/>
    </w:rPr>
  </w:style>
  <w:style w:type="character" w:customStyle="1" w:styleId="NoSpacingChar">
    <w:name w:val="No Spacing Char"/>
    <w:link w:val="NoSpacing"/>
    <w:uiPriority w:val="1"/>
    <w:rsid w:val="00FD163B"/>
    <w:rPr>
      <w:rFonts w:ascii="Calibri" w:eastAsia="MS Mincho" w:hAnsi="Calibri" w:cs="Arial"/>
      <w:sz w:val="22"/>
      <w:szCs w:val="22"/>
      <w:lang w:eastAsia="ja-JP"/>
    </w:rPr>
  </w:style>
  <w:style w:type="paragraph" w:styleId="Revision">
    <w:name w:val="Revision"/>
    <w:hidden/>
    <w:uiPriority w:val="99"/>
    <w:semiHidden/>
    <w:rsid w:val="003005EF"/>
    <w:rPr>
      <w:rFonts w:ascii="Calibri" w:hAnsi="Calibri" w:cs="Calibri"/>
      <w:sz w:val="24"/>
      <w:szCs w:val="24"/>
    </w:rPr>
  </w:style>
  <w:style w:type="paragraph" w:styleId="ListParagraph">
    <w:name w:val="List Paragraph"/>
    <w:basedOn w:val="Normal"/>
    <w:uiPriority w:val="34"/>
    <w:qFormat/>
    <w:rsid w:val="002522D1"/>
    <w:pPr>
      <w:ind w:left="720"/>
      <w:contextualSpacing/>
    </w:pPr>
  </w:style>
  <w:style w:type="table" w:customStyle="1" w:styleId="ListTable3-Accent11">
    <w:name w:val="List Table 3 - Accent 11"/>
    <w:basedOn w:val="TableNormal"/>
    <w:uiPriority w:val="48"/>
    <w:rsid w:val="0033103F"/>
    <w:tblPr>
      <w:tblStyleRowBandSize w:val="1"/>
      <w:tblStyleColBandSize w:val="1"/>
      <w:tblBorders>
        <w:top w:val="single" w:sz="4" w:space="0" w:color="034E6E" w:themeColor="accent1"/>
        <w:left w:val="single" w:sz="4" w:space="0" w:color="034E6E" w:themeColor="accent1"/>
        <w:bottom w:val="single" w:sz="4" w:space="0" w:color="034E6E" w:themeColor="accent1"/>
        <w:right w:val="single" w:sz="4" w:space="0" w:color="034E6E" w:themeColor="accent1"/>
      </w:tblBorders>
    </w:tblPr>
    <w:tblStylePr w:type="firstRow">
      <w:rPr>
        <w:b/>
        <w:bCs/>
        <w:color w:val="FFFFFF" w:themeColor="background1"/>
      </w:rPr>
      <w:tblPr/>
      <w:tcPr>
        <w:shd w:val="clear" w:color="auto" w:fill="034E6E" w:themeFill="accent1"/>
      </w:tcPr>
    </w:tblStylePr>
    <w:tblStylePr w:type="lastRow">
      <w:rPr>
        <w:b/>
        <w:bCs/>
      </w:rPr>
      <w:tblPr/>
      <w:tcPr>
        <w:tcBorders>
          <w:top w:val="double" w:sz="4" w:space="0" w:color="034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E6E" w:themeColor="accent1"/>
          <w:right w:val="single" w:sz="4" w:space="0" w:color="034E6E" w:themeColor="accent1"/>
        </w:tcBorders>
      </w:tcPr>
    </w:tblStylePr>
    <w:tblStylePr w:type="band1Horz">
      <w:tblPr/>
      <w:tcPr>
        <w:tcBorders>
          <w:top w:val="single" w:sz="4" w:space="0" w:color="034E6E" w:themeColor="accent1"/>
          <w:bottom w:val="single" w:sz="4" w:space="0" w:color="034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E6E" w:themeColor="accent1"/>
          <w:left w:val="nil"/>
        </w:tcBorders>
      </w:tcPr>
    </w:tblStylePr>
    <w:tblStylePr w:type="swCell">
      <w:tblPr/>
      <w:tcPr>
        <w:tcBorders>
          <w:top w:val="double" w:sz="4" w:space="0" w:color="034E6E" w:themeColor="accent1"/>
          <w:right w:val="nil"/>
        </w:tcBorders>
      </w:tcPr>
    </w:tblStylePr>
  </w:style>
  <w:style w:type="character" w:styleId="FollowedHyperlink">
    <w:name w:val="FollowedHyperlink"/>
    <w:basedOn w:val="DefaultParagraphFont"/>
    <w:uiPriority w:val="99"/>
    <w:semiHidden/>
    <w:unhideWhenUsed/>
    <w:rsid w:val="000B0B1C"/>
    <w:rPr>
      <w:color w:val="800080" w:themeColor="followedHyperlink"/>
      <w:u w:val="single"/>
    </w:rPr>
  </w:style>
  <w:style w:type="table" w:customStyle="1" w:styleId="GridTable1Light-Accent11">
    <w:name w:val="Grid Table 1 Light - Accent 11"/>
    <w:basedOn w:val="TableNormal"/>
    <w:uiPriority w:val="46"/>
    <w:tblPr>
      <w:tblStyleRowBandSize w:val="1"/>
      <w:tblStyleColBandSize w:val="1"/>
      <w:tblBorders>
        <w:top w:val="single" w:sz="4" w:space="0" w:color="64CDFA" w:themeColor="accent1" w:themeTint="66"/>
        <w:left w:val="single" w:sz="4" w:space="0" w:color="64CDFA" w:themeColor="accent1" w:themeTint="66"/>
        <w:bottom w:val="single" w:sz="4" w:space="0" w:color="64CDFA" w:themeColor="accent1" w:themeTint="66"/>
        <w:right w:val="single" w:sz="4" w:space="0" w:color="64CDFA" w:themeColor="accent1" w:themeTint="66"/>
        <w:insideH w:val="single" w:sz="4" w:space="0" w:color="64CDFA" w:themeColor="accent1" w:themeTint="66"/>
        <w:insideV w:val="single" w:sz="4" w:space="0" w:color="64CDFA" w:themeColor="accent1" w:themeTint="66"/>
      </w:tblBorders>
    </w:tblPr>
    <w:tblStylePr w:type="firstRow">
      <w:rPr>
        <w:b/>
        <w:bCs/>
      </w:rPr>
      <w:tblPr/>
      <w:tcPr>
        <w:tcBorders>
          <w:bottom w:val="single" w:sz="12" w:space="0" w:color="17B4F8" w:themeColor="accent1" w:themeTint="99"/>
        </w:tcBorders>
      </w:tcPr>
    </w:tblStylePr>
    <w:tblStylePr w:type="lastRow">
      <w:rPr>
        <w:b/>
        <w:bCs/>
      </w:rPr>
      <w:tblPr/>
      <w:tcPr>
        <w:tcBorders>
          <w:top w:val="double" w:sz="2" w:space="0" w:color="17B4F8"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2C44A4"/>
    <w:tblPr>
      <w:tblStyleRowBandSize w:val="1"/>
      <w:tblStyleColBandSize w:val="1"/>
      <w:tblBorders>
        <w:top w:val="single" w:sz="4" w:space="0" w:color="17B4F8" w:themeColor="accent1" w:themeTint="99"/>
        <w:left w:val="single" w:sz="4" w:space="0" w:color="17B4F8" w:themeColor="accent1" w:themeTint="99"/>
        <w:bottom w:val="single" w:sz="4" w:space="0" w:color="17B4F8" w:themeColor="accent1" w:themeTint="99"/>
        <w:right w:val="single" w:sz="4" w:space="0" w:color="17B4F8" w:themeColor="accent1" w:themeTint="99"/>
        <w:insideH w:val="single" w:sz="4" w:space="0" w:color="17B4F8" w:themeColor="accent1" w:themeTint="99"/>
        <w:insideV w:val="single" w:sz="4" w:space="0" w:color="17B4F8" w:themeColor="accent1" w:themeTint="99"/>
      </w:tblBorders>
    </w:tblPr>
    <w:tblStylePr w:type="firstRow">
      <w:rPr>
        <w:b/>
        <w:bCs/>
        <w:color w:val="FFFFFF" w:themeColor="background1"/>
      </w:rPr>
      <w:tblPr/>
      <w:tcPr>
        <w:tcBorders>
          <w:top w:val="single" w:sz="4" w:space="0" w:color="034E6E" w:themeColor="accent1"/>
          <w:left w:val="single" w:sz="4" w:space="0" w:color="034E6E" w:themeColor="accent1"/>
          <w:bottom w:val="single" w:sz="4" w:space="0" w:color="034E6E" w:themeColor="accent1"/>
          <w:right w:val="single" w:sz="4" w:space="0" w:color="034E6E" w:themeColor="accent1"/>
          <w:insideH w:val="nil"/>
          <w:insideV w:val="nil"/>
        </w:tcBorders>
        <w:shd w:val="clear" w:color="auto" w:fill="034E6E" w:themeFill="accent1"/>
      </w:tcPr>
    </w:tblStylePr>
    <w:tblStylePr w:type="lastRow">
      <w:rPr>
        <w:b/>
        <w:bCs/>
      </w:rPr>
      <w:tblPr/>
      <w:tcPr>
        <w:tcBorders>
          <w:top w:val="double" w:sz="4" w:space="0" w:color="034E6E" w:themeColor="accent1"/>
        </w:tcBorders>
      </w:tcPr>
    </w:tblStylePr>
    <w:tblStylePr w:type="firstCol">
      <w:rPr>
        <w:b/>
        <w:bCs/>
      </w:rPr>
    </w:tblStylePr>
    <w:tblStylePr w:type="lastCol">
      <w:rPr>
        <w:b/>
        <w:bCs/>
      </w:rPr>
    </w:tblStylePr>
    <w:tblStylePr w:type="band1Vert">
      <w:tblPr/>
      <w:tcPr>
        <w:shd w:val="clear" w:color="auto" w:fill="B1E6FD" w:themeFill="accent1" w:themeFillTint="33"/>
      </w:tcPr>
    </w:tblStylePr>
    <w:tblStylePr w:type="band1Horz">
      <w:tblPr/>
      <w:tcPr>
        <w:shd w:val="clear" w:color="auto" w:fill="B1E6FD" w:themeFill="accent1" w:themeFillTint="33"/>
      </w:tcPr>
    </w:tblStylePr>
  </w:style>
  <w:style w:type="paragraph" w:customStyle="1" w:styleId="E3Table">
    <w:name w:val="E3 Table"/>
    <w:basedOn w:val="BodyText"/>
    <w:next w:val="BodyText"/>
    <w:uiPriority w:val="99"/>
    <w:rsid w:val="00B43108"/>
    <w:pPr>
      <w:spacing w:before="60" w:after="40" w:line="240" w:lineRule="auto"/>
    </w:pPr>
    <w:rPr>
      <w:rFonts w:ascii="Arial" w:hAnsi="Arial" w:cs="Times New Roman"/>
      <w:sz w:val="18"/>
      <w:szCs w:val="18"/>
    </w:rPr>
  </w:style>
  <w:style w:type="paragraph" w:styleId="BodyText">
    <w:name w:val="Body Text"/>
    <w:basedOn w:val="Normal"/>
    <w:link w:val="BodyTextChar"/>
    <w:uiPriority w:val="99"/>
    <w:semiHidden/>
    <w:unhideWhenUsed/>
    <w:rsid w:val="00B43108"/>
    <w:pPr>
      <w:spacing w:after="120"/>
    </w:pPr>
  </w:style>
  <w:style w:type="character" w:customStyle="1" w:styleId="BodyTextChar">
    <w:name w:val="Body Text Char"/>
    <w:basedOn w:val="DefaultParagraphFont"/>
    <w:link w:val="BodyText"/>
    <w:uiPriority w:val="99"/>
    <w:semiHidden/>
    <w:rsid w:val="00B43108"/>
    <w:rPr>
      <w:rFonts w:ascii="Calibri" w:hAnsi="Calibri" w:cs="Calibri"/>
      <w:sz w:val="24"/>
      <w:szCs w:val="24"/>
    </w:rPr>
  </w:style>
  <w:style w:type="character" w:customStyle="1" w:styleId="E3FootnoteTextChar">
    <w:name w:val="E3 Footnote Text Char"/>
    <w:basedOn w:val="DefaultParagraphFont"/>
    <w:uiPriority w:val="99"/>
    <w:semiHidden/>
    <w:locked/>
    <w:rsid w:val="00602B3F"/>
    <w:rPr>
      <w:rFonts w:ascii="Calibri" w:hAnsi="Calibri" w:cs="Times New Roman"/>
      <w:spacing w:val="-2"/>
      <w:sz w:val="20"/>
      <w:szCs w:val="20"/>
    </w:rPr>
  </w:style>
  <w:style w:type="paragraph" w:customStyle="1" w:styleId="E3Caption">
    <w:name w:val="E3 Caption"/>
    <w:basedOn w:val="Caption"/>
    <w:uiPriority w:val="99"/>
    <w:qFormat/>
    <w:rsid w:val="00602B3F"/>
    <w:pPr>
      <w:keepLines w:val="0"/>
      <w:spacing w:before="0" w:after="300"/>
      <w:ind w:left="720" w:hanging="720"/>
    </w:pPr>
    <w:rPr>
      <w:rFonts w:cs="Times New Roman"/>
      <w:color w:val="005070"/>
      <w:spacing w:val="-2"/>
      <w:sz w:val="22"/>
      <w:szCs w:val="20"/>
    </w:rPr>
  </w:style>
  <w:style w:type="table" w:customStyle="1" w:styleId="E3TableforRealThisTime">
    <w:name w:val="E3 Table for Real This Time"/>
    <w:basedOn w:val="TableNormal"/>
    <w:uiPriority w:val="99"/>
    <w:rsid w:val="00602B3F"/>
    <w:rPr>
      <w:rFonts w:ascii="Arial" w:hAnsi="Arial"/>
      <w:sz w:val="18"/>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b/>
        <w:color w:val="F2F2F2" w:themeColor="background1" w:themeShade="F2"/>
        <w:sz w:val="52"/>
      </w:rPr>
      <w:tblPr/>
      <w:tcPr>
        <w:shd w:val="clear" w:color="auto" w:fill="005070"/>
      </w:tcPr>
    </w:tblStylePr>
    <w:tblStylePr w:type="band1Horz">
      <w:rPr>
        <w:rFonts w:cs="Times New Roman"/>
      </w:rPr>
      <w:tblPr/>
      <w:tcPr>
        <w:shd w:val="clear" w:color="auto" w:fill="DDD9C3" w:themeFill="background2" w:themeFillShade="E6"/>
      </w:tcPr>
    </w:tblStylePr>
  </w:style>
  <w:style w:type="character" w:customStyle="1" w:styleId="UnresolvedMention1">
    <w:name w:val="Unresolved Mention1"/>
    <w:basedOn w:val="DefaultParagraphFont"/>
    <w:uiPriority w:val="99"/>
    <w:semiHidden/>
    <w:unhideWhenUsed/>
    <w:rsid w:val="002E1DA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5D0"/>
    <w:pPr>
      <w:spacing w:before="180" w:after="180" w:line="360" w:lineRule="auto"/>
    </w:pPr>
    <w:rPr>
      <w:rFonts w:ascii="Calibri" w:hAnsi="Calibri" w:cs="Calibri"/>
      <w:sz w:val="24"/>
      <w:szCs w:val="24"/>
    </w:rPr>
  </w:style>
  <w:style w:type="paragraph" w:styleId="Heading1">
    <w:name w:val="heading 1"/>
    <w:basedOn w:val="Normal"/>
    <w:next w:val="Normal"/>
    <w:link w:val="Heading1Char"/>
    <w:qFormat/>
    <w:rsid w:val="0078015E"/>
    <w:pPr>
      <w:keepNext/>
      <w:spacing w:before="240" w:after="60"/>
      <w:outlineLvl w:val="0"/>
    </w:pPr>
    <w:rPr>
      <w:rFonts w:asciiTheme="minorHAnsi" w:eastAsia="PMingLiU" w:hAnsiTheme="minorHAnsi"/>
      <w:b/>
      <w:bCs/>
      <w:color w:val="034E6E" w:themeColor="accent1"/>
      <w:kern w:val="32"/>
      <w:sz w:val="36"/>
      <w:szCs w:val="32"/>
      <w:lang w:val="x-none"/>
    </w:rPr>
  </w:style>
  <w:style w:type="paragraph" w:styleId="Heading2">
    <w:name w:val="heading 2"/>
    <w:basedOn w:val="Normal"/>
    <w:next w:val="Normal"/>
    <w:link w:val="Heading2Char"/>
    <w:qFormat/>
    <w:rsid w:val="0078015E"/>
    <w:pPr>
      <w:keepNext/>
      <w:pBdr>
        <w:bottom w:val="single" w:sz="4" w:space="1" w:color="034E6E" w:themeColor="accent1"/>
      </w:pBdr>
      <w:spacing w:before="240" w:after="120" w:line="240" w:lineRule="auto"/>
      <w:outlineLvl w:val="1"/>
    </w:pPr>
    <w:rPr>
      <w:rFonts w:asciiTheme="minorHAnsi" w:eastAsia="PMingLiU" w:hAnsiTheme="minorHAnsi" w:cs="Times New Roman"/>
      <w:b/>
      <w:bCs/>
      <w:iCs/>
      <w:color w:val="034E6E" w:themeColor="accent1"/>
      <w:sz w:val="28"/>
      <w:szCs w:val="28"/>
    </w:rPr>
  </w:style>
  <w:style w:type="paragraph" w:styleId="Heading3">
    <w:name w:val="heading 3"/>
    <w:basedOn w:val="Normal"/>
    <w:next w:val="Normal"/>
    <w:link w:val="Heading3Char"/>
    <w:qFormat/>
    <w:rsid w:val="00EF7AB7"/>
    <w:pPr>
      <w:keepNext/>
      <w:spacing w:before="240" w:after="0" w:line="240" w:lineRule="auto"/>
      <w:outlineLvl w:val="2"/>
    </w:pPr>
    <w:rPr>
      <w:rFonts w:ascii="Cambria" w:eastAsia="PMingLiU" w:hAnsi="Cambria" w:cs="Times New Roman"/>
      <w:b/>
      <w:bCs/>
      <w:sz w:val="26"/>
      <w:szCs w:val="26"/>
    </w:rPr>
  </w:style>
  <w:style w:type="paragraph" w:styleId="Heading4">
    <w:name w:val="heading 4"/>
    <w:basedOn w:val="Normal"/>
    <w:next w:val="Normal"/>
    <w:link w:val="Heading4Char"/>
    <w:qFormat/>
    <w:rsid w:val="00831D40"/>
    <w:pPr>
      <w:keepNext/>
      <w:spacing w:before="240" w:after="60"/>
      <w:outlineLvl w:val="3"/>
    </w:pPr>
    <w:rPr>
      <w:rFonts w:eastAsia="PMingLiU"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Footnote Text1 Char,Footnote Text Char Ch,E3 Footnote Text"/>
    <w:basedOn w:val="Normal"/>
    <w:link w:val="FootnoteTextChar1"/>
    <w:uiPriority w:val="99"/>
    <w:semiHidden/>
    <w:qFormat/>
    <w:rsid w:val="00FF16DA"/>
    <w:rPr>
      <w:sz w:val="20"/>
      <w:szCs w:val="20"/>
    </w:rPr>
  </w:style>
  <w:style w:type="character" w:styleId="FootnoteReference">
    <w:name w:val="footnote reference"/>
    <w:aliases w:val="o"/>
    <w:uiPriority w:val="99"/>
    <w:semiHidden/>
    <w:rsid w:val="00FF16DA"/>
    <w:rPr>
      <w:vertAlign w:val="superscript"/>
    </w:rPr>
  </w:style>
  <w:style w:type="paragraph" w:styleId="Header">
    <w:name w:val="header"/>
    <w:basedOn w:val="Normal"/>
    <w:rsid w:val="006E7963"/>
    <w:pPr>
      <w:tabs>
        <w:tab w:val="center" w:pos="4320"/>
        <w:tab w:val="right" w:pos="8640"/>
      </w:tabs>
    </w:pPr>
  </w:style>
  <w:style w:type="paragraph" w:styleId="Footer">
    <w:name w:val="footer"/>
    <w:basedOn w:val="Normal"/>
    <w:link w:val="FooterChar"/>
    <w:uiPriority w:val="99"/>
    <w:rsid w:val="006E7963"/>
    <w:pPr>
      <w:tabs>
        <w:tab w:val="center" w:pos="4320"/>
        <w:tab w:val="right" w:pos="8640"/>
      </w:tabs>
    </w:pPr>
  </w:style>
  <w:style w:type="paragraph" w:styleId="BalloonText">
    <w:name w:val="Balloon Text"/>
    <w:basedOn w:val="Normal"/>
    <w:semiHidden/>
    <w:rsid w:val="00C61722"/>
    <w:rPr>
      <w:rFonts w:ascii="Tahoma" w:hAnsi="Tahoma" w:cs="Tahoma"/>
      <w:sz w:val="16"/>
      <w:szCs w:val="16"/>
    </w:rPr>
  </w:style>
  <w:style w:type="character" w:styleId="CommentReference">
    <w:name w:val="annotation reference"/>
    <w:semiHidden/>
    <w:rsid w:val="002F2072"/>
    <w:rPr>
      <w:sz w:val="16"/>
      <w:szCs w:val="16"/>
    </w:rPr>
  </w:style>
  <w:style w:type="paragraph" w:styleId="CommentText">
    <w:name w:val="annotation text"/>
    <w:basedOn w:val="Normal"/>
    <w:semiHidden/>
    <w:rsid w:val="002F2072"/>
    <w:rPr>
      <w:sz w:val="20"/>
      <w:szCs w:val="20"/>
    </w:rPr>
  </w:style>
  <w:style w:type="paragraph" w:styleId="CommentSubject">
    <w:name w:val="annotation subject"/>
    <w:basedOn w:val="CommentText"/>
    <w:next w:val="CommentText"/>
    <w:semiHidden/>
    <w:rsid w:val="002F2072"/>
    <w:rPr>
      <w:b/>
      <w:bCs/>
    </w:rPr>
  </w:style>
  <w:style w:type="character" w:styleId="PageNumber">
    <w:name w:val="page number"/>
    <w:basedOn w:val="DefaultParagraphFont"/>
    <w:rsid w:val="005146D0"/>
  </w:style>
  <w:style w:type="character" w:customStyle="1" w:styleId="FootnoteTextChar1">
    <w:name w:val="Footnote Text Char1"/>
    <w:aliases w:val="Footnote Text Char Char,Footnote Text1 Char Char,Footnote Text Char Ch Char,E3 Footnote Text Char1"/>
    <w:link w:val="FootnoteText"/>
    <w:rsid w:val="00DB108F"/>
    <w:rPr>
      <w:lang w:val="en-US" w:eastAsia="en-US" w:bidi="ar-SA"/>
    </w:rPr>
  </w:style>
  <w:style w:type="table" w:styleId="TableGrid">
    <w:name w:val="Table Grid"/>
    <w:basedOn w:val="TableNormal"/>
    <w:rsid w:val="009C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3794B"/>
    <w:rPr>
      <w:color w:val="0000FF"/>
      <w:u w:val="single"/>
    </w:rPr>
  </w:style>
  <w:style w:type="paragraph" w:styleId="NormalWeb">
    <w:name w:val="Normal (Web)"/>
    <w:basedOn w:val="Normal"/>
    <w:rsid w:val="00A110E2"/>
    <w:pPr>
      <w:spacing w:before="100" w:beforeAutospacing="1" w:after="100" w:afterAutospacing="1"/>
    </w:pPr>
    <w:rPr>
      <w:color w:val="000000"/>
    </w:rPr>
  </w:style>
  <w:style w:type="character" w:styleId="Strong">
    <w:name w:val="Strong"/>
    <w:qFormat/>
    <w:rsid w:val="00A110E2"/>
    <w:rPr>
      <w:b/>
      <w:bCs/>
    </w:rPr>
  </w:style>
  <w:style w:type="paragraph" w:customStyle="1" w:styleId="Default">
    <w:name w:val="Default"/>
    <w:rsid w:val="00075BEF"/>
    <w:pPr>
      <w:autoSpaceDE w:val="0"/>
      <w:autoSpaceDN w:val="0"/>
      <w:adjustRightInd w:val="0"/>
    </w:pPr>
    <w:rPr>
      <w:color w:val="000000"/>
      <w:sz w:val="24"/>
      <w:szCs w:val="24"/>
    </w:rPr>
  </w:style>
  <w:style w:type="paragraph" w:styleId="HTMLPreformatted">
    <w:name w:val="HTML Preformatted"/>
    <w:basedOn w:val="Normal"/>
    <w:rsid w:val="002E2B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eattleBody">
    <w:name w:val="Seattle Body"/>
    <w:basedOn w:val="Normal"/>
    <w:link w:val="SeattleBodyChar"/>
    <w:rsid w:val="00B141E4"/>
    <w:pPr>
      <w:spacing w:after="240"/>
    </w:pPr>
    <w:rPr>
      <w:rFonts w:ascii="Verdana" w:hAnsi="Verdana"/>
      <w:sz w:val="22"/>
    </w:rPr>
  </w:style>
  <w:style w:type="character" w:customStyle="1" w:styleId="SeattleBodyChar">
    <w:name w:val="Seattle Body Char"/>
    <w:link w:val="SeattleBody"/>
    <w:rsid w:val="00B141E4"/>
    <w:rPr>
      <w:rFonts w:ascii="Verdana" w:hAnsi="Verdana"/>
      <w:sz w:val="22"/>
      <w:szCs w:val="24"/>
      <w:lang w:val="en-US" w:eastAsia="en-US" w:bidi="ar-SA"/>
    </w:rPr>
  </w:style>
  <w:style w:type="paragraph" w:styleId="Caption">
    <w:name w:val="caption"/>
    <w:basedOn w:val="Normal"/>
    <w:next w:val="Normal"/>
    <w:uiPriority w:val="35"/>
    <w:qFormat/>
    <w:rsid w:val="00087461"/>
    <w:pPr>
      <w:keepNext/>
      <w:keepLines/>
      <w:spacing w:before="240" w:line="240" w:lineRule="auto"/>
    </w:pPr>
    <w:rPr>
      <w:b/>
      <w:bCs/>
    </w:rPr>
  </w:style>
  <w:style w:type="character" w:customStyle="1" w:styleId="apple-style-span">
    <w:name w:val="apple-style-span"/>
    <w:basedOn w:val="DefaultParagraphFont"/>
    <w:rsid w:val="00780711"/>
  </w:style>
  <w:style w:type="character" w:customStyle="1" w:styleId="apple-converted-space">
    <w:name w:val="apple-converted-space"/>
    <w:basedOn w:val="DefaultParagraphFont"/>
    <w:rsid w:val="00780711"/>
  </w:style>
  <w:style w:type="character" w:customStyle="1" w:styleId="Heading1Char">
    <w:name w:val="Heading 1 Char"/>
    <w:link w:val="Heading1"/>
    <w:rsid w:val="0078015E"/>
    <w:rPr>
      <w:rFonts w:asciiTheme="minorHAnsi" w:eastAsia="PMingLiU" w:hAnsiTheme="minorHAnsi" w:cs="Calibri"/>
      <w:b/>
      <w:bCs/>
      <w:color w:val="034E6E" w:themeColor="accent1"/>
      <w:kern w:val="32"/>
      <w:sz w:val="36"/>
      <w:szCs w:val="32"/>
      <w:lang w:val="x-none"/>
    </w:rPr>
  </w:style>
  <w:style w:type="character" w:customStyle="1" w:styleId="Heading2Char">
    <w:name w:val="Heading 2 Char"/>
    <w:link w:val="Heading2"/>
    <w:rsid w:val="0078015E"/>
    <w:rPr>
      <w:rFonts w:asciiTheme="minorHAnsi" w:eastAsia="PMingLiU" w:hAnsiTheme="minorHAnsi"/>
      <w:b/>
      <w:bCs/>
      <w:iCs/>
      <w:color w:val="034E6E" w:themeColor="accent1"/>
      <w:sz w:val="28"/>
      <w:szCs w:val="28"/>
    </w:rPr>
  </w:style>
  <w:style w:type="character" w:customStyle="1" w:styleId="Heading3Char">
    <w:name w:val="Heading 3 Char"/>
    <w:link w:val="Heading3"/>
    <w:rsid w:val="00EF7AB7"/>
    <w:rPr>
      <w:rFonts w:ascii="Cambria" w:eastAsia="PMingLiU" w:hAnsi="Cambria"/>
      <w:b/>
      <w:bCs/>
      <w:sz w:val="26"/>
      <w:szCs w:val="26"/>
    </w:rPr>
  </w:style>
  <w:style w:type="paragraph" w:styleId="TOCHeading">
    <w:name w:val="TOC Heading"/>
    <w:basedOn w:val="Heading1"/>
    <w:next w:val="Normal"/>
    <w:uiPriority w:val="39"/>
    <w:qFormat/>
    <w:rsid w:val="00BD6403"/>
    <w:pPr>
      <w:keepLines/>
      <w:spacing w:before="480" w:after="0" w:line="276" w:lineRule="auto"/>
      <w:outlineLvl w:val="9"/>
    </w:pPr>
    <w:rPr>
      <w:rFonts w:cs="Times New Roman"/>
      <w:color w:val="365F91"/>
      <w:kern w:val="0"/>
      <w:sz w:val="28"/>
      <w:szCs w:val="28"/>
    </w:rPr>
  </w:style>
  <w:style w:type="paragraph" w:styleId="TOC1">
    <w:name w:val="toc 1"/>
    <w:basedOn w:val="Normal"/>
    <w:next w:val="Normal"/>
    <w:autoRedefine/>
    <w:uiPriority w:val="39"/>
    <w:rsid w:val="00FD163B"/>
    <w:pPr>
      <w:tabs>
        <w:tab w:val="right" w:leader="dot" w:pos="9350"/>
      </w:tabs>
      <w:spacing w:before="120" w:after="0" w:line="240" w:lineRule="auto"/>
    </w:pPr>
  </w:style>
  <w:style w:type="paragraph" w:styleId="TOC2">
    <w:name w:val="toc 2"/>
    <w:basedOn w:val="Normal"/>
    <w:next w:val="Normal"/>
    <w:autoRedefine/>
    <w:uiPriority w:val="39"/>
    <w:rsid w:val="00E6364B"/>
    <w:pPr>
      <w:tabs>
        <w:tab w:val="right" w:leader="dot" w:pos="9350"/>
      </w:tabs>
      <w:spacing w:before="120" w:after="0" w:line="240" w:lineRule="auto"/>
      <w:ind w:left="245"/>
    </w:pPr>
  </w:style>
  <w:style w:type="paragraph" w:styleId="TOC3">
    <w:name w:val="toc 3"/>
    <w:basedOn w:val="Normal"/>
    <w:next w:val="Normal"/>
    <w:autoRedefine/>
    <w:uiPriority w:val="39"/>
    <w:rsid w:val="00FD163B"/>
    <w:pPr>
      <w:tabs>
        <w:tab w:val="right" w:leader="dot" w:pos="9350"/>
      </w:tabs>
      <w:spacing w:after="0" w:line="240" w:lineRule="auto"/>
      <w:ind w:left="475"/>
    </w:pPr>
  </w:style>
  <w:style w:type="paragraph" w:customStyle="1" w:styleId="Header4">
    <w:name w:val="Header 4"/>
    <w:basedOn w:val="Normal"/>
    <w:qFormat/>
    <w:rsid w:val="00BD6403"/>
    <w:rPr>
      <w:b/>
    </w:rPr>
  </w:style>
  <w:style w:type="character" w:customStyle="1" w:styleId="Heading4Char">
    <w:name w:val="Heading 4 Char"/>
    <w:link w:val="Heading4"/>
    <w:rsid w:val="00831D40"/>
    <w:rPr>
      <w:rFonts w:ascii="Calibri" w:eastAsia="PMingLiU" w:hAnsi="Calibri" w:cs="Times New Roman"/>
      <w:b/>
      <w:bCs/>
      <w:sz w:val="28"/>
      <w:szCs w:val="28"/>
      <w:lang w:eastAsia="en-US"/>
    </w:rPr>
  </w:style>
  <w:style w:type="paragraph" w:styleId="TOC4">
    <w:name w:val="toc 4"/>
    <w:basedOn w:val="Normal"/>
    <w:next w:val="Normal"/>
    <w:autoRedefine/>
    <w:uiPriority w:val="39"/>
    <w:rsid w:val="00831D40"/>
    <w:pPr>
      <w:ind w:left="720"/>
    </w:pPr>
  </w:style>
  <w:style w:type="paragraph" w:customStyle="1" w:styleId="ColorfulShading-Accent11">
    <w:name w:val="Colorful Shading - Accent 11"/>
    <w:hidden/>
    <w:uiPriority w:val="99"/>
    <w:semiHidden/>
    <w:rsid w:val="00BC03B9"/>
    <w:rPr>
      <w:sz w:val="24"/>
      <w:szCs w:val="24"/>
    </w:rPr>
  </w:style>
  <w:style w:type="paragraph" w:customStyle="1" w:styleId="ColorfulList-Accent11">
    <w:name w:val="Colorful List - Accent 11"/>
    <w:basedOn w:val="Normal"/>
    <w:uiPriority w:val="34"/>
    <w:qFormat/>
    <w:rsid w:val="007F2179"/>
    <w:pPr>
      <w:spacing w:after="200" w:line="276" w:lineRule="auto"/>
      <w:ind w:left="720"/>
      <w:contextualSpacing/>
    </w:pPr>
    <w:rPr>
      <w:rFonts w:eastAsia="Calibri" w:cs="Times New Roman"/>
      <w:sz w:val="22"/>
      <w:szCs w:val="22"/>
    </w:rPr>
  </w:style>
  <w:style w:type="character" w:styleId="IntenseReference">
    <w:name w:val="Intense Reference"/>
    <w:uiPriority w:val="32"/>
    <w:qFormat/>
    <w:rsid w:val="00B82BCB"/>
    <w:rPr>
      <w:b/>
      <w:bCs/>
      <w:smallCaps/>
      <w:color w:val="C0504D"/>
      <w:spacing w:val="5"/>
      <w:u w:val="single"/>
    </w:rPr>
  </w:style>
  <w:style w:type="paragraph" w:customStyle="1" w:styleId="LightShading-Accent21">
    <w:name w:val="Light Shading - Accent 21"/>
    <w:basedOn w:val="Normal"/>
    <w:next w:val="Normal"/>
    <w:link w:val="LightShading-Accent2Char"/>
    <w:uiPriority w:val="30"/>
    <w:qFormat/>
    <w:rsid w:val="00E412A9"/>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E412A9"/>
    <w:rPr>
      <w:rFonts w:ascii="Calibri" w:hAnsi="Calibri" w:cs="Calibri"/>
      <w:b/>
      <w:bCs/>
      <w:i/>
      <w:iCs/>
      <w:color w:val="4F81BD"/>
      <w:sz w:val="24"/>
      <w:szCs w:val="24"/>
    </w:rPr>
  </w:style>
  <w:style w:type="paragraph" w:customStyle="1" w:styleId="Table">
    <w:name w:val="Table"/>
    <w:basedOn w:val="Normal"/>
    <w:link w:val="TableChar"/>
    <w:qFormat/>
    <w:rsid w:val="00F139BD"/>
    <w:pPr>
      <w:spacing w:before="0" w:line="240" w:lineRule="auto"/>
    </w:pPr>
    <w:rPr>
      <w:sz w:val="22"/>
    </w:rPr>
  </w:style>
  <w:style w:type="table" w:styleId="MediumGrid3">
    <w:name w:val="Medium Grid 3"/>
    <w:basedOn w:val="TableNormal"/>
    <w:uiPriority w:val="60"/>
    <w:rsid w:val="00856BC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Char">
    <w:name w:val="Table Char"/>
    <w:link w:val="Table"/>
    <w:rsid w:val="00F139BD"/>
    <w:rPr>
      <w:rFonts w:ascii="Calibri" w:hAnsi="Calibri" w:cs="Calibri"/>
      <w:sz w:val="22"/>
      <w:szCs w:val="24"/>
    </w:rPr>
  </w:style>
  <w:style w:type="table" w:styleId="DarkList">
    <w:name w:val="Dark List"/>
    <w:basedOn w:val="TableNormal"/>
    <w:uiPriority w:val="61"/>
    <w:rsid w:val="00856BC0"/>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link w:val="Footer"/>
    <w:uiPriority w:val="99"/>
    <w:rsid w:val="00121E26"/>
    <w:rPr>
      <w:rFonts w:ascii="Calibri" w:hAnsi="Calibri" w:cs="Calibri"/>
      <w:sz w:val="24"/>
      <w:szCs w:val="24"/>
    </w:rPr>
  </w:style>
  <w:style w:type="table" w:styleId="TableGrid8">
    <w:name w:val="Table Grid 8"/>
    <w:basedOn w:val="TableNormal"/>
    <w:rsid w:val="009B1072"/>
    <w:pPr>
      <w:spacing w:before="180" w:after="18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link w:val="NoSpacingChar"/>
    <w:uiPriority w:val="1"/>
    <w:qFormat/>
    <w:rsid w:val="00FD163B"/>
    <w:rPr>
      <w:rFonts w:ascii="Calibri" w:eastAsia="MS Mincho" w:hAnsi="Calibri" w:cs="Arial"/>
      <w:sz w:val="22"/>
      <w:szCs w:val="22"/>
      <w:lang w:eastAsia="ja-JP"/>
    </w:rPr>
  </w:style>
  <w:style w:type="character" w:customStyle="1" w:styleId="NoSpacingChar">
    <w:name w:val="No Spacing Char"/>
    <w:link w:val="NoSpacing"/>
    <w:uiPriority w:val="1"/>
    <w:rsid w:val="00FD163B"/>
    <w:rPr>
      <w:rFonts w:ascii="Calibri" w:eastAsia="MS Mincho" w:hAnsi="Calibri" w:cs="Arial"/>
      <w:sz w:val="22"/>
      <w:szCs w:val="22"/>
      <w:lang w:eastAsia="ja-JP"/>
    </w:rPr>
  </w:style>
  <w:style w:type="paragraph" w:styleId="Revision">
    <w:name w:val="Revision"/>
    <w:hidden/>
    <w:uiPriority w:val="99"/>
    <w:semiHidden/>
    <w:rsid w:val="003005EF"/>
    <w:rPr>
      <w:rFonts w:ascii="Calibri" w:hAnsi="Calibri" w:cs="Calibri"/>
      <w:sz w:val="24"/>
      <w:szCs w:val="24"/>
    </w:rPr>
  </w:style>
  <w:style w:type="paragraph" w:styleId="ListParagraph">
    <w:name w:val="List Paragraph"/>
    <w:basedOn w:val="Normal"/>
    <w:uiPriority w:val="34"/>
    <w:qFormat/>
    <w:rsid w:val="002522D1"/>
    <w:pPr>
      <w:ind w:left="720"/>
      <w:contextualSpacing/>
    </w:pPr>
  </w:style>
  <w:style w:type="table" w:customStyle="1" w:styleId="ListTable3-Accent11">
    <w:name w:val="List Table 3 - Accent 11"/>
    <w:basedOn w:val="TableNormal"/>
    <w:uiPriority w:val="48"/>
    <w:rsid w:val="0033103F"/>
    <w:tblPr>
      <w:tblStyleRowBandSize w:val="1"/>
      <w:tblStyleColBandSize w:val="1"/>
      <w:tblBorders>
        <w:top w:val="single" w:sz="4" w:space="0" w:color="034E6E" w:themeColor="accent1"/>
        <w:left w:val="single" w:sz="4" w:space="0" w:color="034E6E" w:themeColor="accent1"/>
        <w:bottom w:val="single" w:sz="4" w:space="0" w:color="034E6E" w:themeColor="accent1"/>
        <w:right w:val="single" w:sz="4" w:space="0" w:color="034E6E" w:themeColor="accent1"/>
      </w:tblBorders>
    </w:tblPr>
    <w:tblStylePr w:type="firstRow">
      <w:rPr>
        <w:b/>
        <w:bCs/>
        <w:color w:val="FFFFFF" w:themeColor="background1"/>
      </w:rPr>
      <w:tblPr/>
      <w:tcPr>
        <w:shd w:val="clear" w:color="auto" w:fill="034E6E" w:themeFill="accent1"/>
      </w:tcPr>
    </w:tblStylePr>
    <w:tblStylePr w:type="lastRow">
      <w:rPr>
        <w:b/>
        <w:bCs/>
      </w:rPr>
      <w:tblPr/>
      <w:tcPr>
        <w:tcBorders>
          <w:top w:val="double" w:sz="4" w:space="0" w:color="034E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4E6E" w:themeColor="accent1"/>
          <w:right w:val="single" w:sz="4" w:space="0" w:color="034E6E" w:themeColor="accent1"/>
        </w:tcBorders>
      </w:tcPr>
    </w:tblStylePr>
    <w:tblStylePr w:type="band1Horz">
      <w:tblPr/>
      <w:tcPr>
        <w:tcBorders>
          <w:top w:val="single" w:sz="4" w:space="0" w:color="034E6E" w:themeColor="accent1"/>
          <w:bottom w:val="single" w:sz="4" w:space="0" w:color="034E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4E6E" w:themeColor="accent1"/>
          <w:left w:val="nil"/>
        </w:tcBorders>
      </w:tcPr>
    </w:tblStylePr>
    <w:tblStylePr w:type="swCell">
      <w:tblPr/>
      <w:tcPr>
        <w:tcBorders>
          <w:top w:val="double" w:sz="4" w:space="0" w:color="034E6E" w:themeColor="accent1"/>
          <w:right w:val="nil"/>
        </w:tcBorders>
      </w:tcPr>
    </w:tblStylePr>
  </w:style>
  <w:style w:type="character" w:styleId="FollowedHyperlink">
    <w:name w:val="FollowedHyperlink"/>
    <w:basedOn w:val="DefaultParagraphFont"/>
    <w:uiPriority w:val="99"/>
    <w:semiHidden/>
    <w:unhideWhenUsed/>
    <w:rsid w:val="000B0B1C"/>
    <w:rPr>
      <w:color w:val="800080" w:themeColor="followedHyperlink"/>
      <w:u w:val="single"/>
    </w:rPr>
  </w:style>
  <w:style w:type="table" w:customStyle="1" w:styleId="GridTable1Light-Accent11">
    <w:name w:val="Grid Table 1 Light - Accent 11"/>
    <w:basedOn w:val="TableNormal"/>
    <w:uiPriority w:val="46"/>
    <w:tblPr>
      <w:tblStyleRowBandSize w:val="1"/>
      <w:tblStyleColBandSize w:val="1"/>
      <w:tblBorders>
        <w:top w:val="single" w:sz="4" w:space="0" w:color="64CDFA" w:themeColor="accent1" w:themeTint="66"/>
        <w:left w:val="single" w:sz="4" w:space="0" w:color="64CDFA" w:themeColor="accent1" w:themeTint="66"/>
        <w:bottom w:val="single" w:sz="4" w:space="0" w:color="64CDFA" w:themeColor="accent1" w:themeTint="66"/>
        <w:right w:val="single" w:sz="4" w:space="0" w:color="64CDFA" w:themeColor="accent1" w:themeTint="66"/>
        <w:insideH w:val="single" w:sz="4" w:space="0" w:color="64CDFA" w:themeColor="accent1" w:themeTint="66"/>
        <w:insideV w:val="single" w:sz="4" w:space="0" w:color="64CDFA" w:themeColor="accent1" w:themeTint="66"/>
      </w:tblBorders>
    </w:tblPr>
    <w:tblStylePr w:type="firstRow">
      <w:rPr>
        <w:b/>
        <w:bCs/>
      </w:rPr>
      <w:tblPr/>
      <w:tcPr>
        <w:tcBorders>
          <w:bottom w:val="single" w:sz="12" w:space="0" w:color="17B4F8" w:themeColor="accent1" w:themeTint="99"/>
        </w:tcBorders>
      </w:tcPr>
    </w:tblStylePr>
    <w:tblStylePr w:type="lastRow">
      <w:rPr>
        <w:b/>
        <w:bCs/>
      </w:rPr>
      <w:tblPr/>
      <w:tcPr>
        <w:tcBorders>
          <w:top w:val="double" w:sz="2" w:space="0" w:color="17B4F8" w:themeColor="accent1"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2C44A4"/>
    <w:tblPr>
      <w:tblStyleRowBandSize w:val="1"/>
      <w:tblStyleColBandSize w:val="1"/>
      <w:tblBorders>
        <w:top w:val="single" w:sz="4" w:space="0" w:color="17B4F8" w:themeColor="accent1" w:themeTint="99"/>
        <w:left w:val="single" w:sz="4" w:space="0" w:color="17B4F8" w:themeColor="accent1" w:themeTint="99"/>
        <w:bottom w:val="single" w:sz="4" w:space="0" w:color="17B4F8" w:themeColor="accent1" w:themeTint="99"/>
        <w:right w:val="single" w:sz="4" w:space="0" w:color="17B4F8" w:themeColor="accent1" w:themeTint="99"/>
        <w:insideH w:val="single" w:sz="4" w:space="0" w:color="17B4F8" w:themeColor="accent1" w:themeTint="99"/>
        <w:insideV w:val="single" w:sz="4" w:space="0" w:color="17B4F8" w:themeColor="accent1" w:themeTint="99"/>
      </w:tblBorders>
    </w:tblPr>
    <w:tblStylePr w:type="firstRow">
      <w:rPr>
        <w:b/>
        <w:bCs/>
        <w:color w:val="FFFFFF" w:themeColor="background1"/>
      </w:rPr>
      <w:tblPr/>
      <w:tcPr>
        <w:tcBorders>
          <w:top w:val="single" w:sz="4" w:space="0" w:color="034E6E" w:themeColor="accent1"/>
          <w:left w:val="single" w:sz="4" w:space="0" w:color="034E6E" w:themeColor="accent1"/>
          <w:bottom w:val="single" w:sz="4" w:space="0" w:color="034E6E" w:themeColor="accent1"/>
          <w:right w:val="single" w:sz="4" w:space="0" w:color="034E6E" w:themeColor="accent1"/>
          <w:insideH w:val="nil"/>
          <w:insideV w:val="nil"/>
        </w:tcBorders>
        <w:shd w:val="clear" w:color="auto" w:fill="034E6E" w:themeFill="accent1"/>
      </w:tcPr>
    </w:tblStylePr>
    <w:tblStylePr w:type="lastRow">
      <w:rPr>
        <w:b/>
        <w:bCs/>
      </w:rPr>
      <w:tblPr/>
      <w:tcPr>
        <w:tcBorders>
          <w:top w:val="double" w:sz="4" w:space="0" w:color="034E6E" w:themeColor="accent1"/>
        </w:tcBorders>
      </w:tcPr>
    </w:tblStylePr>
    <w:tblStylePr w:type="firstCol">
      <w:rPr>
        <w:b/>
        <w:bCs/>
      </w:rPr>
    </w:tblStylePr>
    <w:tblStylePr w:type="lastCol">
      <w:rPr>
        <w:b/>
        <w:bCs/>
      </w:rPr>
    </w:tblStylePr>
    <w:tblStylePr w:type="band1Vert">
      <w:tblPr/>
      <w:tcPr>
        <w:shd w:val="clear" w:color="auto" w:fill="B1E6FD" w:themeFill="accent1" w:themeFillTint="33"/>
      </w:tcPr>
    </w:tblStylePr>
    <w:tblStylePr w:type="band1Horz">
      <w:tblPr/>
      <w:tcPr>
        <w:shd w:val="clear" w:color="auto" w:fill="B1E6FD" w:themeFill="accent1" w:themeFillTint="33"/>
      </w:tcPr>
    </w:tblStylePr>
  </w:style>
  <w:style w:type="paragraph" w:customStyle="1" w:styleId="E3Table">
    <w:name w:val="E3 Table"/>
    <w:basedOn w:val="BodyText"/>
    <w:next w:val="BodyText"/>
    <w:uiPriority w:val="99"/>
    <w:rsid w:val="00B43108"/>
    <w:pPr>
      <w:spacing w:before="60" w:after="40" w:line="240" w:lineRule="auto"/>
    </w:pPr>
    <w:rPr>
      <w:rFonts w:ascii="Arial" w:hAnsi="Arial" w:cs="Times New Roman"/>
      <w:sz w:val="18"/>
      <w:szCs w:val="18"/>
    </w:rPr>
  </w:style>
  <w:style w:type="paragraph" w:styleId="BodyText">
    <w:name w:val="Body Text"/>
    <w:basedOn w:val="Normal"/>
    <w:link w:val="BodyTextChar"/>
    <w:uiPriority w:val="99"/>
    <w:semiHidden/>
    <w:unhideWhenUsed/>
    <w:rsid w:val="00B43108"/>
    <w:pPr>
      <w:spacing w:after="120"/>
    </w:pPr>
  </w:style>
  <w:style w:type="character" w:customStyle="1" w:styleId="BodyTextChar">
    <w:name w:val="Body Text Char"/>
    <w:basedOn w:val="DefaultParagraphFont"/>
    <w:link w:val="BodyText"/>
    <w:uiPriority w:val="99"/>
    <w:semiHidden/>
    <w:rsid w:val="00B43108"/>
    <w:rPr>
      <w:rFonts w:ascii="Calibri" w:hAnsi="Calibri" w:cs="Calibri"/>
      <w:sz w:val="24"/>
      <w:szCs w:val="24"/>
    </w:rPr>
  </w:style>
  <w:style w:type="character" w:customStyle="1" w:styleId="E3FootnoteTextChar">
    <w:name w:val="E3 Footnote Text Char"/>
    <w:basedOn w:val="DefaultParagraphFont"/>
    <w:uiPriority w:val="99"/>
    <w:semiHidden/>
    <w:locked/>
    <w:rsid w:val="00602B3F"/>
    <w:rPr>
      <w:rFonts w:ascii="Calibri" w:hAnsi="Calibri" w:cs="Times New Roman"/>
      <w:spacing w:val="-2"/>
      <w:sz w:val="20"/>
      <w:szCs w:val="20"/>
    </w:rPr>
  </w:style>
  <w:style w:type="paragraph" w:customStyle="1" w:styleId="E3Caption">
    <w:name w:val="E3 Caption"/>
    <w:basedOn w:val="Caption"/>
    <w:uiPriority w:val="99"/>
    <w:qFormat/>
    <w:rsid w:val="00602B3F"/>
    <w:pPr>
      <w:keepLines w:val="0"/>
      <w:spacing w:before="0" w:after="300"/>
      <w:ind w:left="720" w:hanging="720"/>
    </w:pPr>
    <w:rPr>
      <w:rFonts w:cs="Times New Roman"/>
      <w:color w:val="005070"/>
      <w:spacing w:val="-2"/>
      <w:sz w:val="22"/>
      <w:szCs w:val="20"/>
    </w:rPr>
  </w:style>
  <w:style w:type="table" w:customStyle="1" w:styleId="E3TableforRealThisTime">
    <w:name w:val="E3 Table for Real This Time"/>
    <w:basedOn w:val="TableNormal"/>
    <w:uiPriority w:val="99"/>
    <w:rsid w:val="00602B3F"/>
    <w:rPr>
      <w:rFonts w:ascii="Arial" w:hAnsi="Arial"/>
      <w:sz w:val="18"/>
      <w:szCs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Times New Roman"/>
        <w:b/>
        <w:color w:val="F2F2F2" w:themeColor="background1" w:themeShade="F2"/>
        <w:sz w:val="52"/>
      </w:rPr>
      <w:tblPr/>
      <w:tcPr>
        <w:shd w:val="clear" w:color="auto" w:fill="005070"/>
      </w:tcPr>
    </w:tblStylePr>
    <w:tblStylePr w:type="band1Horz">
      <w:rPr>
        <w:rFonts w:cs="Times New Roman"/>
      </w:rPr>
      <w:tblPr/>
      <w:tcPr>
        <w:shd w:val="clear" w:color="auto" w:fill="DDD9C3" w:themeFill="background2" w:themeFillShade="E6"/>
      </w:tcPr>
    </w:tblStylePr>
  </w:style>
  <w:style w:type="character" w:customStyle="1" w:styleId="UnresolvedMention1">
    <w:name w:val="Unresolved Mention1"/>
    <w:basedOn w:val="DefaultParagraphFont"/>
    <w:uiPriority w:val="99"/>
    <w:semiHidden/>
    <w:unhideWhenUsed/>
    <w:rsid w:val="002E1D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669171">
      <w:bodyDiv w:val="1"/>
      <w:marLeft w:val="0"/>
      <w:marRight w:val="0"/>
      <w:marTop w:val="0"/>
      <w:marBottom w:val="0"/>
      <w:divBdr>
        <w:top w:val="none" w:sz="0" w:space="0" w:color="auto"/>
        <w:left w:val="none" w:sz="0" w:space="0" w:color="auto"/>
        <w:bottom w:val="none" w:sz="0" w:space="0" w:color="auto"/>
        <w:right w:val="none" w:sz="0" w:space="0" w:color="auto"/>
      </w:divBdr>
    </w:div>
    <w:div w:id="888493740">
      <w:bodyDiv w:val="1"/>
      <w:marLeft w:val="0"/>
      <w:marRight w:val="0"/>
      <w:marTop w:val="0"/>
      <w:marBottom w:val="0"/>
      <w:divBdr>
        <w:top w:val="none" w:sz="0" w:space="0" w:color="auto"/>
        <w:left w:val="none" w:sz="0" w:space="0" w:color="auto"/>
        <w:bottom w:val="none" w:sz="0" w:space="0" w:color="auto"/>
        <w:right w:val="none" w:sz="0" w:space="0" w:color="auto"/>
      </w:divBdr>
    </w:div>
    <w:div w:id="951664896">
      <w:bodyDiv w:val="1"/>
      <w:marLeft w:val="0"/>
      <w:marRight w:val="0"/>
      <w:marTop w:val="0"/>
      <w:marBottom w:val="0"/>
      <w:divBdr>
        <w:top w:val="none" w:sz="0" w:space="0" w:color="auto"/>
        <w:left w:val="none" w:sz="0" w:space="0" w:color="auto"/>
        <w:bottom w:val="none" w:sz="0" w:space="0" w:color="auto"/>
        <w:right w:val="none" w:sz="0" w:space="0" w:color="auto"/>
      </w:divBdr>
    </w:div>
    <w:div w:id="1427844849">
      <w:bodyDiv w:val="1"/>
      <w:marLeft w:val="0"/>
      <w:marRight w:val="0"/>
      <w:marTop w:val="0"/>
      <w:marBottom w:val="0"/>
      <w:divBdr>
        <w:top w:val="none" w:sz="0" w:space="0" w:color="auto"/>
        <w:left w:val="none" w:sz="0" w:space="0" w:color="auto"/>
        <w:bottom w:val="none" w:sz="0" w:space="0" w:color="auto"/>
        <w:right w:val="none" w:sz="0" w:space="0" w:color="auto"/>
      </w:divBdr>
    </w:div>
    <w:div w:id="170505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7" Type="http://schemas.openxmlformats.org/officeDocument/2006/relationships/webSettings" Target="web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cpuc.ca.gov/irp/proposedrsp/"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hyperlink" Target="http://cpuc.ca.gov/irp/proposedrsp/"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emf"/><Relationship Id="rId77" Type="http://schemas.openxmlformats.org/officeDocument/2006/relationships/image" Target="media/image66.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ethree.com/public_projects/recap.php" TargetMode="External"/><Relationship Id="rId3" Type="http://schemas.openxmlformats.org/officeDocument/2006/relationships/hyperlink" Target="https://ethree.com/public_projects/recap.php" TargetMode="External"/><Relationship Id="rId7" Type="http://schemas.openxmlformats.org/officeDocument/2006/relationships/hyperlink" Target="http://www.ethree.com/public_projects/cpucOEEP.php" TargetMode="External"/><Relationship Id="rId2" Type="http://schemas.openxmlformats.org/officeDocument/2006/relationships/hyperlink" Target="http://www.cpuc.ca.gov/PUC/energy/Procurement/RA/ra_compliance_materials.htm" TargetMode="External"/><Relationship Id="rId1" Type="http://schemas.openxmlformats.org/officeDocument/2006/relationships/hyperlink" Target="http://caiso.com/Documents/2015AnnualReportonMarketIssuesandPerformance.pdf" TargetMode="External"/><Relationship Id="rId6" Type="http://schemas.openxmlformats.org/officeDocument/2006/relationships/hyperlink" Target="http://www.cpuc.ca.gov/PUC/energy/Energy+Efficiency/EM+and+V/Embedded+Energy+in+Water+Studies1_and_2.htm" TargetMode="External"/><Relationship Id="rId5" Type="http://schemas.openxmlformats.org/officeDocument/2006/relationships/hyperlink" Target="http://www.liob.org/docs/LIEE%20Non-Energy%20Benefits%20Revised%20Report.pdf" TargetMode="External"/><Relationship Id="rId4" Type="http://schemas.openxmlformats.org/officeDocument/2006/relationships/hyperlink" Target="http://caiso.com/Documents/2015AnnualReportonMarketIssuesandPerformance.pdf" TargetMode="External"/><Relationship Id="rId9" Type="http://schemas.openxmlformats.org/officeDocument/2006/relationships/hyperlink" Target="http://www.energy.ca.gov/2014publications/CEC-200-2014-003/index.html" TargetMode="External"/></Relationships>
</file>

<file path=word/theme/theme1.xml><?xml version="1.0" encoding="utf-8"?>
<a:theme xmlns:a="http://schemas.openxmlformats.org/drawingml/2006/main" name="Office Theme">
  <a:themeElements>
    <a:clrScheme name="E3">
      <a:dk1>
        <a:sysClr val="windowText" lastClr="000000"/>
      </a:dk1>
      <a:lt1>
        <a:sysClr val="window" lastClr="FFFFFF"/>
      </a:lt1>
      <a:dk2>
        <a:srgbClr val="315361"/>
      </a:dk2>
      <a:lt2>
        <a:srgbClr val="EEECE1"/>
      </a:lt2>
      <a:accent1>
        <a:srgbClr val="034E6E"/>
      </a:accent1>
      <a:accent2>
        <a:srgbClr val="AF7E00"/>
      </a:accent2>
      <a:accent3>
        <a:srgbClr val="AF2200"/>
      </a:accent3>
      <a:accent4>
        <a:srgbClr val="007E33"/>
      </a:accent4>
      <a:accent5>
        <a:srgbClr val="AF5D00"/>
      </a:accent5>
      <a:accent6>
        <a:srgbClr val="0A1978"/>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BEB9C-B099-4DF5-9939-7618A21BC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9262</Words>
  <Characters>52795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Energy Efficiency Avoided Costs 2011 Update</vt:lpstr>
    </vt:vector>
  </TitlesOfParts>
  <Company>Microsoft</Company>
  <LinksUpToDate>false</LinksUpToDate>
  <CharactersWithSpaces>61934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Efficiency Avoided Costs 2011 Update</dc:title>
  <dc:creator>Brian Horii, Eric Cutter</dc:creator>
  <cp:lastModifiedBy>Morgenstern, Joy</cp:lastModifiedBy>
  <cp:revision>2</cp:revision>
  <cp:lastPrinted>2011-07-05T23:24:00Z</cp:lastPrinted>
  <dcterms:created xsi:type="dcterms:W3CDTF">2018-05-14T17:38:00Z</dcterms:created>
  <dcterms:modified xsi:type="dcterms:W3CDTF">2018-05-14T17:38:00Z</dcterms:modified>
</cp:coreProperties>
</file>