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470"/>
      </w:tblGrid>
      <w:tr w:rsidR="00FD163B" w14:paraId="08AAC12B" w14:textId="77777777" w:rsidTr="6C121C4A">
        <w:tc>
          <w:tcPr>
            <w:tcW w:w="7672" w:type="dxa"/>
            <w:tcMar>
              <w:top w:w="216" w:type="dxa"/>
              <w:left w:w="115" w:type="dxa"/>
              <w:bottom w:w="216" w:type="dxa"/>
              <w:right w:w="115" w:type="dxa"/>
            </w:tcMar>
          </w:tcPr>
          <w:p w14:paraId="29E671DC" w14:textId="77777777" w:rsidR="00FD163B" w:rsidRPr="00965806" w:rsidRDefault="00FD163B" w:rsidP="00FD163B">
            <w:pPr>
              <w:pStyle w:val="NoSpacing"/>
              <w:rPr>
                <w:rFonts w:asciiTheme="minorHAnsi" w:eastAsia="Times New Roman" w:hAnsiTheme="minorHAnsi" w:cs="Times New Roman"/>
                <w:color w:val="315361" w:themeColor="text2"/>
              </w:rPr>
            </w:pPr>
            <w:bookmarkStart w:id="0" w:name="_Toc271574649"/>
            <w:bookmarkStart w:id="1" w:name="_Toc271575298"/>
            <w:r w:rsidRPr="008A6BDD">
              <w:rPr>
                <w:rFonts w:asciiTheme="minorHAnsi" w:eastAsia="Cambria,Times New Roman" w:hAnsiTheme="minorHAnsi" w:cs="Cambria,Times New Roman"/>
                <w:color w:val="315361" w:themeColor="text2"/>
                <w:sz w:val="28"/>
              </w:rPr>
              <w:t>Energy and Environmental Economics, Inc</w:t>
            </w:r>
          </w:p>
        </w:tc>
      </w:tr>
      <w:tr w:rsidR="00FD163B" w14:paraId="46BDAB88" w14:textId="77777777" w:rsidTr="6C121C4A">
        <w:tc>
          <w:tcPr>
            <w:tcW w:w="7672" w:type="dxa"/>
          </w:tcPr>
          <w:p w14:paraId="19C14F19" w14:textId="77777777" w:rsidR="00ED1495" w:rsidRPr="00965806" w:rsidRDefault="00FD163B" w:rsidP="00ED1495">
            <w:pPr>
              <w:pStyle w:val="NoSpacing"/>
              <w:rPr>
                <w:rFonts w:asciiTheme="minorHAnsi" w:eastAsia="Times New Roman" w:hAnsiTheme="minorHAnsi" w:cs="Times New Roman"/>
                <w:color w:val="315361" w:themeColor="text2"/>
                <w:sz w:val="80"/>
                <w:szCs w:val="80"/>
              </w:rPr>
            </w:pPr>
            <w:r w:rsidRPr="008A6BDD">
              <w:rPr>
                <w:rFonts w:asciiTheme="minorHAnsi" w:eastAsia="Cambria,Times New Roman" w:hAnsiTheme="minorHAnsi" w:cs="Cambria,Times New Roman"/>
                <w:color w:val="315361" w:themeColor="text2"/>
                <w:sz w:val="80"/>
                <w:szCs w:val="80"/>
              </w:rPr>
              <w:t xml:space="preserve">Avoided Costs </w:t>
            </w:r>
          </w:p>
          <w:p w14:paraId="28044451" w14:textId="4D841362" w:rsidR="00FD163B" w:rsidRPr="00965806" w:rsidRDefault="005E1327" w:rsidP="00B43108">
            <w:pPr>
              <w:pStyle w:val="NoSpacing"/>
              <w:rPr>
                <w:rFonts w:asciiTheme="minorHAnsi" w:eastAsia="Times New Roman" w:hAnsiTheme="minorHAnsi" w:cs="Times New Roman"/>
                <w:color w:val="315361" w:themeColor="text2"/>
                <w:sz w:val="80"/>
                <w:szCs w:val="80"/>
              </w:rPr>
            </w:pPr>
            <w:r>
              <w:rPr>
                <w:rFonts w:asciiTheme="minorHAnsi" w:eastAsia="Cambria,Times New Roman" w:hAnsiTheme="minorHAnsi" w:cs="Cambria,Times New Roman"/>
                <w:color w:val="315361" w:themeColor="text2"/>
                <w:sz w:val="80"/>
                <w:szCs w:val="80"/>
              </w:rPr>
              <w:t>2019</w:t>
            </w:r>
            <w:r w:rsidRPr="008A6BDD">
              <w:rPr>
                <w:rFonts w:asciiTheme="minorHAnsi" w:eastAsia="Cambria,Times New Roman" w:hAnsiTheme="minorHAnsi" w:cs="Cambria,Times New Roman"/>
                <w:color w:val="315361" w:themeColor="text2"/>
                <w:sz w:val="80"/>
                <w:szCs w:val="80"/>
              </w:rPr>
              <w:t xml:space="preserve"> </w:t>
            </w:r>
            <w:r w:rsidR="00FD163B" w:rsidRPr="008A6BDD">
              <w:rPr>
                <w:rFonts w:asciiTheme="minorHAnsi" w:eastAsia="Cambria,Times New Roman" w:hAnsiTheme="minorHAnsi" w:cs="Cambria,Times New Roman"/>
                <w:color w:val="315361" w:themeColor="text2"/>
                <w:sz w:val="80"/>
                <w:szCs w:val="80"/>
              </w:rPr>
              <w:t>Update</w:t>
            </w:r>
          </w:p>
        </w:tc>
      </w:tr>
      <w:tr w:rsidR="00FD163B" w14:paraId="0E554A98" w14:textId="77777777" w:rsidTr="6C121C4A">
        <w:tc>
          <w:tcPr>
            <w:tcW w:w="7672" w:type="dxa"/>
            <w:tcMar>
              <w:top w:w="216" w:type="dxa"/>
              <w:left w:w="115" w:type="dxa"/>
              <w:bottom w:w="216" w:type="dxa"/>
              <w:right w:w="115" w:type="dxa"/>
            </w:tcMar>
          </w:tcPr>
          <w:p w14:paraId="2C125D6D" w14:textId="77777777" w:rsidR="00F07576" w:rsidRDefault="00F07576" w:rsidP="00FD163B">
            <w:pPr>
              <w:pStyle w:val="NoSpacing"/>
              <w:rPr>
                <w:rFonts w:ascii="Cambria" w:eastAsia="Times New Roman" w:hAnsi="Cambria" w:cs="Times New Roman"/>
              </w:rPr>
            </w:pPr>
          </w:p>
          <w:p w14:paraId="5355FC3F" w14:textId="77777777" w:rsidR="00F07576" w:rsidRDefault="00F07576" w:rsidP="00FD163B">
            <w:pPr>
              <w:pStyle w:val="NoSpacing"/>
              <w:rPr>
                <w:rFonts w:ascii="Cambria" w:eastAsia="Times New Roman" w:hAnsi="Cambria" w:cs="Times New Roman"/>
              </w:rPr>
            </w:pPr>
          </w:p>
          <w:p w14:paraId="30957AAE" w14:textId="77777777" w:rsidR="00F07576" w:rsidRDefault="00F07576" w:rsidP="00FD163B">
            <w:pPr>
              <w:pStyle w:val="NoSpacing"/>
              <w:rPr>
                <w:rFonts w:ascii="Cambria" w:eastAsia="Times New Roman" w:hAnsi="Cambria" w:cs="Times New Roman"/>
              </w:rPr>
            </w:pPr>
          </w:p>
          <w:p w14:paraId="45488D79" w14:textId="77777777" w:rsidR="00F07576" w:rsidRDefault="00F07576" w:rsidP="00FD163B">
            <w:pPr>
              <w:pStyle w:val="NoSpacing"/>
              <w:rPr>
                <w:rFonts w:ascii="Cambria" w:eastAsia="Times New Roman" w:hAnsi="Cambria" w:cs="Times New Roman"/>
              </w:rPr>
            </w:pPr>
          </w:p>
          <w:p w14:paraId="37F7C532" w14:textId="77777777" w:rsidR="00F07576" w:rsidRDefault="00F07576" w:rsidP="00FD163B">
            <w:pPr>
              <w:pStyle w:val="NoSpacing"/>
              <w:rPr>
                <w:rFonts w:ascii="Cambria" w:eastAsia="Times New Roman" w:hAnsi="Cambria" w:cs="Times New Roman"/>
              </w:rPr>
            </w:pPr>
          </w:p>
          <w:p w14:paraId="4E8FE7A4" w14:textId="77777777" w:rsidR="00F07576" w:rsidRDefault="00F07576" w:rsidP="00FD163B">
            <w:pPr>
              <w:pStyle w:val="NoSpacing"/>
              <w:rPr>
                <w:rFonts w:ascii="Cambria" w:eastAsia="Times New Roman" w:hAnsi="Cambria" w:cs="Times New Roman"/>
              </w:rPr>
            </w:pPr>
          </w:p>
          <w:p w14:paraId="4A3FDFFE" w14:textId="77777777" w:rsidR="00F07576" w:rsidRDefault="00F07576" w:rsidP="00FD163B">
            <w:pPr>
              <w:pStyle w:val="NoSpacing"/>
              <w:rPr>
                <w:rFonts w:ascii="Cambria" w:eastAsia="Times New Roman" w:hAnsi="Cambria" w:cs="Times New Roman"/>
              </w:rPr>
            </w:pPr>
          </w:p>
          <w:p w14:paraId="61010F9B" w14:textId="77777777" w:rsidR="00F07576" w:rsidRDefault="00F07576" w:rsidP="00FD163B">
            <w:pPr>
              <w:pStyle w:val="NoSpacing"/>
              <w:rPr>
                <w:rFonts w:ascii="Cambria" w:eastAsia="Times New Roman" w:hAnsi="Cambria" w:cs="Times New Roman"/>
              </w:rPr>
            </w:pPr>
          </w:p>
          <w:p w14:paraId="74BA3239" w14:textId="77777777" w:rsidR="00F07576" w:rsidRDefault="00F07576" w:rsidP="00FD163B">
            <w:pPr>
              <w:pStyle w:val="NoSpacing"/>
              <w:rPr>
                <w:rFonts w:ascii="Cambria" w:eastAsia="Times New Roman" w:hAnsi="Cambria" w:cs="Times New Roman"/>
              </w:rPr>
            </w:pPr>
          </w:p>
          <w:p w14:paraId="10328501" w14:textId="77777777" w:rsidR="00F07576" w:rsidRDefault="00F07576" w:rsidP="00FD163B">
            <w:pPr>
              <w:pStyle w:val="NoSpacing"/>
              <w:rPr>
                <w:rFonts w:ascii="Cambria" w:eastAsia="Times New Roman" w:hAnsi="Cambria" w:cs="Times New Roman"/>
              </w:rPr>
            </w:pPr>
          </w:p>
          <w:p w14:paraId="17731A10" w14:textId="77777777" w:rsidR="00F07576" w:rsidRDefault="00F07576" w:rsidP="00FD163B">
            <w:pPr>
              <w:pStyle w:val="NoSpacing"/>
              <w:rPr>
                <w:rFonts w:ascii="Cambria" w:eastAsia="Times New Roman" w:hAnsi="Cambria" w:cs="Times New Roman"/>
              </w:rPr>
            </w:pPr>
          </w:p>
          <w:p w14:paraId="786DD572" w14:textId="77777777" w:rsidR="00F07576" w:rsidRDefault="00F07576" w:rsidP="00FD163B">
            <w:pPr>
              <w:pStyle w:val="NoSpacing"/>
              <w:rPr>
                <w:rFonts w:ascii="Cambria" w:eastAsia="Times New Roman" w:hAnsi="Cambria" w:cs="Times New Roman"/>
              </w:rPr>
            </w:pPr>
          </w:p>
          <w:p w14:paraId="7511DE33" w14:textId="77777777" w:rsidR="00297654" w:rsidRDefault="00297654" w:rsidP="00FD163B">
            <w:pPr>
              <w:pStyle w:val="NoSpacing"/>
              <w:rPr>
                <w:rFonts w:ascii="Cambria" w:eastAsia="Times New Roman" w:hAnsi="Cambria" w:cs="Times New Roman"/>
              </w:rPr>
            </w:pPr>
          </w:p>
          <w:p w14:paraId="3FEAD9E3" w14:textId="77777777" w:rsidR="00297654" w:rsidRDefault="00297654" w:rsidP="00FD163B">
            <w:pPr>
              <w:pStyle w:val="NoSpacing"/>
              <w:rPr>
                <w:rFonts w:ascii="Cambria" w:eastAsia="Times New Roman" w:hAnsi="Cambria" w:cs="Times New Roman"/>
              </w:rPr>
            </w:pPr>
          </w:p>
          <w:p w14:paraId="65904CD4" w14:textId="77777777" w:rsidR="00297654" w:rsidRDefault="00297654" w:rsidP="00FD163B">
            <w:pPr>
              <w:pStyle w:val="NoSpacing"/>
              <w:rPr>
                <w:rFonts w:ascii="Cambria" w:eastAsia="Times New Roman" w:hAnsi="Cambria" w:cs="Times New Roman"/>
              </w:rPr>
            </w:pPr>
          </w:p>
          <w:p w14:paraId="1885E3F6" w14:textId="77777777" w:rsidR="00297654" w:rsidRDefault="00297654" w:rsidP="00FD163B">
            <w:pPr>
              <w:pStyle w:val="NoSpacing"/>
              <w:rPr>
                <w:rFonts w:ascii="Cambria" w:eastAsia="Times New Roman" w:hAnsi="Cambria" w:cs="Times New Roman"/>
              </w:rPr>
            </w:pPr>
          </w:p>
          <w:p w14:paraId="4EA0B700" w14:textId="77777777" w:rsidR="00297654" w:rsidRDefault="00297654" w:rsidP="00FD163B">
            <w:pPr>
              <w:pStyle w:val="NoSpacing"/>
              <w:rPr>
                <w:rFonts w:ascii="Cambria" w:eastAsia="Times New Roman" w:hAnsi="Cambria" w:cs="Times New Roman"/>
              </w:rPr>
            </w:pPr>
          </w:p>
          <w:p w14:paraId="4683294F" w14:textId="77777777" w:rsidR="00297654" w:rsidRDefault="00297654" w:rsidP="00FD163B">
            <w:pPr>
              <w:pStyle w:val="NoSpacing"/>
              <w:rPr>
                <w:rFonts w:ascii="Cambria" w:eastAsia="Times New Roman" w:hAnsi="Cambria" w:cs="Times New Roman"/>
              </w:rPr>
            </w:pPr>
          </w:p>
          <w:p w14:paraId="64B934FA" w14:textId="77777777" w:rsidR="00297654" w:rsidRDefault="00297654" w:rsidP="00FD163B">
            <w:pPr>
              <w:pStyle w:val="NoSpacing"/>
              <w:rPr>
                <w:rFonts w:ascii="Cambria" w:eastAsia="Times New Roman" w:hAnsi="Cambria" w:cs="Times New Roman"/>
              </w:rPr>
            </w:pPr>
          </w:p>
          <w:p w14:paraId="156517AB" w14:textId="77777777" w:rsidR="00297654" w:rsidRDefault="00297654" w:rsidP="00FD163B">
            <w:pPr>
              <w:pStyle w:val="NoSpacing"/>
              <w:rPr>
                <w:rFonts w:ascii="Cambria" w:eastAsia="Times New Roman" w:hAnsi="Cambria" w:cs="Times New Roman"/>
              </w:rPr>
            </w:pPr>
          </w:p>
          <w:p w14:paraId="1775A60C" w14:textId="6249ACCC" w:rsidR="00FD163B" w:rsidRPr="00A54815" w:rsidRDefault="00F07576" w:rsidP="00FD163B">
            <w:pPr>
              <w:pStyle w:val="NoSpacing"/>
              <w:rPr>
                <w:rFonts w:asciiTheme="minorHAnsi" w:eastAsia="Times New Roman" w:hAnsiTheme="minorHAnsi" w:cstheme="minorHAnsi"/>
              </w:rPr>
            </w:pPr>
            <w:r w:rsidRPr="00A54815">
              <w:rPr>
                <w:rFonts w:asciiTheme="minorHAnsi" w:eastAsia="Times New Roman" w:hAnsiTheme="minorHAnsi" w:cstheme="minorHAnsi"/>
              </w:rPr>
              <w:t>Brian Horii</w:t>
            </w:r>
          </w:p>
          <w:p w14:paraId="6106CC0B" w14:textId="77777777" w:rsidR="00F07576" w:rsidRPr="00A54815" w:rsidRDefault="00F07576" w:rsidP="00FD163B">
            <w:pPr>
              <w:pStyle w:val="NoSpacing"/>
              <w:rPr>
                <w:rFonts w:asciiTheme="minorHAnsi" w:eastAsia="Times New Roman" w:hAnsiTheme="minorHAnsi" w:cstheme="minorHAnsi"/>
              </w:rPr>
            </w:pPr>
            <w:r w:rsidRPr="00A54815">
              <w:rPr>
                <w:rFonts w:asciiTheme="minorHAnsi" w:eastAsia="Times New Roman" w:hAnsiTheme="minorHAnsi" w:cstheme="minorHAnsi"/>
              </w:rPr>
              <w:t>Eric Cutter</w:t>
            </w:r>
          </w:p>
          <w:p w14:paraId="708BF8C1" w14:textId="77777777" w:rsidR="00F07576" w:rsidRPr="00A54815" w:rsidRDefault="00F07576" w:rsidP="00FD163B">
            <w:pPr>
              <w:pStyle w:val="NoSpacing"/>
              <w:rPr>
                <w:rFonts w:asciiTheme="minorHAnsi" w:eastAsia="Times New Roman" w:hAnsiTheme="minorHAnsi" w:cstheme="minorHAnsi"/>
              </w:rPr>
            </w:pPr>
            <w:r w:rsidRPr="00A54815">
              <w:rPr>
                <w:rFonts w:asciiTheme="minorHAnsi" w:eastAsia="Times New Roman" w:hAnsiTheme="minorHAnsi" w:cstheme="minorHAnsi"/>
              </w:rPr>
              <w:t>Ben Shapiro</w:t>
            </w:r>
          </w:p>
          <w:p w14:paraId="608A4E31" w14:textId="77777777" w:rsidR="00F07576" w:rsidRPr="00A54815" w:rsidRDefault="00F07576" w:rsidP="00FD163B">
            <w:pPr>
              <w:pStyle w:val="NoSpacing"/>
              <w:rPr>
                <w:rFonts w:asciiTheme="minorHAnsi" w:eastAsia="Times New Roman" w:hAnsiTheme="minorHAnsi" w:cstheme="minorHAnsi"/>
              </w:rPr>
            </w:pPr>
            <w:r w:rsidRPr="00A54815">
              <w:rPr>
                <w:rFonts w:asciiTheme="minorHAnsi" w:eastAsia="Times New Roman" w:hAnsiTheme="minorHAnsi" w:cstheme="minorHAnsi"/>
              </w:rPr>
              <w:t>Christa Heavey</w:t>
            </w:r>
          </w:p>
          <w:p w14:paraId="0B198E50" w14:textId="77777777" w:rsidR="00F07576" w:rsidRPr="00A54815" w:rsidRDefault="00F07576" w:rsidP="00FD163B">
            <w:pPr>
              <w:pStyle w:val="NoSpacing"/>
              <w:rPr>
                <w:rFonts w:asciiTheme="minorHAnsi" w:eastAsia="Times New Roman" w:hAnsiTheme="minorHAnsi" w:cstheme="minorHAnsi"/>
              </w:rPr>
            </w:pPr>
          </w:p>
          <w:p w14:paraId="756A6944" w14:textId="29671787" w:rsidR="00F07576" w:rsidRPr="00FD163B" w:rsidRDefault="6C121C4A" w:rsidP="6C121C4A">
            <w:pPr>
              <w:pStyle w:val="NoSpacing"/>
              <w:rPr>
                <w:rFonts w:ascii="Cambria" w:eastAsia="Times New Roman" w:hAnsi="Cambria" w:cs="Times New Roman"/>
              </w:rPr>
            </w:pPr>
            <w:r w:rsidRPr="6C121C4A">
              <w:rPr>
                <w:rFonts w:asciiTheme="minorHAnsi" w:eastAsia="Times New Roman" w:hAnsiTheme="minorHAnsi" w:cstheme="minorBidi"/>
              </w:rPr>
              <w:t xml:space="preserve">June </w:t>
            </w:r>
            <w:r w:rsidR="003E1E0A">
              <w:rPr>
                <w:rFonts w:asciiTheme="minorHAnsi" w:eastAsia="Times New Roman" w:hAnsiTheme="minorHAnsi" w:cstheme="minorBidi"/>
              </w:rPr>
              <w:t>26</w:t>
            </w:r>
            <w:r w:rsidRPr="6C121C4A">
              <w:rPr>
                <w:rFonts w:asciiTheme="minorHAnsi" w:eastAsia="Times New Roman" w:hAnsiTheme="minorHAnsi" w:cstheme="minorBidi"/>
              </w:rPr>
              <w:t>, 2019</w:t>
            </w:r>
          </w:p>
        </w:tc>
      </w:tr>
    </w:tbl>
    <w:p w14:paraId="376530F0" w14:textId="40134B97" w:rsidR="009D1C7E" w:rsidRPr="009D1C7E" w:rsidRDefault="009D1C7E" w:rsidP="009D1C7E">
      <w:bookmarkStart w:id="2" w:name="_GoBack"/>
      <w:bookmarkEnd w:id="2"/>
    </w:p>
    <w:p w14:paraId="3F47C8FB" w14:textId="3FF618F4" w:rsidR="009D1C7E" w:rsidRPr="009D1C7E" w:rsidRDefault="009D1C7E" w:rsidP="009D1C7E"/>
    <w:p w14:paraId="5F282553" w14:textId="222CD571" w:rsidR="009D1C7E" w:rsidRPr="009D1C7E" w:rsidRDefault="009D1C7E" w:rsidP="009D1C7E"/>
    <w:p w14:paraId="2D05264B" w14:textId="399AE7B5" w:rsidR="009D1C7E" w:rsidRPr="009D1C7E" w:rsidRDefault="009D1C7E" w:rsidP="009D1C7E"/>
    <w:p w14:paraId="06B7EA24" w14:textId="589E2352" w:rsidR="009D1C7E" w:rsidRPr="009D1C7E" w:rsidRDefault="009D1C7E" w:rsidP="009D1C7E"/>
    <w:p w14:paraId="45BDDC20" w14:textId="1FB2A193" w:rsidR="009D1C7E" w:rsidRPr="009D1C7E" w:rsidRDefault="009D1C7E" w:rsidP="009D1C7E"/>
    <w:p w14:paraId="1AACFDF0" w14:textId="77777777" w:rsidR="009D1C7E" w:rsidRPr="009D1C7E" w:rsidRDefault="009D1C7E" w:rsidP="009D1C7E"/>
    <w:p w14:paraId="272B0A92" w14:textId="77777777" w:rsidR="00FD163B" w:rsidRDefault="00FD163B"/>
    <w:p w14:paraId="39415A68" w14:textId="559F797A" w:rsidR="00664090" w:rsidRDefault="00664090" w:rsidP="009D1C7E">
      <w:pPr>
        <w:pStyle w:val="TOCHeading"/>
        <w:numPr>
          <w:ilvl w:val="0"/>
          <w:numId w:val="0"/>
        </w:numPr>
      </w:pPr>
    </w:p>
    <w:p w14:paraId="104631F8" w14:textId="77777777" w:rsidR="00664090" w:rsidRPr="00664090" w:rsidRDefault="00664090" w:rsidP="00664090">
      <w:pPr>
        <w:rPr>
          <w:lang w:val="x-none"/>
        </w:rPr>
      </w:pPr>
    </w:p>
    <w:p w14:paraId="0E7970A2" w14:textId="77777777" w:rsidR="00664090" w:rsidRPr="00664090" w:rsidRDefault="00664090" w:rsidP="00664090">
      <w:pPr>
        <w:rPr>
          <w:lang w:val="x-none"/>
        </w:rPr>
      </w:pPr>
    </w:p>
    <w:p w14:paraId="09C9E8E6" w14:textId="77777777" w:rsidR="00664090" w:rsidRPr="00664090" w:rsidRDefault="00664090" w:rsidP="00664090">
      <w:pPr>
        <w:rPr>
          <w:lang w:val="x-none"/>
        </w:rPr>
      </w:pPr>
    </w:p>
    <w:p w14:paraId="52E35145" w14:textId="77777777" w:rsidR="00664090" w:rsidRPr="00664090" w:rsidRDefault="00664090" w:rsidP="00664090">
      <w:pPr>
        <w:rPr>
          <w:lang w:val="x-none"/>
        </w:rPr>
      </w:pPr>
    </w:p>
    <w:p w14:paraId="385FF1D6" w14:textId="77777777" w:rsidR="00664090" w:rsidRPr="00664090" w:rsidRDefault="00664090" w:rsidP="00664090">
      <w:pPr>
        <w:rPr>
          <w:lang w:val="x-none"/>
        </w:rPr>
      </w:pPr>
    </w:p>
    <w:p w14:paraId="5E9079DE" w14:textId="77777777" w:rsidR="00297654" w:rsidRDefault="00297654">
      <w:pPr>
        <w:spacing w:before="0" w:after="0" w:line="240" w:lineRule="auto"/>
        <w:rPr>
          <w:rFonts w:asciiTheme="minorHAnsi" w:eastAsia="PMingLiU" w:hAnsiTheme="minorHAnsi" w:cs="Times New Roman"/>
          <w:b/>
          <w:bCs/>
          <w:color w:val="365F91"/>
          <w:sz w:val="28"/>
          <w:szCs w:val="28"/>
          <w:lang w:val="x-none"/>
        </w:rPr>
      </w:pPr>
      <w:r>
        <w:br w:type="page"/>
      </w:r>
    </w:p>
    <w:p w14:paraId="1E4C1AAB" w14:textId="0462D4F5" w:rsidR="00186B05" w:rsidRDefault="00186B05" w:rsidP="009D1C7E">
      <w:pPr>
        <w:pStyle w:val="TOCHeading"/>
        <w:numPr>
          <w:ilvl w:val="0"/>
          <w:numId w:val="0"/>
        </w:numPr>
      </w:pPr>
      <w:r>
        <w:lastRenderedPageBreak/>
        <w:t>Table of Contents</w:t>
      </w:r>
    </w:p>
    <w:p w14:paraId="479EAF06" w14:textId="77777777" w:rsidR="00E73263" w:rsidRDefault="00E73263">
      <w:pPr>
        <w:pStyle w:val="TOC1"/>
      </w:pPr>
    </w:p>
    <w:p w14:paraId="63E4EA03" w14:textId="25CA8184" w:rsidR="0097492A" w:rsidRDefault="00186B05">
      <w:pPr>
        <w:pStyle w:val="TOC1"/>
        <w:tabs>
          <w:tab w:val="left" w:pos="47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2445825" w:history="1">
        <w:r w:rsidR="0097492A" w:rsidRPr="00B93AC2">
          <w:rPr>
            <w:rStyle w:val="Hyperlink"/>
            <w:noProof/>
          </w:rPr>
          <w:t>1</w:t>
        </w:r>
        <w:r w:rsidR="0097492A">
          <w:rPr>
            <w:rFonts w:asciiTheme="minorHAnsi" w:eastAsiaTheme="minorEastAsia" w:hAnsiTheme="minorHAnsi" w:cstheme="minorBidi"/>
            <w:noProof/>
            <w:sz w:val="22"/>
            <w:szCs w:val="22"/>
          </w:rPr>
          <w:tab/>
        </w:r>
        <w:r w:rsidR="0097492A" w:rsidRPr="00B93AC2">
          <w:rPr>
            <w:rStyle w:val="Hyperlink"/>
            <w:noProof/>
          </w:rPr>
          <w:t>Overview</w:t>
        </w:r>
        <w:r w:rsidR="0097492A">
          <w:rPr>
            <w:noProof/>
            <w:webHidden/>
          </w:rPr>
          <w:tab/>
        </w:r>
        <w:r w:rsidR="0097492A">
          <w:rPr>
            <w:noProof/>
            <w:webHidden/>
          </w:rPr>
          <w:fldChar w:fldCharType="begin"/>
        </w:r>
        <w:r w:rsidR="0097492A">
          <w:rPr>
            <w:noProof/>
            <w:webHidden/>
          </w:rPr>
          <w:instrText xml:space="preserve"> PAGEREF _Toc12445825 \h </w:instrText>
        </w:r>
        <w:r w:rsidR="0097492A">
          <w:rPr>
            <w:noProof/>
            <w:webHidden/>
          </w:rPr>
        </w:r>
        <w:r w:rsidR="0097492A">
          <w:rPr>
            <w:noProof/>
            <w:webHidden/>
          </w:rPr>
          <w:fldChar w:fldCharType="separate"/>
        </w:r>
        <w:r w:rsidR="0097492A">
          <w:rPr>
            <w:noProof/>
            <w:webHidden/>
          </w:rPr>
          <w:t>5</w:t>
        </w:r>
        <w:r w:rsidR="0097492A">
          <w:rPr>
            <w:noProof/>
            <w:webHidden/>
          </w:rPr>
          <w:fldChar w:fldCharType="end"/>
        </w:r>
      </w:hyperlink>
    </w:p>
    <w:p w14:paraId="5FF26E52" w14:textId="460F1102" w:rsidR="0097492A" w:rsidRDefault="0097492A">
      <w:pPr>
        <w:pStyle w:val="TOC2"/>
        <w:tabs>
          <w:tab w:val="left" w:pos="880"/>
        </w:tabs>
        <w:rPr>
          <w:rFonts w:asciiTheme="minorHAnsi" w:eastAsiaTheme="minorEastAsia" w:hAnsiTheme="minorHAnsi" w:cstheme="minorBidi"/>
          <w:noProof/>
          <w:sz w:val="22"/>
          <w:szCs w:val="22"/>
        </w:rPr>
      </w:pPr>
      <w:hyperlink w:anchor="_Toc12445826" w:history="1">
        <w:r w:rsidRPr="00B93AC2">
          <w:rPr>
            <w:rStyle w:val="Hyperlink"/>
            <w:noProof/>
          </w:rPr>
          <w:t>1.1</w:t>
        </w:r>
        <w:r>
          <w:rPr>
            <w:rFonts w:asciiTheme="minorHAnsi" w:eastAsiaTheme="minorEastAsia" w:hAnsiTheme="minorHAnsi" w:cstheme="minorBidi"/>
            <w:noProof/>
            <w:sz w:val="22"/>
            <w:szCs w:val="22"/>
          </w:rPr>
          <w:tab/>
        </w:r>
        <w:r w:rsidRPr="00B93AC2">
          <w:rPr>
            <w:rStyle w:val="Hyperlink"/>
            <w:noProof/>
          </w:rPr>
          <w:t>Data Updates and Corrections</w:t>
        </w:r>
        <w:r>
          <w:rPr>
            <w:noProof/>
            <w:webHidden/>
          </w:rPr>
          <w:tab/>
        </w:r>
        <w:r>
          <w:rPr>
            <w:noProof/>
            <w:webHidden/>
          </w:rPr>
          <w:fldChar w:fldCharType="begin"/>
        </w:r>
        <w:r>
          <w:rPr>
            <w:noProof/>
            <w:webHidden/>
          </w:rPr>
          <w:instrText xml:space="preserve"> PAGEREF _Toc12445826 \h </w:instrText>
        </w:r>
        <w:r>
          <w:rPr>
            <w:noProof/>
            <w:webHidden/>
          </w:rPr>
        </w:r>
        <w:r>
          <w:rPr>
            <w:noProof/>
            <w:webHidden/>
          </w:rPr>
          <w:fldChar w:fldCharType="separate"/>
        </w:r>
        <w:r>
          <w:rPr>
            <w:noProof/>
            <w:webHidden/>
          </w:rPr>
          <w:t>5</w:t>
        </w:r>
        <w:r>
          <w:rPr>
            <w:noProof/>
            <w:webHidden/>
          </w:rPr>
          <w:fldChar w:fldCharType="end"/>
        </w:r>
      </w:hyperlink>
    </w:p>
    <w:p w14:paraId="727F3BF1" w14:textId="660D0039" w:rsidR="0097492A" w:rsidRDefault="0097492A">
      <w:pPr>
        <w:pStyle w:val="TOC2"/>
        <w:tabs>
          <w:tab w:val="left" w:pos="880"/>
        </w:tabs>
        <w:rPr>
          <w:rFonts w:asciiTheme="minorHAnsi" w:eastAsiaTheme="minorEastAsia" w:hAnsiTheme="minorHAnsi" w:cstheme="minorBidi"/>
          <w:noProof/>
          <w:sz w:val="22"/>
          <w:szCs w:val="22"/>
        </w:rPr>
      </w:pPr>
      <w:hyperlink w:anchor="_Toc12445827" w:history="1">
        <w:r w:rsidRPr="00B93AC2">
          <w:rPr>
            <w:rStyle w:val="Hyperlink"/>
            <w:noProof/>
          </w:rPr>
          <w:t>1.2</w:t>
        </w:r>
        <w:r>
          <w:rPr>
            <w:rFonts w:asciiTheme="minorHAnsi" w:eastAsiaTheme="minorEastAsia" w:hAnsiTheme="minorHAnsi" w:cstheme="minorBidi"/>
            <w:noProof/>
            <w:sz w:val="22"/>
            <w:szCs w:val="22"/>
          </w:rPr>
          <w:tab/>
        </w:r>
        <w:r w:rsidRPr="00B93AC2">
          <w:rPr>
            <w:rStyle w:val="Hyperlink"/>
            <w:noProof/>
          </w:rPr>
          <w:t>Summary of Results</w:t>
        </w:r>
        <w:r>
          <w:rPr>
            <w:noProof/>
            <w:webHidden/>
          </w:rPr>
          <w:tab/>
        </w:r>
        <w:r>
          <w:rPr>
            <w:noProof/>
            <w:webHidden/>
          </w:rPr>
          <w:fldChar w:fldCharType="begin"/>
        </w:r>
        <w:r>
          <w:rPr>
            <w:noProof/>
            <w:webHidden/>
          </w:rPr>
          <w:instrText xml:space="preserve"> PAGEREF _Toc12445827 \h </w:instrText>
        </w:r>
        <w:r>
          <w:rPr>
            <w:noProof/>
            <w:webHidden/>
          </w:rPr>
        </w:r>
        <w:r>
          <w:rPr>
            <w:noProof/>
            <w:webHidden/>
          </w:rPr>
          <w:fldChar w:fldCharType="separate"/>
        </w:r>
        <w:r>
          <w:rPr>
            <w:noProof/>
            <w:webHidden/>
          </w:rPr>
          <w:t>8</w:t>
        </w:r>
        <w:r>
          <w:rPr>
            <w:noProof/>
            <w:webHidden/>
          </w:rPr>
          <w:fldChar w:fldCharType="end"/>
        </w:r>
      </w:hyperlink>
    </w:p>
    <w:p w14:paraId="162B8BEF" w14:textId="06AF6BF9" w:rsidR="0097492A" w:rsidRDefault="0097492A">
      <w:pPr>
        <w:pStyle w:val="TOC2"/>
        <w:tabs>
          <w:tab w:val="left" w:pos="880"/>
        </w:tabs>
        <w:rPr>
          <w:rFonts w:asciiTheme="minorHAnsi" w:eastAsiaTheme="minorEastAsia" w:hAnsiTheme="minorHAnsi" w:cstheme="minorBidi"/>
          <w:noProof/>
          <w:sz w:val="22"/>
          <w:szCs w:val="22"/>
        </w:rPr>
      </w:pPr>
      <w:hyperlink w:anchor="_Toc12445828" w:history="1">
        <w:r w:rsidRPr="00B93AC2">
          <w:rPr>
            <w:rStyle w:val="Hyperlink"/>
            <w:noProof/>
          </w:rPr>
          <w:t>1.3</w:t>
        </w:r>
        <w:r>
          <w:rPr>
            <w:rFonts w:asciiTheme="minorHAnsi" w:eastAsiaTheme="minorEastAsia" w:hAnsiTheme="minorHAnsi" w:cstheme="minorBidi"/>
            <w:noProof/>
            <w:sz w:val="22"/>
            <w:szCs w:val="22"/>
          </w:rPr>
          <w:tab/>
        </w:r>
        <w:r w:rsidRPr="00B93AC2">
          <w:rPr>
            <w:rStyle w:val="Hyperlink"/>
            <w:noProof/>
          </w:rPr>
          <w:t>Model Overview</w:t>
        </w:r>
        <w:r>
          <w:rPr>
            <w:noProof/>
            <w:webHidden/>
          </w:rPr>
          <w:tab/>
        </w:r>
        <w:r>
          <w:rPr>
            <w:noProof/>
            <w:webHidden/>
          </w:rPr>
          <w:fldChar w:fldCharType="begin"/>
        </w:r>
        <w:r>
          <w:rPr>
            <w:noProof/>
            <w:webHidden/>
          </w:rPr>
          <w:instrText xml:space="preserve"> PAGEREF _Toc12445828 \h </w:instrText>
        </w:r>
        <w:r>
          <w:rPr>
            <w:noProof/>
            <w:webHidden/>
          </w:rPr>
        </w:r>
        <w:r>
          <w:rPr>
            <w:noProof/>
            <w:webHidden/>
          </w:rPr>
          <w:fldChar w:fldCharType="separate"/>
        </w:r>
        <w:r>
          <w:rPr>
            <w:noProof/>
            <w:webHidden/>
          </w:rPr>
          <w:t>11</w:t>
        </w:r>
        <w:r>
          <w:rPr>
            <w:noProof/>
            <w:webHidden/>
          </w:rPr>
          <w:fldChar w:fldCharType="end"/>
        </w:r>
      </w:hyperlink>
    </w:p>
    <w:p w14:paraId="1FA3FB36" w14:textId="26210AA6" w:rsidR="0097492A" w:rsidRDefault="0097492A">
      <w:pPr>
        <w:pStyle w:val="TOC1"/>
        <w:tabs>
          <w:tab w:val="left" w:pos="475"/>
        </w:tabs>
        <w:rPr>
          <w:rFonts w:asciiTheme="minorHAnsi" w:eastAsiaTheme="minorEastAsia" w:hAnsiTheme="minorHAnsi" w:cstheme="minorBidi"/>
          <w:noProof/>
          <w:sz w:val="22"/>
          <w:szCs w:val="22"/>
        </w:rPr>
      </w:pPr>
      <w:hyperlink w:anchor="_Toc12445829" w:history="1">
        <w:r w:rsidRPr="00B93AC2">
          <w:rPr>
            <w:rStyle w:val="Hyperlink"/>
            <w:noProof/>
          </w:rPr>
          <w:t>2</w:t>
        </w:r>
        <w:r>
          <w:rPr>
            <w:rFonts w:asciiTheme="minorHAnsi" w:eastAsiaTheme="minorEastAsia" w:hAnsiTheme="minorHAnsi" w:cstheme="minorBidi"/>
            <w:noProof/>
            <w:sz w:val="22"/>
            <w:szCs w:val="22"/>
          </w:rPr>
          <w:tab/>
        </w:r>
        <w:r w:rsidRPr="00B93AC2">
          <w:rPr>
            <w:rStyle w:val="Hyperlink"/>
            <w:noProof/>
          </w:rPr>
          <w:t>Natural Gas Avoided Cost Updates</w:t>
        </w:r>
        <w:r>
          <w:rPr>
            <w:noProof/>
            <w:webHidden/>
          </w:rPr>
          <w:tab/>
        </w:r>
        <w:r>
          <w:rPr>
            <w:noProof/>
            <w:webHidden/>
          </w:rPr>
          <w:fldChar w:fldCharType="begin"/>
        </w:r>
        <w:r>
          <w:rPr>
            <w:noProof/>
            <w:webHidden/>
          </w:rPr>
          <w:instrText xml:space="preserve"> PAGEREF _Toc12445829 \h </w:instrText>
        </w:r>
        <w:r>
          <w:rPr>
            <w:noProof/>
            <w:webHidden/>
          </w:rPr>
        </w:r>
        <w:r>
          <w:rPr>
            <w:noProof/>
            <w:webHidden/>
          </w:rPr>
          <w:fldChar w:fldCharType="separate"/>
        </w:r>
        <w:r>
          <w:rPr>
            <w:noProof/>
            <w:webHidden/>
          </w:rPr>
          <w:t>13</w:t>
        </w:r>
        <w:r>
          <w:rPr>
            <w:noProof/>
            <w:webHidden/>
          </w:rPr>
          <w:fldChar w:fldCharType="end"/>
        </w:r>
      </w:hyperlink>
    </w:p>
    <w:p w14:paraId="70E9009C" w14:textId="47E7DD53" w:rsidR="0097492A" w:rsidRDefault="0097492A">
      <w:pPr>
        <w:pStyle w:val="TOC1"/>
        <w:tabs>
          <w:tab w:val="left" w:pos="475"/>
        </w:tabs>
        <w:rPr>
          <w:rFonts w:asciiTheme="minorHAnsi" w:eastAsiaTheme="minorEastAsia" w:hAnsiTheme="minorHAnsi" w:cstheme="minorBidi"/>
          <w:noProof/>
          <w:sz w:val="22"/>
          <w:szCs w:val="22"/>
        </w:rPr>
      </w:pPr>
      <w:hyperlink w:anchor="_Toc12445830" w:history="1">
        <w:r w:rsidRPr="00B93AC2">
          <w:rPr>
            <w:rStyle w:val="Hyperlink"/>
            <w:noProof/>
          </w:rPr>
          <w:t>3</w:t>
        </w:r>
        <w:r>
          <w:rPr>
            <w:rFonts w:asciiTheme="minorHAnsi" w:eastAsiaTheme="minorEastAsia" w:hAnsiTheme="minorHAnsi" w:cstheme="minorBidi"/>
            <w:noProof/>
            <w:sz w:val="22"/>
            <w:szCs w:val="22"/>
          </w:rPr>
          <w:tab/>
        </w:r>
        <w:r w:rsidRPr="00B93AC2">
          <w:rPr>
            <w:rStyle w:val="Hyperlink"/>
            <w:noProof/>
          </w:rPr>
          <w:t>Overview of Electricity Avoided Cost Components</w:t>
        </w:r>
        <w:r>
          <w:rPr>
            <w:noProof/>
            <w:webHidden/>
          </w:rPr>
          <w:tab/>
        </w:r>
        <w:r>
          <w:rPr>
            <w:noProof/>
            <w:webHidden/>
          </w:rPr>
          <w:fldChar w:fldCharType="begin"/>
        </w:r>
        <w:r>
          <w:rPr>
            <w:noProof/>
            <w:webHidden/>
          </w:rPr>
          <w:instrText xml:space="preserve"> PAGEREF _Toc12445830 \h </w:instrText>
        </w:r>
        <w:r>
          <w:rPr>
            <w:noProof/>
            <w:webHidden/>
          </w:rPr>
        </w:r>
        <w:r>
          <w:rPr>
            <w:noProof/>
            <w:webHidden/>
          </w:rPr>
          <w:fldChar w:fldCharType="separate"/>
        </w:r>
        <w:r>
          <w:rPr>
            <w:noProof/>
            <w:webHidden/>
          </w:rPr>
          <w:t>17</w:t>
        </w:r>
        <w:r>
          <w:rPr>
            <w:noProof/>
            <w:webHidden/>
          </w:rPr>
          <w:fldChar w:fldCharType="end"/>
        </w:r>
      </w:hyperlink>
    </w:p>
    <w:p w14:paraId="35C95124" w14:textId="5F509B7A" w:rsidR="0097492A" w:rsidRDefault="0097492A">
      <w:pPr>
        <w:pStyle w:val="TOC1"/>
        <w:tabs>
          <w:tab w:val="left" w:pos="475"/>
        </w:tabs>
        <w:rPr>
          <w:rFonts w:asciiTheme="minorHAnsi" w:eastAsiaTheme="minorEastAsia" w:hAnsiTheme="minorHAnsi" w:cstheme="minorBidi"/>
          <w:noProof/>
          <w:sz w:val="22"/>
          <w:szCs w:val="22"/>
        </w:rPr>
      </w:pPr>
      <w:hyperlink w:anchor="_Toc12445831" w:history="1">
        <w:r w:rsidRPr="00B93AC2">
          <w:rPr>
            <w:rStyle w:val="Hyperlink"/>
            <w:noProof/>
          </w:rPr>
          <w:t>4</w:t>
        </w:r>
        <w:r>
          <w:rPr>
            <w:rFonts w:asciiTheme="minorHAnsi" w:eastAsiaTheme="minorEastAsia" w:hAnsiTheme="minorHAnsi" w:cstheme="minorBidi"/>
            <w:noProof/>
            <w:sz w:val="22"/>
            <w:szCs w:val="22"/>
          </w:rPr>
          <w:tab/>
        </w:r>
        <w:r w:rsidRPr="00B93AC2">
          <w:rPr>
            <w:rStyle w:val="Hyperlink"/>
            <w:noProof/>
          </w:rPr>
          <w:t>Avoided Cost Methodology</w:t>
        </w:r>
        <w:r>
          <w:rPr>
            <w:noProof/>
            <w:webHidden/>
          </w:rPr>
          <w:tab/>
        </w:r>
        <w:r>
          <w:rPr>
            <w:noProof/>
            <w:webHidden/>
          </w:rPr>
          <w:fldChar w:fldCharType="begin"/>
        </w:r>
        <w:r>
          <w:rPr>
            <w:noProof/>
            <w:webHidden/>
          </w:rPr>
          <w:instrText xml:space="preserve"> PAGEREF _Toc12445831 \h </w:instrText>
        </w:r>
        <w:r>
          <w:rPr>
            <w:noProof/>
            <w:webHidden/>
          </w:rPr>
        </w:r>
        <w:r>
          <w:rPr>
            <w:noProof/>
            <w:webHidden/>
          </w:rPr>
          <w:fldChar w:fldCharType="separate"/>
        </w:r>
        <w:r>
          <w:rPr>
            <w:noProof/>
            <w:webHidden/>
          </w:rPr>
          <w:t>21</w:t>
        </w:r>
        <w:r>
          <w:rPr>
            <w:noProof/>
            <w:webHidden/>
          </w:rPr>
          <w:fldChar w:fldCharType="end"/>
        </w:r>
      </w:hyperlink>
    </w:p>
    <w:p w14:paraId="073A9E49" w14:textId="6F5BC834" w:rsidR="0097492A" w:rsidRDefault="0097492A">
      <w:pPr>
        <w:pStyle w:val="TOC2"/>
        <w:tabs>
          <w:tab w:val="left" w:pos="880"/>
        </w:tabs>
        <w:rPr>
          <w:rFonts w:asciiTheme="minorHAnsi" w:eastAsiaTheme="minorEastAsia" w:hAnsiTheme="minorHAnsi" w:cstheme="minorBidi"/>
          <w:noProof/>
          <w:sz w:val="22"/>
          <w:szCs w:val="22"/>
        </w:rPr>
      </w:pPr>
      <w:hyperlink w:anchor="_Toc12445832" w:history="1">
        <w:r w:rsidRPr="00B93AC2">
          <w:rPr>
            <w:rStyle w:val="Hyperlink"/>
            <w:noProof/>
          </w:rPr>
          <w:t>4.1</w:t>
        </w:r>
        <w:r>
          <w:rPr>
            <w:rFonts w:asciiTheme="minorHAnsi" w:eastAsiaTheme="minorEastAsia" w:hAnsiTheme="minorHAnsi" w:cstheme="minorBidi"/>
            <w:noProof/>
            <w:sz w:val="22"/>
            <w:szCs w:val="22"/>
          </w:rPr>
          <w:tab/>
        </w:r>
        <w:r w:rsidRPr="00B93AC2">
          <w:rPr>
            <w:rStyle w:val="Hyperlink"/>
            <w:noProof/>
          </w:rPr>
          <w:t>Natural Gas</w:t>
        </w:r>
        <w:r>
          <w:rPr>
            <w:noProof/>
            <w:webHidden/>
          </w:rPr>
          <w:tab/>
        </w:r>
        <w:r>
          <w:rPr>
            <w:noProof/>
            <w:webHidden/>
          </w:rPr>
          <w:fldChar w:fldCharType="begin"/>
        </w:r>
        <w:r>
          <w:rPr>
            <w:noProof/>
            <w:webHidden/>
          </w:rPr>
          <w:instrText xml:space="preserve"> PAGEREF _Toc12445832 \h </w:instrText>
        </w:r>
        <w:r>
          <w:rPr>
            <w:noProof/>
            <w:webHidden/>
          </w:rPr>
        </w:r>
        <w:r>
          <w:rPr>
            <w:noProof/>
            <w:webHidden/>
          </w:rPr>
          <w:fldChar w:fldCharType="separate"/>
        </w:r>
        <w:r>
          <w:rPr>
            <w:noProof/>
            <w:webHidden/>
          </w:rPr>
          <w:t>21</w:t>
        </w:r>
        <w:r>
          <w:rPr>
            <w:noProof/>
            <w:webHidden/>
          </w:rPr>
          <w:fldChar w:fldCharType="end"/>
        </w:r>
      </w:hyperlink>
    </w:p>
    <w:p w14:paraId="6ED6FF94" w14:textId="32EEED48" w:rsidR="0097492A" w:rsidRDefault="0097492A">
      <w:pPr>
        <w:pStyle w:val="TOC3"/>
        <w:tabs>
          <w:tab w:val="left" w:pos="1320"/>
        </w:tabs>
        <w:rPr>
          <w:rFonts w:asciiTheme="minorHAnsi" w:eastAsiaTheme="minorEastAsia" w:hAnsiTheme="minorHAnsi" w:cstheme="minorBidi"/>
          <w:noProof/>
          <w:sz w:val="22"/>
          <w:szCs w:val="22"/>
        </w:rPr>
      </w:pPr>
      <w:hyperlink w:anchor="_Toc12445833" w:history="1">
        <w:r w:rsidRPr="00B93AC2">
          <w:rPr>
            <w:rStyle w:val="Hyperlink"/>
            <w:noProof/>
          </w:rPr>
          <w:t>4.1.1</w:t>
        </w:r>
        <w:r>
          <w:rPr>
            <w:rFonts w:asciiTheme="minorHAnsi" w:eastAsiaTheme="minorEastAsia" w:hAnsiTheme="minorHAnsi" w:cstheme="minorBidi"/>
            <w:noProof/>
            <w:sz w:val="22"/>
            <w:szCs w:val="22"/>
          </w:rPr>
          <w:tab/>
        </w:r>
        <w:r w:rsidRPr="00B93AC2">
          <w:rPr>
            <w:rStyle w:val="Hyperlink"/>
            <w:noProof/>
          </w:rPr>
          <w:t>Continental natural gas market</w:t>
        </w:r>
        <w:r>
          <w:rPr>
            <w:noProof/>
            <w:webHidden/>
          </w:rPr>
          <w:tab/>
        </w:r>
        <w:r>
          <w:rPr>
            <w:noProof/>
            <w:webHidden/>
          </w:rPr>
          <w:fldChar w:fldCharType="begin"/>
        </w:r>
        <w:r>
          <w:rPr>
            <w:noProof/>
            <w:webHidden/>
          </w:rPr>
          <w:instrText xml:space="preserve"> PAGEREF _Toc12445833 \h </w:instrText>
        </w:r>
        <w:r>
          <w:rPr>
            <w:noProof/>
            <w:webHidden/>
          </w:rPr>
        </w:r>
        <w:r>
          <w:rPr>
            <w:noProof/>
            <w:webHidden/>
          </w:rPr>
          <w:fldChar w:fldCharType="separate"/>
        </w:r>
        <w:r>
          <w:rPr>
            <w:noProof/>
            <w:webHidden/>
          </w:rPr>
          <w:t>21</w:t>
        </w:r>
        <w:r>
          <w:rPr>
            <w:noProof/>
            <w:webHidden/>
          </w:rPr>
          <w:fldChar w:fldCharType="end"/>
        </w:r>
      </w:hyperlink>
    </w:p>
    <w:p w14:paraId="4917BF49" w14:textId="6327E1A1" w:rsidR="0097492A" w:rsidRDefault="0097492A">
      <w:pPr>
        <w:pStyle w:val="TOC3"/>
        <w:tabs>
          <w:tab w:val="left" w:pos="1320"/>
        </w:tabs>
        <w:rPr>
          <w:rFonts w:asciiTheme="minorHAnsi" w:eastAsiaTheme="minorEastAsia" w:hAnsiTheme="minorHAnsi" w:cstheme="minorBidi"/>
          <w:noProof/>
          <w:sz w:val="22"/>
          <w:szCs w:val="22"/>
        </w:rPr>
      </w:pPr>
      <w:hyperlink w:anchor="_Toc12445834" w:history="1">
        <w:r w:rsidRPr="00B93AC2">
          <w:rPr>
            <w:rStyle w:val="Hyperlink"/>
            <w:noProof/>
          </w:rPr>
          <w:t>4.1.2</w:t>
        </w:r>
        <w:r>
          <w:rPr>
            <w:rFonts w:asciiTheme="minorHAnsi" w:eastAsiaTheme="minorEastAsia" w:hAnsiTheme="minorHAnsi" w:cstheme="minorBidi"/>
            <w:noProof/>
            <w:sz w:val="22"/>
            <w:szCs w:val="22"/>
          </w:rPr>
          <w:tab/>
        </w:r>
        <w:r w:rsidRPr="00B93AC2">
          <w:rPr>
            <w:rStyle w:val="Hyperlink"/>
            <w:noProof/>
          </w:rPr>
          <w:t>Natural gas commodity</w:t>
        </w:r>
        <w:r>
          <w:rPr>
            <w:noProof/>
            <w:webHidden/>
          </w:rPr>
          <w:tab/>
        </w:r>
        <w:r>
          <w:rPr>
            <w:noProof/>
            <w:webHidden/>
          </w:rPr>
          <w:fldChar w:fldCharType="begin"/>
        </w:r>
        <w:r>
          <w:rPr>
            <w:noProof/>
            <w:webHidden/>
          </w:rPr>
          <w:instrText xml:space="preserve"> PAGEREF _Toc12445834 \h </w:instrText>
        </w:r>
        <w:r>
          <w:rPr>
            <w:noProof/>
            <w:webHidden/>
          </w:rPr>
        </w:r>
        <w:r>
          <w:rPr>
            <w:noProof/>
            <w:webHidden/>
          </w:rPr>
          <w:fldChar w:fldCharType="separate"/>
        </w:r>
        <w:r>
          <w:rPr>
            <w:noProof/>
            <w:webHidden/>
          </w:rPr>
          <w:t>24</w:t>
        </w:r>
        <w:r>
          <w:rPr>
            <w:noProof/>
            <w:webHidden/>
          </w:rPr>
          <w:fldChar w:fldCharType="end"/>
        </w:r>
      </w:hyperlink>
    </w:p>
    <w:p w14:paraId="2F122A5D" w14:textId="268E5669" w:rsidR="0097492A" w:rsidRDefault="0097492A">
      <w:pPr>
        <w:pStyle w:val="TOC3"/>
        <w:tabs>
          <w:tab w:val="left" w:pos="1320"/>
        </w:tabs>
        <w:rPr>
          <w:rFonts w:asciiTheme="minorHAnsi" w:eastAsiaTheme="minorEastAsia" w:hAnsiTheme="minorHAnsi" w:cstheme="minorBidi"/>
          <w:noProof/>
          <w:sz w:val="22"/>
          <w:szCs w:val="22"/>
        </w:rPr>
      </w:pPr>
      <w:hyperlink w:anchor="_Toc12445835" w:history="1">
        <w:r w:rsidRPr="00B93AC2">
          <w:rPr>
            <w:rStyle w:val="Hyperlink"/>
            <w:noProof/>
          </w:rPr>
          <w:t>4.1.3</w:t>
        </w:r>
        <w:r>
          <w:rPr>
            <w:rFonts w:asciiTheme="minorHAnsi" w:eastAsiaTheme="minorEastAsia" w:hAnsiTheme="minorHAnsi" w:cstheme="minorBidi"/>
            <w:noProof/>
            <w:sz w:val="22"/>
            <w:szCs w:val="22"/>
          </w:rPr>
          <w:tab/>
        </w:r>
        <w:r w:rsidRPr="00B93AC2">
          <w:rPr>
            <w:rStyle w:val="Hyperlink"/>
            <w:noProof/>
          </w:rPr>
          <w:t>Avoidable marginal distribution costs for core customers</w:t>
        </w:r>
        <w:r>
          <w:rPr>
            <w:noProof/>
            <w:webHidden/>
          </w:rPr>
          <w:tab/>
        </w:r>
        <w:r>
          <w:rPr>
            <w:noProof/>
            <w:webHidden/>
          </w:rPr>
          <w:fldChar w:fldCharType="begin"/>
        </w:r>
        <w:r>
          <w:rPr>
            <w:noProof/>
            <w:webHidden/>
          </w:rPr>
          <w:instrText xml:space="preserve"> PAGEREF _Toc12445835 \h </w:instrText>
        </w:r>
        <w:r>
          <w:rPr>
            <w:noProof/>
            <w:webHidden/>
          </w:rPr>
        </w:r>
        <w:r>
          <w:rPr>
            <w:noProof/>
            <w:webHidden/>
          </w:rPr>
          <w:fldChar w:fldCharType="separate"/>
        </w:r>
        <w:r>
          <w:rPr>
            <w:noProof/>
            <w:webHidden/>
          </w:rPr>
          <w:t>25</w:t>
        </w:r>
        <w:r>
          <w:rPr>
            <w:noProof/>
            <w:webHidden/>
          </w:rPr>
          <w:fldChar w:fldCharType="end"/>
        </w:r>
      </w:hyperlink>
    </w:p>
    <w:p w14:paraId="66EFF944" w14:textId="306C9691" w:rsidR="0097492A" w:rsidRDefault="0097492A">
      <w:pPr>
        <w:pStyle w:val="TOC3"/>
        <w:tabs>
          <w:tab w:val="left" w:pos="1320"/>
        </w:tabs>
        <w:rPr>
          <w:rFonts w:asciiTheme="minorHAnsi" w:eastAsiaTheme="minorEastAsia" w:hAnsiTheme="minorHAnsi" w:cstheme="minorBidi"/>
          <w:noProof/>
          <w:sz w:val="22"/>
          <w:szCs w:val="22"/>
        </w:rPr>
      </w:pPr>
      <w:hyperlink w:anchor="_Toc12445836" w:history="1">
        <w:r w:rsidRPr="00B93AC2">
          <w:rPr>
            <w:rStyle w:val="Hyperlink"/>
            <w:noProof/>
          </w:rPr>
          <w:t>4.1.4</w:t>
        </w:r>
        <w:r>
          <w:rPr>
            <w:rFonts w:asciiTheme="minorHAnsi" w:eastAsiaTheme="minorEastAsia" w:hAnsiTheme="minorHAnsi" w:cstheme="minorBidi"/>
            <w:noProof/>
            <w:sz w:val="22"/>
            <w:szCs w:val="22"/>
          </w:rPr>
          <w:tab/>
        </w:r>
        <w:r w:rsidRPr="00B93AC2">
          <w:rPr>
            <w:rStyle w:val="Hyperlink"/>
            <w:noProof/>
          </w:rPr>
          <w:t>Transportation charges for electric generators</w:t>
        </w:r>
        <w:r>
          <w:rPr>
            <w:noProof/>
            <w:webHidden/>
          </w:rPr>
          <w:tab/>
        </w:r>
        <w:r>
          <w:rPr>
            <w:noProof/>
            <w:webHidden/>
          </w:rPr>
          <w:fldChar w:fldCharType="begin"/>
        </w:r>
        <w:r>
          <w:rPr>
            <w:noProof/>
            <w:webHidden/>
          </w:rPr>
          <w:instrText xml:space="preserve"> PAGEREF _Toc12445836 \h </w:instrText>
        </w:r>
        <w:r>
          <w:rPr>
            <w:noProof/>
            <w:webHidden/>
          </w:rPr>
        </w:r>
        <w:r>
          <w:rPr>
            <w:noProof/>
            <w:webHidden/>
          </w:rPr>
          <w:fldChar w:fldCharType="separate"/>
        </w:r>
        <w:r>
          <w:rPr>
            <w:noProof/>
            <w:webHidden/>
          </w:rPr>
          <w:t>25</w:t>
        </w:r>
        <w:r>
          <w:rPr>
            <w:noProof/>
            <w:webHidden/>
          </w:rPr>
          <w:fldChar w:fldCharType="end"/>
        </w:r>
      </w:hyperlink>
    </w:p>
    <w:p w14:paraId="1F3A8A7C" w14:textId="650D1E47" w:rsidR="0097492A" w:rsidRDefault="0097492A">
      <w:pPr>
        <w:pStyle w:val="TOC2"/>
        <w:tabs>
          <w:tab w:val="left" w:pos="880"/>
        </w:tabs>
        <w:rPr>
          <w:rFonts w:asciiTheme="minorHAnsi" w:eastAsiaTheme="minorEastAsia" w:hAnsiTheme="minorHAnsi" w:cstheme="minorBidi"/>
          <w:noProof/>
          <w:sz w:val="22"/>
          <w:szCs w:val="22"/>
        </w:rPr>
      </w:pPr>
      <w:hyperlink w:anchor="_Toc12445837" w:history="1">
        <w:r w:rsidRPr="00B93AC2">
          <w:rPr>
            <w:rStyle w:val="Hyperlink"/>
            <w:noProof/>
          </w:rPr>
          <w:t>4.2</w:t>
        </w:r>
        <w:r>
          <w:rPr>
            <w:rFonts w:asciiTheme="minorHAnsi" w:eastAsiaTheme="minorEastAsia" w:hAnsiTheme="minorHAnsi" w:cstheme="minorBidi"/>
            <w:noProof/>
            <w:sz w:val="22"/>
            <w:szCs w:val="22"/>
          </w:rPr>
          <w:tab/>
        </w:r>
        <w:r w:rsidRPr="00B93AC2">
          <w:rPr>
            <w:rStyle w:val="Hyperlink"/>
            <w:noProof/>
          </w:rPr>
          <w:t>Generation Energy</w:t>
        </w:r>
        <w:r>
          <w:rPr>
            <w:noProof/>
            <w:webHidden/>
          </w:rPr>
          <w:tab/>
        </w:r>
        <w:r>
          <w:rPr>
            <w:noProof/>
            <w:webHidden/>
          </w:rPr>
          <w:fldChar w:fldCharType="begin"/>
        </w:r>
        <w:r>
          <w:rPr>
            <w:noProof/>
            <w:webHidden/>
          </w:rPr>
          <w:instrText xml:space="preserve"> PAGEREF _Toc12445837 \h </w:instrText>
        </w:r>
        <w:r>
          <w:rPr>
            <w:noProof/>
            <w:webHidden/>
          </w:rPr>
        </w:r>
        <w:r>
          <w:rPr>
            <w:noProof/>
            <w:webHidden/>
          </w:rPr>
          <w:fldChar w:fldCharType="separate"/>
        </w:r>
        <w:r>
          <w:rPr>
            <w:noProof/>
            <w:webHidden/>
          </w:rPr>
          <w:t>26</w:t>
        </w:r>
        <w:r>
          <w:rPr>
            <w:noProof/>
            <w:webHidden/>
          </w:rPr>
          <w:fldChar w:fldCharType="end"/>
        </w:r>
      </w:hyperlink>
    </w:p>
    <w:p w14:paraId="23DF764A" w14:textId="11021E8D" w:rsidR="0097492A" w:rsidRDefault="0097492A">
      <w:pPr>
        <w:pStyle w:val="TOC3"/>
        <w:tabs>
          <w:tab w:val="left" w:pos="1320"/>
        </w:tabs>
        <w:rPr>
          <w:rFonts w:asciiTheme="minorHAnsi" w:eastAsiaTheme="minorEastAsia" w:hAnsiTheme="minorHAnsi" w:cstheme="minorBidi"/>
          <w:noProof/>
          <w:sz w:val="22"/>
          <w:szCs w:val="22"/>
        </w:rPr>
      </w:pPr>
      <w:hyperlink w:anchor="_Toc12445838" w:history="1">
        <w:r w:rsidRPr="00B93AC2">
          <w:rPr>
            <w:rStyle w:val="Hyperlink"/>
            <w:noProof/>
          </w:rPr>
          <w:t>4.2.1</w:t>
        </w:r>
        <w:r>
          <w:rPr>
            <w:rFonts w:asciiTheme="minorHAnsi" w:eastAsiaTheme="minorEastAsia" w:hAnsiTheme="minorHAnsi" w:cstheme="minorBidi"/>
            <w:noProof/>
            <w:sz w:val="22"/>
            <w:szCs w:val="22"/>
          </w:rPr>
          <w:tab/>
        </w:r>
        <w:r w:rsidRPr="00B93AC2">
          <w:rPr>
            <w:rStyle w:val="Hyperlink"/>
            <w:noProof/>
          </w:rPr>
          <w:t>Determination of energy market values</w:t>
        </w:r>
        <w:r>
          <w:rPr>
            <w:noProof/>
            <w:webHidden/>
          </w:rPr>
          <w:tab/>
        </w:r>
        <w:r>
          <w:rPr>
            <w:noProof/>
            <w:webHidden/>
          </w:rPr>
          <w:fldChar w:fldCharType="begin"/>
        </w:r>
        <w:r>
          <w:rPr>
            <w:noProof/>
            <w:webHidden/>
          </w:rPr>
          <w:instrText xml:space="preserve"> PAGEREF _Toc12445838 \h </w:instrText>
        </w:r>
        <w:r>
          <w:rPr>
            <w:noProof/>
            <w:webHidden/>
          </w:rPr>
        </w:r>
        <w:r>
          <w:rPr>
            <w:noProof/>
            <w:webHidden/>
          </w:rPr>
          <w:fldChar w:fldCharType="separate"/>
        </w:r>
        <w:r>
          <w:rPr>
            <w:noProof/>
            <w:webHidden/>
          </w:rPr>
          <w:t>27</w:t>
        </w:r>
        <w:r>
          <w:rPr>
            <w:noProof/>
            <w:webHidden/>
          </w:rPr>
          <w:fldChar w:fldCharType="end"/>
        </w:r>
      </w:hyperlink>
    </w:p>
    <w:p w14:paraId="4EC9B40C" w14:textId="3543C88E" w:rsidR="0097492A" w:rsidRDefault="0097492A">
      <w:pPr>
        <w:pStyle w:val="TOC3"/>
        <w:tabs>
          <w:tab w:val="left" w:pos="1320"/>
        </w:tabs>
        <w:rPr>
          <w:rFonts w:asciiTheme="minorHAnsi" w:eastAsiaTheme="minorEastAsia" w:hAnsiTheme="minorHAnsi" w:cstheme="minorBidi"/>
          <w:noProof/>
          <w:sz w:val="22"/>
          <w:szCs w:val="22"/>
        </w:rPr>
      </w:pPr>
      <w:hyperlink w:anchor="_Toc12445839" w:history="1">
        <w:r w:rsidRPr="00B93AC2">
          <w:rPr>
            <w:rStyle w:val="Hyperlink"/>
            <w:noProof/>
          </w:rPr>
          <w:t>4.2.2</w:t>
        </w:r>
        <w:r>
          <w:rPr>
            <w:rFonts w:asciiTheme="minorHAnsi" w:eastAsiaTheme="minorEastAsia" w:hAnsiTheme="minorHAnsi" w:cstheme="minorBidi"/>
            <w:noProof/>
            <w:sz w:val="22"/>
            <w:szCs w:val="22"/>
          </w:rPr>
          <w:tab/>
        </w:r>
        <w:r w:rsidRPr="00B93AC2">
          <w:rPr>
            <w:rStyle w:val="Hyperlink"/>
            <w:noProof/>
          </w:rPr>
          <w:t>Hourly Allocation of Energy Costs</w:t>
        </w:r>
        <w:r>
          <w:rPr>
            <w:noProof/>
            <w:webHidden/>
          </w:rPr>
          <w:tab/>
        </w:r>
        <w:r>
          <w:rPr>
            <w:noProof/>
            <w:webHidden/>
          </w:rPr>
          <w:fldChar w:fldCharType="begin"/>
        </w:r>
        <w:r>
          <w:rPr>
            <w:noProof/>
            <w:webHidden/>
          </w:rPr>
          <w:instrText xml:space="preserve"> PAGEREF _Toc12445839 \h </w:instrText>
        </w:r>
        <w:r>
          <w:rPr>
            <w:noProof/>
            <w:webHidden/>
          </w:rPr>
        </w:r>
        <w:r>
          <w:rPr>
            <w:noProof/>
            <w:webHidden/>
          </w:rPr>
          <w:fldChar w:fldCharType="separate"/>
        </w:r>
        <w:r>
          <w:rPr>
            <w:noProof/>
            <w:webHidden/>
          </w:rPr>
          <w:t>29</w:t>
        </w:r>
        <w:r>
          <w:rPr>
            <w:noProof/>
            <w:webHidden/>
          </w:rPr>
          <w:fldChar w:fldCharType="end"/>
        </w:r>
      </w:hyperlink>
    </w:p>
    <w:p w14:paraId="2B0D0EEC" w14:textId="091E109B" w:rsidR="0097492A" w:rsidRDefault="0097492A">
      <w:pPr>
        <w:pStyle w:val="TOC2"/>
        <w:tabs>
          <w:tab w:val="left" w:pos="880"/>
        </w:tabs>
        <w:rPr>
          <w:rFonts w:asciiTheme="minorHAnsi" w:eastAsiaTheme="minorEastAsia" w:hAnsiTheme="minorHAnsi" w:cstheme="minorBidi"/>
          <w:noProof/>
          <w:sz w:val="22"/>
          <w:szCs w:val="22"/>
        </w:rPr>
      </w:pPr>
      <w:hyperlink w:anchor="_Toc12445840" w:history="1">
        <w:r w:rsidRPr="00B93AC2">
          <w:rPr>
            <w:rStyle w:val="Hyperlink"/>
            <w:noProof/>
          </w:rPr>
          <w:t>4.3</w:t>
        </w:r>
        <w:r>
          <w:rPr>
            <w:rFonts w:asciiTheme="minorHAnsi" w:eastAsiaTheme="minorEastAsia" w:hAnsiTheme="minorHAnsi" w:cstheme="minorBidi"/>
            <w:noProof/>
            <w:sz w:val="22"/>
            <w:szCs w:val="22"/>
          </w:rPr>
          <w:tab/>
        </w:r>
        <w:r w:rsidRPr="00B93AC2">
          <w:rPr>
            <w:rStyle w:val="Hyperlink"/>
            <w:noProof/>
          </w:rPr>
          <w:t>Generation Capacity</w:t>
        </w:r>
        <w:r>
          <w:rPr>
            <w:noProof/>
            <w:webHidden/>
          </w:rPr>
          <w:tab/>
        </w:r>
        <w:r>
          <w:rPr>
            <w:noProof/>
            <w:webHidden/>
          </w:rPr>
          <w:fldChar w:fldCharType="begin"/>
        </w:r>
        <w:r>
          <w:rPr>
            <w:noProof/>
            <w:webHidden/>
          </w:rPr>
          <w:instrText xml:space="preserve"> PAGEREF _Toc12445840 \h </w:instrText>
        </w:r>
        <w:r>
          <w:rPr>
            <w:noProof/>
            <w:webHidden/>
          </w:rPr>
        </w:r>
        <w:r>
          <w:rPr>
            <w:noProof/>
            <w:webHidden/>
          </w:rPr>
          <w:fldChar w:fldCharType="separate"/>
        </w:r>
        <w:r>
          <w:rPr>
            <w:noProof/>
            <w:webHidden/>
          </w:rPr>
          <w:t>30</w:t>
        </w:r>
        <w:r>
          <w:rPr>
            <w:noProof/>
            <w:webHidden/>
          </w:rPr>
          <w:fldChar w:fldCharType="end"/>
        </w:r>
      </w:hyperlink>
    </w:p>
    <w:p w14:paraId="2F02300E" w14:textId="5914E6B3" w:rsidR="0097492A" w:rsidRDefault="0097492A">
      <w:pPr>
        <w:pStyle w:val="TOC3"/>
        <w:tabs>
          <w:tab w:val="left" w:pos="1320"/>
        </w:tabs>
        <w:rPr>
          <w:rFonts w:asciiTheme="minorHAnsi" w:eastAsiaTheme="minorEastAsia" w:hAnsiTheme="minorHAnsi" w:cstheme="minorBidi"/>
          <w:noProof/>
          <w:sz w:val="22"/>
          <w:szCs w:val="22"/>
        </w:rPr>
      </w:pPr>
      <w:hyperlink w:anchor="_Toc12445841" w:history="1">
        <w:r w:rsidRPr="00B93AC2">
          <w:rPr>
            <w:rStyle w:val="Hyperlink"/>
            <w:noProof/>
          </w:rPr>
          <w:t>4.3.1</w:t>
        </w:r>
        <w:r>
          <w:rPr>
            <w:rFonts w:asciiTheme="minorHAnsi" w:eastAsiaTheme="minorEastAsia" w:hAnsiTheme="minorHAnsi" w:cstheme="minorBidi"/>
            <w:noProof/>
            <w:sz w:val="22"/>
            <w:szCs w:val="22"/>
          </w:rPr>
          <w:tab/>
        </w:r>
        <w:r w:rsidRPr="00B93AC2">
          <w:rPr>
            <w:rStyle w:val="Hyperlink"/>
            <w:noProof/>
          </w:rPr>
          <w:t>Generation resource balance year</w:t>
        </w:r>
        <w:r>
          <w:rPr>
            <w:noProof/>
            <w:webHidden/>
          </w:rPr>
          <w:tab/>
        </w:r>
        <w:r>
          <w:rPr>
            <w:noProof/>
            <w:webHidden/>
          </w:rPr>
          <w:fldChar w:fldCharType="begin"/>
        </w:r>
        <w:r>
          <w:rPr>
            <w:noProof/>
            <w:webHidden/>
          </w:rPr>
          <w:instrText xml:space="preserve"> PAGEREF _Toc12445841 \h </w:instrText>
        </w:r>
        <w:r>
          <w:rPr>
            <w:noProof/>
            <w:webHidden/>
          </w:rPr>
        </w:r>
        <w:r>
          <w:rPr>
            <w:noProof/>
            <w:webHidden/>
          </w:rPr>
          <w:fldChar w:fldCharType="separate"/>
        </w:r>
        <w:r>
          <w:rPr>
            <w:noProof/>
            <w:webHidden/>
          </w:rPr>
          <w:t>31</w:t>
        </w:r>
        <w:r>
          <w:rPr>
            <w:noProof/>
            <w:webHidden/>
          </w:rPr>
          <w:fldChar w:fldCharType="end"/>
        </w:r>
      </w:hyperlink>
    </w:p>
    <w:p w14:paraId="01FA4508" w14:textId="564D2B11" w:rsidR="0097492A" w:rsidRDefault="0097492A">
      <w:pPr>
        <w:pStyle w:val="TOC3"/>
        <w:tabs>
          <w:tab w:val="left" w:pos="1320"/>
        </w:tabs>
        <w:rPr>
          <w:rFonts w:asciiTheme="minorHAnsi" w:eastAsiaTheme="minorEastAsia" w:hAnsiTheme="minorHAnsi" w:cstheme="minorBidi"/>
          <w:noProof/>
          <w:sz w:val="22"/>
          <w:szCs w:val="22"/>
        </w:rPr>
      </w:pPr>
      <w:hyperlink w:anchor="_Toc12445842" w:history="1">
        <w:r w:rsidRPr="00B93AC2">
          <w:rPr>
            <w:rStyle w:val="Hyperlink"/>
            <w:noProof/>
          </w:rPr>
          <w:t>4.3.2</w:t>
        </w:r>
        <w:r>
          <w:rPr>
            <w:rFonts w:asciiTheme="minorHAnsi" w:eastAsiaTheme="minorEastAsia" w:hAnsiTheme="minorHAnsi" w:cstheme="minorBidi"/>
            <w:noProof/>
            <w:sz w:val="22"/>
            <w:szCs w:val="22"/>
          </w:rPr>
          <w:tab/>
        </w:r>
        <w:r w:rsidRPr="00B93AC2">
          <w:rPr>
            <w:rStyle w:val="Hyperlink"/>
            <w:noProof/>
          </w:rPr>
          <w:t>CT dispatch</w:t>
        </w:r>
        <w:r>
          <w:rPr>
            <w:noProof/>
            <w:webHidden/>
          </w:rPr>
          <w:tab/>
        </w:r>
        <w:r>
          <w:rPr>
            <w:noProof/>
            <w:webHidden/>
          </w:rPr>
          <w:fldChar w:fldCharType="begin"/>
        </w:r>
        <w:r>
          <w:rPr>
            <w:noProof/>
            <w:webHidden/>
          </w:rPr>
          <w:instrText xml:space="preserve"> PAGEREF _Toc12445842 \h </w:instrText>
        </w:r>
        <w:r>
          <w:rPr>
            <w:noProof/>
            <w:webHidden/>
          </w:rPr>
        </w:r>
        <w:r>
          <w:rPr>
            <w:noProof/>
            <w:webHidden/>
          </w:rPr>
          <w:fldChar w:fldCharType="separate"/>
        </w:r>
        <w:r>
          <w:rPr>
            <w:noProof/>
            <w:webHidden/>
          </w:rPr>
          <w:t>31</w:t>
        </w:r>
        <w:r>
          <w:rPr>
            <w:noProof/>
            <w:webHidden/>
          </w:rPr>
          <w:fldChar w:fldCharType="end"/>
        </w:r>
      </w:hyperlink>
    </w:p>
    <w:p w14:paraId="7937035E" w14:textId="24F11768" w:rsidR="0097492A" w:rsidRDefault="0097492A">
      <w:pPr>
        <w:pStyle w:val="TOC3"/>
        <w:tabs>
          <w:tab w:val="left" w:pos="1320"/>
        </w:tabs>
        <w:rPr>
          <w:rFonts w:asciiTheme="minorHAnsi" w:eastAsiaTheme="minorEastAsia" w:hAnsiTheme="minorHAnsi" w:cstheme="minorBidi"/>
          <w:noProof/>
          <w:sz w:val="22"/>
          <w:szCs w:val="22"/>
        </w:rPr>
      </w:pPr>
      <w:hyperlink w:anchor="_Toc12445843" w:history="1">
        <w:r w:rsidRPr="00B93AC2">
          <w:rPr>
            <w:rStyle w:val="Hyperlink"/>
            <w:noProof/>
          </w:rPr>
          <w:t>4.3.3</w:t>
        </w:r>
        <w:r>
          <w:rPr>
            <w:rFonts w:asciiTheme="minorHAnsi" w:eastAsiaTheme="minorEastAsia" w:hAnsiTheme="minorHAnsi" w:cstheme="minorBidi"/>
            <w:noProof/>
            <w:sz w:val="22"/>
            <w:szCs w:val="22"/>
          </w:rPr>
          <w:tab/>
        </w:r>
        <w:r w:rsidRPr="00B93AC2">
          <w:rPr>
            <w:rStyle w:val="Hyperlink"/>
            <w:noProof/>
          </w:rPr>
          <w:t>Temperature effect on unit performance</w:t>
        </w:r>
        <w:r>
          <w:rPr>
            <w:noProof/>
            <w:webHidden/>
          </w:rPr>
          <w:tab/>
        </w:r>
        <w:r>
          <w:rPr>
            <w:noProof/>
            <w:webHidden/>
          </w:rPr>
          <w:fldChar w:fldCharType="begin"/>
        </w:r>
        <w:r>
          <w:rPr>
            <w:noProof/>
            <w:webHidden/>
          </w:rPr>
          <w:instrText xml:space="preserve"> PAGEREF _Toc12445843 \h </w:instrText>
        </w:r>
        <w:r>
          <w:rPr>
            <w:noProof/>
            <w:webHidden/>
          </w:rPr>
        </w:r>
        <w:r>
          <w:rPr>
            <w:noProof/>
            <w:webHidden/>
          </w:rPr>
          <w:fldChar w:fldCharType="separate"/>
        </w:r>
        <w:r>
          <w:rPr>
            <w:noProof/>
            <w:webHidden/>
          </w:rPr>
          <w:t>33</w:t>
        </w:r>
        <w:r>
          <w:rPr>
            <w:noProof/>
            <w:webHidden/>
          </w:rPr>
          <w:fldChar w:fldCharType="end"/>
        </w:r>
      </w:hyperlink>
    </w:p>
    <w:p w14:paraId="4E892795" w14:textId="64B8991A" w:rsidR="0097492A" w:rsidRDefault="0097492A">
      <w:pPr>
        <w:pStyle w:val="TOC3"/>
        <w:tabs>
          <w:tab w:val="left" w:pos="1320"/>
        </w:tabs>
        <w:rPr>
          <w:rFonts w:asciiTheme="minorHAnsi" w:eastAsiaTheme="minorEastAsia" w:hAnsiTheme="minorHAnsi" w:cstheme="minorBidi"/>
          <w:noProof/>
          <w:sz w:val="22"/>
          <w:szCs w:val="22"/>
        </w:rPr>
      </w:pPr>
      <w:hyperlink w:anchor="_Toc12445844" w:history="1">
        <w:r w:rsidRPr="00B93AC2">
          <w:rPr>
            <w:rStyle w:val="Hyperlink"/>
            <w:noProof/>
          </w:rPr>
          <w:t>4.3.4</w:t>
        </w:r>
        <w:r>
          <w:rPr>
            <w:rFonts w:asciiTheme="minorHAnsi" w:eastAsiaTheme="minorEastAsia" w:hAnsiTheme="minorHAnsi" w:cstheme="minorBidi"/>
            <w:noProof/>
            <w:sz w:val="22"/>
            <w:szCs w:val="22"/>
          </w:rPr>
          <w:tab/>
        </w:r>
        <w:r w:rsidRPr="00B93AC2">
          <w:rPr>
            <w:rStyle w:val="Hyperlink"/>
            <w:noProof/>
          </w:rPr>
          <w:t>Planning reserve margin and losses</w:t>
        </w:r>
        <w:r>
          <w:rPr>
            <w:noProof/>
            <w:webHidden/>
          </w:rPr>
          <w:tab/>
        </w:r>
        <w:r>
          <w:rPr>
            <w:noProof/>
            <w:webHidden/>
          </w:rPr>
          <w:fldChar w:fldCharType="begin"/>
        </w:r>
        <w:r>
          <w:rPr>
            <w:noProof/>
            <w:webHidden/>
          </w:rPr>
          <w:instrText xml:space="preserve"> PAGEREF _Toc12445844 \h </w:instrText>
        </w:r>
        <w:r>
          <w:rPr>
            <w:noProof/>
            <w:webHidden/>
          </w:rPr>
        </w:r>
        <w:r>
          <w:rPr>
            <w:noProof/>
            <w:webHidden/>
          </w:rPr>
          <w:fldChar w:fldCharType="separate"/>
        </w:r>
        <w:r>
          <w:rPr>
            <w:noProof/>
            <w:webHidden/>
          </w:rPr>
          <w:t>35</w:t>
        </w:r>
        <w:r>
          <w:rPr>
            <w:noProof/>
            <w:webHidden/>
          </w:rPr>
          <w:fldChar w:fldCharType="end"/>
        </w:r>
      </w:hyperlink>
    </w:p>
    <w:p w14:paraId="7EC06866" w14:textId="1EAF3E3E" w:rsidR="0097492A" w:rsidRDefault="0097492A">
      <w:pPr>
        <w:pStyle w:val="TOC3"/>
        <w:tabs>
          <w:tab w:val="left" w:pos="1320"/>
        </w:tabs>
        <w:rPr>
          <w:rFonts w:asciiTheme="minorHAnsi" w:eastAsiaTheme="minorEastAsia" w:hAnsiTheme="minorHAnsi" w:cstheme="minorBidi"/>
          <w:noProof/>
          <w:sz w:val="22"/>
          <w:szCs w:val="22"/>
        </w:rPr>
      </w:pPr>
      <w:hyperlink w:anchor="_Toc12445845" w:history="1">
        <w:r w:rsidRPr="00B93AC2">
          <w:rPr>
            <w:rStyle w:val="Hyperlink"/>
            <w:noProof/>
          </w:rPr>
          <w:t>4.3.5</w:t>
        </w:r>
        <w:r>
          <w:rPr>
            <w:rFonts w:asciiTheme="minorHAnsi" w:eastAsiaTheme="minorEastAsia" w:hAnsiTheme="minorHAnsi" w:cstheme="minorBidi"/>
            <w:noProof/>
            <w:sz w:val="22"/>
            <w:szCs w:val="22"/>
          </w:rPr>
          <w:tab/>
        </w:r>
        <w:r w:rsidRPr="00B93AC2">
          <w:rPr>
            <w:rStyle w:val="Hyperlink"/>
            <w:noProof/>
          </w:rPr>
          <w:t>Hourly allocation of capacity value</w:t>
        </w:r>
        <w:r>
          <w:rPr>
            <w:noProof/>
            <w:webHidden/>
          </w:rPr>
          <w:tab/>
        </w:r>
        <w:r>
          <w:rPr>
            <w:noProof/>
            <w:webHidden/>
          </w:rPr>
          <w:fldChar w:fldCharType="begin"/>
        </w:r>
        <w:r>
          <w:rPr>
            <w:noProof/>
            <w:webHidden/>
          </w:rPr>
          <w:instrText xml:space="preserve"> PAGEREF _Toc12445845 \h </w:instrText>
        </w:r>
        <w:r>
          <w:rPr>
            <w:noProof/>
            <w:webHidden/>
          </w:rPr>
        </w:r>
        <w:r>
          <w:rPr>
            <w:noProof/>
            <w:webHidden/>
          </w:rPr>
          <w:fldChar w:fldCharType="separate"/>
        </w:r>
        <w:r>
          <w:rPr>
            <w:noProof/>
            <w:webHidden/>
          </w:rPr>
          <w:t>36</w:t>
        </w:r>
        <w:r>
          <w:rPr>
            <w:noProof/>
            <w:webHidden/>
          </w:rPr>
          <w:fldChar w:fldCharType="end"/>
        </w:r>
      </w:hyperlink>
    </w:p>
    <w:p w14:paraId="36721920" w14:textId="39AA2469" w:rsidR="0097492A" w:rsidRDefault="0097492A">
      <w:pPr>
        <w:pStyle w:val="TOC2"/>
        <w:tabs>
          <w:tab w:val="left" w:pos="880"/>
        </w:tabs>
        <w:rPr>
          <w:rFonts w:asciiTheme="minorHAnsi" w:eastAsiaTheme="minorEastAsia" w:hAnsiTheme="minorHAnsi" w:cstheme="minorBidi"/>
          <w:noProof/>
          <w:sz w:val="22"/>
          <w:szCs w:val="22"/>
        </w:rPr>
      </w:pPr>
      <w:hyperlink w:anchor="_Toc12445846" w:history="1">
        <w:r w:rsidRPr="00B93AC2">
          <w:rPr>
            <w:rStyle w:val="Hyperlink"/>
            <w:noProof/>
          </w:rPr>
          <w:t>4.4</w:t>
        </w:r>
        <w:r>
          <w:rPr>
            <w:rFonts w:asciiTheme="minorHAnsi" w:eastAsiaTheme="minorEastAsia" w:hAnsiTheme="minorHAnsi" w:cstheme="minorBidi"/>
            <w:noProof/>
            <w:sz w:val="22"/>
            <w:szCs w:val="22"/>
          </w:rPr>
          <w:tab/>
        </w:r>
        <w:r w:rsidRPr="00B93AC2">
          <w:rPr>
            <w:rStyle w:val="Hyperlink"/>
            <w:noProof/>
          </w:rPr>
          <w:t>Ancillary Services (AS)</w:t>
        </w:r>
        <w:r>
          <w:rPr>
            <w:noProof/>
            <w:webHidden/>
          </w:rPr>
          <w:tab/>
        </w:r>
        <w:r>
          <w:rPr>
            <w:noProof/>
            <w:webHidden/>
          </w:rPr>
          <w:fldChar w:fldCharType="begin"/>
        </w:r>
        <w:r>
          <w:rPr>
            <w:noProof/>
            <w:webHidden/>
          </w:rPr>
          <w:instrText xml:space="preserve"> PAGEREF _Toc12445846 \h </w:instrText>
        </w:r>
        <w:r>
          <w:rPr>
            <w:noProof/>
            <w:webHidden/>
          </w:rPr>
        </w:r>
        <w:r>
          <w:rPr>
            <w:noProof/>
            <w:webHidden/>
          </w:rPr>
          <w:fldChar w:fldCharType="separate"/>
        </w:r>
        <w:r>
          <w:rPr>
            <w:noProof/>
            <w:webHidden/>
          </w:rPr>
          <w:t>38</w:t>
        </w:r>
        <w:r>
          <w:rPr>
            <w:noProof/>
            <w:webHidden/>
          </w:rPr>
          <w:fldChar w:fldCharType="end"/>
        </w:r>
      </w:hyperlink>
    </w:p>
    <w:p w14:paraId="523AB512" w14:textId="4275DBEA" w:rsidR="0097492A" w:rsidRDefault="0097492A">
      <w:pPr>
        <w:pStyle w:val="TOC2"/>
        <w:tabs>
          <w:tab w:val="left" w:pos="880"/>
        </w:tabs>
        <w:rPr>
          <w:rFonts w:asciiTheme="minorHAnsi" w:eastAsiaTheme="minorEastAsia" w:hAnsiTheme="minorHAnsi" w:cstheme="minorBidi"/>
          <w:noProof/>
          <w:sz w:val="22"/>
          <w:szCs w:val="22"/>
        </w:rPr>
      </w:pPr>
      <w:hyperlink w:anchor="_Toc12445847" w:history="1">
        <w:r w:rsidRPr="00B93AC2">
          <w:rPr>
            <w:rStyle w:val="Hyperlink"/>
            <w:noProof/>
          </w:rPr>
          <w:t>4.5</w:t>
        </w:r>
        <w:r>
          <w:rPr>
            <w:rFonts w:asciiTheme="minorHAnsi" w:eastAsiaTheme="minorEastAsia" w:hAnsiTheme="minorHAnsi" w:cstheme="minorBidi"/>
            <w:noProof/>
            <w:sz w:val="22"/>
            <w:szCs w:val="22"/>
          </w:rPr>
          <w:tab/>
        </w:r>
        <w:r w:rsidRPr="00B93AC2">
          <w:rPr>
            <w:rStyle w:val="Hyperlink"/>
            <w:noProof/>
          </w:rPr>
          <w:t>T&amp;D Capacity</w:t>
        </w:r>
        <w:r>
          <w:rPr>
            <w:noProof/>
            <w:webHidden/>
          </w:rPr>
          <w:tab/>
        </w:r>
        <w:r>
          <w:rPr>
            <w:noProof/>
            <w:webHidden/>
          </w:rPr>
          <w:fldChar w:fldCharType="begin"/>
        </w:r>
        <w:r>
          <w:rPr>
            <w:noProof/>
            <w:webHidden/>
          </w:rPr>
          <w:instrText xml:space="preserve"> PAGEREF _Toc12445847 \h </w:instrText>
        </w:r>
        <w:r>
          <w:rPr>
            <w:noProof/>
            <w:webHidden/>
          </w:rPr>
        </w:r>
        <w:r>
          <w:rPr>
            <w:noProof/>
            <w:webHidden/>
          </w:rPr>
          <w:fldChar w:fldCharType="separate"/>
        </w:r>
        <w:r>
          <w:rPr>
            <w:noProof/>
            <w:webHidden/>
          </w:rPr>
          <w:t>38</w:t>
        </w:r>
        <w:r>
          <w:rPr>
            <w:noProof/>
            <w:webHidden/>
          </w:rPr>
          <w:fldChar w:fldCharType="end"/>
        </w:r>
      </w:hyperlink>
    </w:p>
    <w:p w14:paraId="31414237" w14:textId="2C10EB3E" w:rsidR="0097492A" w:rsidRDefault="0097492A">
      <w:pPr>
        <w:pStyle w:val="TOC3"/>
        <w:tabs>
          <w:tab w:val="left" w:pos="1320"/>
        </w:tabs>
        <w:rPr>
          <w:rFonts w:asciiTheme="minorHAnsi" w:eastAsiaTheme="minorEastAsia" w:hAnsiTheme="minorHAnsi" w:cstheme="minorBidi"/>
          <w:noProof/>
          <w:sz w:val="22"/>
          <w:szCs w:val="22"/>
        </w:rPr>
      </w:pPr>
      <w:hyperlink w:anchor="_Toc12445848" w:history="1">
        <w:r w:rsidRPr="00B93AC2">
          <w:rPr>
            <w:rStyle w:val="Hyperlink"/>
            <w:noProof/>
          </w:rPr>
          <w:t>4.5.1</w:t>
        </w:r>
        <w:r>
          <w:rPr>
            <w:rFonts w:asciiTheme="minorHAnsi" w:eastAsiaTheme="minorEastAsia" w:hAnsiTheme="minorHAnsi" w:cstheme="minorBidi"/>
            <w:noProof/>
            <w:sz w:val="22"/>
            <w:szCs w:val="22"/>
          </w:rPr>
          <w:tab/>
        </w:r>
        <w:r w:rsidRPr="00B93AC2">
          <w:rPr>
            <w:rStyle w:val="Hyperlink"/>
            <w:noProof/>
          </w:rPr>
          <w:t>Hourly Allocation of T&amp;D Capacity Cost</w:t>
        </w:r>
        <w:r>
          <w:rPr>
            <w:noProof/>
            <w:webHidden/>
          </w:rPr>
          <w:tab/>
        </w:r>
        <w:r>
          <w:rPr>
            <w:noProof/>
            <w:webHidden/>
          </w:rPr>
          <w:fldChar w:fldCharType="begin"/>
        </w:r>
        <w:r>
          <w:rPr>
            <w:noProof/>
            <w:webHidden/>
          </w:rPr>
          <w:instrText xml:space="preserve"> PAGEREF _Toc12445848 \h </w:instrText>
        </w:r>
        <w:r>
          <w:rPr>
            <w:noProof/>
            <w:webHidden/>
          </w:rPr>
        </w:r>
        <w:r>
          <w:rPr>
            <w:noProof/>
            <w:webHidden/>
          </w:rPr>
          <w:fldChar w:fldCharType="separate"/>
        </w:r>
        <w:r>
          <w:rPr>
            <w:noProof/>
            <w:webHidden/>
          </w:rPr>
          <w:t>42</w:t>
        </w:r>
        <w:r>
          <w:rPr>
            <w:noProof/>
            <w:webHidden/>
          </w:rPr>
          <w:fldChar w:fldCharType="end"/>
        </w:r>
      </w:hyperlink>
    </w:p>
    <w:p w14:paraId="2F96072E" w14:textId="5F8C5C99" w:rsidR="0097492A" w:rsidRDefault="0097492A">
      <w:pPr>
        <w:pStyle w:val="TOC2"/>
        <w:tabs>
          <w:tab w:val="left" w:pos="880"/>
        </w:tabs>
        <w:rPr>
          <w:rFonts w:asciiTheme="minorHAnsi" w:eastAsiaTheme="minorEastAsia" w:hAnsiTheme="minorHAnsi" w:cstheme="minorBidi"/>
          <w:noProof/>
          <w:sz w:val="22"/>
          <w:szCs w:val="22"/>
        </w:rPr>
      </w:pPr>
      <w:hyperlink w:anchor="_Toc12445849" w:history="1">
        <w:r w:rsidRPr="00B93AC2">
          <w:rPr>
            <w:rStyle w:val="Hyperlink"/>
            <w:noProof/>
          </w:rPr>
          <w:t>4.6</w:t>
        </w:r>
        <w:r>
          <w:rPr>
            <w:rFonts w:asciiTheme="minorHAnsi" w:eastAsiaTheme="minorEastAsia" w:hAnsiTheme="minorHAnsi" w:cstheme="minorBidi"/>
            <w:noProof/>
            <w:sz w:val="22"/>
            <w:szCs w:val="22"/>
          </w:rPr>
          <w:tab/>
        </w:r>
        <w:r w:rsidRPr="00B93AC2">
          <w:rPr>
            <w:rStyle w:val="Hyperlink"/>
            <w:noProof/>
          </w:rPr>
          <w:t>Cap &amp; Trade and GHG Adder Values</w:t>
        </w:r>
        <w:r>
          <w:rPr>
            <w:noProof/>
            <w:webHidden/>
          </w:rPr>
          <w:tab/>
        </w:r>
        <w:r>
          <w:rPr>
            <w:noProof/>
            <w:webHidden/>
          </w:rPr>
          <w:fldChar w:fldCharType="begin"/>
        </w:r>
        <w:r>
          <w:rPr>
            <w:noProof/>
            <w:webHidden/>
          </w:rPr>
          <w:instrText xml:space="preserve"> PAGEREF _Toc12445849 \h </w:instrText>
        </w:r>
        <w:r>
          <w:rPr>
            <w:noProof/>
            <w:webHidden/>
          </w:rPr>
        </w:r>
        <w:r>
          <w:rPr>
            <w:noProof/>
            <w:webHidden/>
          </w:rPr>
          <w:fldChar w:fldCharType="separate"/>
        </w:r>
        <w:r>
          <w:rPr>
            <w:noProof/>
            <w:webHidden/>
          </w:rPr>
          <w:t>46</w:t>
        </w:r>
        <w:r>
          <w:rPr>
            <w:noProof/>
            <w:webHidden/>
          </w:rPr>
          <w:fldChar w:fldCharType="end"/>
        </w:r>
      </w:hyperlink>
    </w:p>
    <w:p w14:paraId="299E4954" w14:textId="0C889D38" w:rsidR="0097492A" w:rsidRDefault="0097492A">
      <w:pPr>
        <w:pStyle w:val="TOC3"/>
        <w:tabs>
          <w:tab w:val="left" w:pos="1320"/>
        </w:tabs>
        <w:rPr>
          <w:rFonts w:asciiTheme="minorHAnsi" w:eastAsiaTheme="minorEastAsia" w:hAnsiTheme="minorHAnsi" w:cstheme="minorBidi"/>
          <w:noProof/>
          <w:sz w:val="22"/>
          <w:szCs w:val="22"/>
        </w:rPr>
      </w:pPr>
      <w:hyperlink w:anchor="_Toc12445850" w:history="1">
        <w:r w:rsidRPr="00B93AC2">
          <w:rPr>
            <w:rStyle w:val="Hyperlink"/>
            <w:noProof/>
          </w:rPr>
          <w:t>4.6.1</w:t>
        </w:r>
        <w:r>
          <w:rPr>
            <w:rFonts w:asciiTheme="minorHAnsi" w:eastAsiaTheme="minorEastAsia" w:hAnsiTheme="minorHAnsi" w:cstheme="minorBidi"/>
            <w:noProof/>
            <w:sz w:val="22"/>
            <w:szCs w:val="22"/>
          </w:rPr>
          <w:tab/>
        </w:r>
        <w:r w:rsidRPr="00B93AC2">
          <w:rPr>
            <w:rStyle w:val="Hyperlink"/>
            <w:noProof/>
          </w:rPr>
          <w:t>Monetized Carbon (Cap and Trade)</w:t>
        </w:r>
        <w:r>
          <w:rPr>
            <w:noProof/>
            <w:webHidden/>
          </w:rPr>
          <w:tab/>
        </w:r>
        <w:r>
          <w:rPr>
            <w:noProof/>
            <w:webHidden/>
          </w:rPr>
          <w:fldChar w:fldCharType="begin"/>
        </w:r>
        <w:r>
          <w:rPr>
            <w:noProof/>
            <w:webHidden/>
          </w:rPr>
          <w:instrText xml:space="preserve"> PAGEREF _Toc12445850 \h </w:instrText>
        </w:r>
        <w:r>
          <w:rPr>
            <w:noProof/>
            <w:webHidden/>
          </w:rPr>
        </w:r>
        <w:r>
          <w:rPr>
            <w:noProof/>
            <w:webHidden/>
          </w:rPr>
          <w:fldChar w:fldCharType="separate"/>
        </w:r>
        <w:r>
          <w:rPr>
            <w:noProof/>
            <w:webHidden/>
          </w:rPr>
          <w:t>46</w:t>
        </w:r>
        <w:r>
          <w:rPr>
            <w:noProof/>
            <w:webHidden/>
          </w:rPr>
          <w:fldChar w:fldCharType="end"/>
        </w:r>
      </w:hyperlink>
    </w:p>
    <w:p w14:paraId="386FD849" w14:textId="38C6E2B1" w:rsidR="0097492A" w:rsidRDefault="0097492A">
      <w:pPr>
        <w:pStyle w:val="TOC3"/>
        <w:tabs>
          <w:tab w:val="left" w:pos="1320"/>
        </w:tabs>
        <w:rPr>
          <w:rFonts w:asciiTheme="minorHAnsi" w:eastAsiaTheme="minorEastAsia" w:hAnsiTheme="minorHAnsi" w:cstheme="minorBidi"/>
          <w:noProof/>
          <w:sz w:val="22"/>
          <w:szCs w:val="22"/>
        </w:rPr>
      </w:pPr>
      <w:hyperlink w:anchor="_Toc12445851" w:history="1">
        <w:r w:rsidRPr="00B93AC2">
          <w:rPr>
            <w:rStyle w:val="Hyperlink"/>
            <w:noProof/>
          </w:rPr>
          <w:t>4.6.2</w:t>
        </w:r>
        <w:r>
          <w:rPr>
            <w:rFonts w:asciiTheme="minorHAnsi" w:eastAsiaTheme="minorEastAsia" w:hAnsiTheme="minorHAnsi" w:cstheme="minorBidi"/>
            <w:noProof/>
            <w:sz w:val="22"/>
            <w:szCs w:val="22"/>
          </w:rPr>
          <w:tab/>
        </w:r>
        <w:r w:rsidRPr="00B93AC2">
          <w:rPr>
            <w:rStyle w:val="Hyperlink"/>
            <w:noProof/>
          </w:rPr>
          <w:t>GHG Adder</w:t>
        </w:r>
        <w:r>
          <w:rPr>
            <w:noProof/>
            <w:webHidden/>
          </w:rPr>
          <w:tab/>
        </w:r>
        <w:r>
          <w:rPr>
            <w:noProof/>
            <w:webHidden/>
          </w:rPr>
          <w:fldChar w:fldCharType="begin"/>
        </w:r>
        <w:r>
          <w:rPr>
            <w:noProof/>
            <w:webHidden/>
          </w:rPr>
          <w:instrText xml:space="preserve"> PAGEREF _Toc12445851 \h </w:instrText>
        </w:r>
        <w:r>
          <w:rPr>
            <w:noProof/>
            <w:webHidden/>
          </w:rPr>
        </w:r>
        <w:r>
          <w:rPr>
            <w:noProof/>
            <w:webHidden/>
          </w:rPr>
          <w:fldChar w:fldCharType="separate"/>
        </w:r>
        <w:r>
          <w:rPr>
            <w:noProof/>
            <w:webHidden/>
          </w:rPr>
          <w:t>49</w:t>
        </w:r>
        <w:r>
          <w:rPr>
            <w:noProof/>
            <w:webHidden/>
          </w:rPr>
          <w:fldChar w:fldCharType="end"/>
        </w:r>
      </w:hyperlink>
    </w:p>
    <w:p w14:paraId="35C927E9" w14:textId="4A2D0FED" w:rsidR="0097492A" w:rsidRDefault="0097492A">
      <w:pPr>
        <w:pStyle w:val="TOC3"/>
        <w:tabs>
          <w:tab w:val="left" w:pos="1320"/>
        </w:tabs>
        <w:rPr>
          <w:rFonts w:asciiTheme="minorHAnsi" w:eastAsiaTheme="minorEastAsia" w:hAnsiTheme="minorHAnsi" w:cstheme="minorBidi"/>
          <w:noProof/>
          <w:sz w:val="22"/>
          <w:szCs w:val="22"/>
        </w:rPr>
      </w:pPr>
      <w:hyperlink w:anchor="_Toc12445852" w:history="1">
        <w:r w:rsidRPr="00B93AC2">
          <w:rPr>
            <w:rStyle w:val="Hyperlink"/>
            <w:noProof/>
          </w:rPr>
          <w:t>4.6.3</w:t>
        </w:r>
        <w:r>
          <w:rPr>
            <w:rFonts w:asciiTheme="minorHAnsi" w:eastAsiaTheme="minorEastAsia" w:hAnsiTheme="minorHAnsi" w:cstheme="minorBidi"/>
            <w:noProof/>
            <w:sz w:val="22"/>
            <w:szCs w:val="22"/>
          </w:rPr>
          <w:tab/>
        </w:r>
        <w:r w:rsidRPr="00B93AC2">
          <w:rPr>
            <w:rStyle w:val="Hyperlink"/>
            <w:noProof/>
          </w:rPr>
          <w:t>GHG for Natural Gas Avoided Costs</w:t>
        </w:r>
        <w:r>
          <w:rPr>
            <w:noProof/>
            <w:webHidden/>
          </w:rPr>
          <w:tab/>
        </w:r>
        <w:r>
          <w:rPr>
            <w:noProof/>
            <w:webHidden/>
          </w:rPr>
          <w:fldChar w:fldCharType="begin"/>
        </w:r>
        <w:r>
          <w:rPr>
            <w:noProof/>
            <w:webHidden/>
          </w:rPr>
          <w:instrText xml:space="preserve"> PAGEREF _Toc12445852 \h </w:instrText>
        </w:r>
        <w:r>
          <w:rPr>
            <w:noProof/>
            <w:webHidden/>
          </w:rPr>
        </w:r>
        <w:r>
          <w:rPr>
            <w:noProof/>
            <w:webHidden/>
          </w:rPr>
          <w:fldChar w:fldCharType="separate"/>
        </w:r>
        <w:r>
          <w:rPr>
            <w:noProof/>
            <w:webHidden/>
          </w:rPr>
          <w:t>51</w:t>
        </w:r>
        <w:r>
          <w:rPr>
            <w:noProof/>
            <w:webHidden/>
          </w:rPr>
          <w:fldChar w:fldCharType="end"/>
        </w:r>
      </w:hyperlink>
    </w:p>
    <w:p w14:paraId="010CE2C0" w14:textId="208EE909" w:rsidR="0097492A" w:rsidRDefault="0097492A">
      <w:pPr>
        <w:pStyle w:val="TOC2"/>
        <w:tabs>
          <w:tab w:val="left" w:pos="880"/>
        </w:tabs>
        <w:rPr>
          <w:rFonts w:asciiTheme="minorHAnsi" w:eastAsiaTheme="minorEastAsia" w:hAnsiTheme="minorHAnsi" w:cstheme="minorBidi"/>
          <w:noProof/>
          <w:sz w:val="22"/>
          <w:szCs w:val="22"/>
        </w:rPr>
      </w:pPr>
      <w:hyperlink w:anchor="_Toc12445853" w:history="1">
        <w:r w:rsidRPr="00B93AC2">
          <w:rPr>
            <w:rStyle w:val="Hyperlink"/>
            <w:noProof/>
          </w:rPr>
          <w:t>4.7</w:t>
        </w:r>
        <w:r>
          <w:rPr>
            <w:rFonts w:asciiTheme="minorHAnsi" w:eastAsiaTheme="minorEastAsia" w:hAnsiTheme="minorHAnsi" w:cstheme="minorBidi"/>
            <w:noProof/>
            <w:sz w:val="22"/>
            <w:szCs w:val="22"/>
          </w:rPr>
          <w:tab/>
        </w:r>
        <w:r w:rsidRPr="00B93AC2">
          <w:rPr>
            <w:rStyle w:val="Hyperlink"/>
            <w:noProof/>
          </w:rPr>
          <w:t>Avoided RPS Cost</w:t>
        </w:r>
        <w:r>
          <w:rPr>
            <w:noProof/>
            <w:webHidden/>
          </w:rPr>
          <w:tab/>
        </w:r>
        <w:r>
          <w:rPr>
            <w:noProof/>
            <w:webHidden/>
          </w:rPr>
          <w:fldChar w:fldCharType="begin"/>
        </w:r>
        <w:r>
          <w:rPr>
            <w:noProof/>
            <w:webHidden/>
          </w:rPr>
          <w:instrText xml:space="preserve"> PAGEREF _Toc12445853 \h </w:instrText>
        </w:r>
        <w:r>
          <w:rPr>
            <w:noProof/>
            <w:webHidden/>
          </w:rPr>
        </w:r>
        <w:r>
          <w:rPr>
            <w:noProof/>
            <w:webHidden/>
          </w:rPr>
          <w:fldChar w:fldCharType="separate"/>
        </w:r>
        <w:r>
          <w:rPr>
            <w:noProof/>
            <w:webHidden/>
          </w:rPr>
          <w:t>51</w:t>
        </w:r>
        <w:r>
          <w:rPr>
            <w:noProof/>
            <w:webHidden/>
          </w:rPr>
          <w:fldChar w:fldCharType="end"/>
        </w:r>
      </w:hyperlink>
    </w:p>
    <w:p w14:paraId="66638FB4" w14:textId="177C0531" w:rsidR="0097492A" w:rsidRDefault="0097492A">
      <w:pPr>
        <w:pStyle w:val="TOC2"/>
        <w:rPr>
          <w:rFonts w:asciiTheme="minorHAnsi" w:eastAsiaTheme="minorEastAsia" w:hAnsiTheme="minorHAnsi" w:cstheme="minorBidi"/>
          <w:noProof/>
          <w:sz w:val="22"/>
          <w:szCs w:val="22"/>
        </w:rPr>
      </w:pPr>
      <w:hyperlink w:anchor="_Toc12445854" w:history="1">
        <w:r w:rsidRPr="00B93AC2">
          <w:rPr>
            <w:rStyle w:val="Hyperlink"/>
            <w:noProof/>
          </w:rPr>
          <w:t>Components Not Included</w:t>
        </w:r>
        <w:r>
          <w:rPr>
            <w:noProof/>
            <w:webHidden/>
          </w:rPr>
          <w:tab/>
        </w:r>
        <w:r>
          <w:rPr>
            <w:noProof/>
            <w:webHidden/>
          </w:rPr>
          <w:fldChar w:fldCharType="begin"/>
        </w:r>
        <w:r>
          <w:rPr>
            <w:noProof/>
            <w:webHidden/>
          </w:rPr>
          <w:instrText xml:space="preserve"> PAGEREF _Toc12445854 \h </w:instrText>
        </w:r>
        <w:r>
          <w:rPr>
            <w:noProof/>
            <w:webHidden/>
          </w:rPr>
        </w:r>
        <w:r>
          <w:rPr>
            <w:noProof/>
            <w:webHidden/>
          </w:rPr>
          <w:fldChar w:fldCharType="separate"/>
        </w:r>
        <w:r>
          <w:rPr>
            <w:noProof/>
            <w:webHidden/>
          </w:rPr>
          <w:t>53</w:t>
        </w:r>
        <w:r>
          <w:rPr>
            <w:noProof/>
            <w:webHidden/>
          </w:rPr>
          <w:fldChar w:fldCharType="end"/>
        </w:r>
      </w:hyperlink>
    </w:p>
    <w:p w14:paraId="148CCFD3" w14:textId="7640175F" w:rsidR="0097492A" w:rsidRDefault="0097492A">
      <w:pPr>
        <w:pStyle w:val="TOC1"/>
        <w:tabs>
          <w:tab w:val="left" w:pos="475"/>
        </w:tabs>
        <w:rPr>
          <w:rFonts w:asciiTheme="minorHAnsi" w:eastAsiaTheme="minorEastAsia" w:hAnsiTheme="minorHAnsi" w:cstheme="minorBidi"/>
          <w:noProof/>
          <w:sz w:val="22"/>
          <w:szCs w:val="22"/>
        </w:rPr>
      </w:pPr>
      <w:hyperlink w:anchor="_Toc12445855" w:history="1">
        <w:r w:rsidRPr="00B93AC2">
          <w:rPr>
            <w:rStyle w:val="Hyperlink"/>
            <w:noProof/>
          </w:rPr>
          <w:t>5</w:t>
        </w:r>
        <w:r>
          <w:rPr>
            <w:rFonts w:asciiTheme="minorHAnsi" w:eastAsiaTheme="minorEastAsia" w:hAnsiTheme="minorHAnsi" w:cstheme="minorBidi"/>
            <w:noProof/>
            <w:sz w:val="22"/>
            <w:szCs w:val="22"/>
          </w:rPr>
          <w:tab/>
        </w:r>
        <w:r w:rsidRPr="00B93AC2">
          <w:rPr>
            <w:rStyle w:val="Hyperlink"/>
            <w:noProof/>
          </w:rPr>
          <w:t>Appendix: Key Data Sources and Specific Methodology</w:t>
        </w:r>
        <w:r>
          <w:rPr>
            <w:noProof/>
            <w:webHidden/>
          </w:rPr>
          <w:tab/>
        </w:r>
        <w:r>
          <w:rPr>
            <w:noProof/>
            <w:webHidden/>
          </w:rPr>
          <w:fldChar w:fldCharType="begin"/>
        </w:r>
        <w:r>
          <w:rPr>
            <w:noProof/>
            <w:webHidden/>
          </w:rPr>
          <w:instrText xml:space="preserve"> PAGEREF _Toc12445855 \h </w:instrText>
        </w:r>
        <w:r>
          <w:rPr>
            <w:noProof/>
            <w:webHidden/>
          </w:rPr>
        </w:r>
        <w:r>
          <w:rPr>
            <w:noProof/>
            <w:webHidden/>
          </w:rPr>
          <w:fldChar w:fldCharType="separate"/>
        </w:r>
        <w:r>
          <w:rPr>
            <w:noProof/>
            <w:webHidden/>
          </w:rPr>
          <w:t>54</w:t>
        </w:r>
        <w:r>
          <w:rPr>
            <w:noProof/>
            <w:webHidden/>
          </w:rPr>
          <w:fldChar w:fldCharType="end"/>
        </w:r>
      </w:hyperlink>
    </w:p>
    <w:p w14:paraId="790D9203" w14:textId="23A789D0" w:rsidR="0097492A" w:rsidRDefault="0097492A">
      <w:pPr>
        <w:pStyle w:val="TOC2"/>
        <w:tabs>
          <w:tab w:val="left" w:pos="880"/>
        </w:tabs>
        <w:rPr>
          <w:rFonts w:asciiTheme="minorHAnsi" w:eastAsiaTheme="minorEastAsia" w:hAnsiTheme="minorHAnsi" w:cstheme="minorBidi"/>
          <w:noProof/>
          <w:sz w:val="22"/>
          <w:szCs w:val="22"/>
        </w:rPr>
      </w:pPr>
      <w:hyperlink w:anchor="_Toc12445856" w:history="1">
        <w:r w:rsidRPr="00B93AC2">
          <w:rPr>
            <w:rStyle w:val="Hyperlink"/>
            <w:noProof/>
          </w:rPr>
          <w:t>5.1</w:t>
        </w:r>
        <w:r>
          <w:rPr>
            <w:rFonts w:asciiTheme="minorHAnsi" w:eastAsiaTheme="minorEastAsia" w:hAnsiTheme="minorHAnsi" w:cstheme="minorBidi"/>
            <w:noProof/>
            <w:sz w:val="22"/>
            <w:szCs w:val="22"/>
          </w:rPr>
          <w:tab/>
        </w:r>
        <w:r w:rsidRPr="00B93AC2">
          <w:rPr>
            <w:rStyle w:val="Hyperlink"/>
            <w:noProof/>
          </w:rPr>
          <w:t>Power plant cost assumptions</w:t>
        </w:r>
        <w:r>
          <w:rPr>
            <w:noProof/>
            <w:webHidden/>
          </w:rPr>
          <w:tab/>
        </w:r>
        <w:r>
          <w:rPr>
            <w:noProof/>
            <w:webHidden/>
          </w:rPr>
          <w:fldChar w:fldCharType="begin"/>
        </w:r>
        <w:r>
          <w:rPr>
            <w:noProof/>
            <w:webHidden/>
          </w:rPr>
          <w:instrText xml:space="preserve"> PAGEREF _Toc12445856 \h </w:instrText>
        </w:r>
        <w:r>
          <w:rPr>
            <w:noProof/>
            <w:webHidden/>
          </w:rPr>
        </w:r>
        <w:r>
          <w:rPr>
            <w:noProof/>
            <w:webHidden/>
          </w:rPr>
          <w:fldChar w:fldCharType="separate"/>
        </w:r>
        <w:r>
          <w:rPr>
            <w:noProof/>
            <w:webHidden/>
          </w:rPr>
          <w:t>54</w:t>
        </w:r>
        <w:r>
          <w:rPr>
            <w:noProof/>
            <w:webHidden/>
          </w:rPr>
          <w:fldChar w:fldCharType="end"/>
        </w:r>
      </w:hyperlink>
    </w:p>
    <w:p w14:paraId="18A77E6B" w14:textId="4A458EE0" w:rsidR="0097492A" w:rsidRDefault="0097492A">
      <w:pPr>
        <w:pStyle w:val="TOC2"/>
        <w:tabs>
          <w:tab w:val="left" w:pos="880"/>
        </w:tabs>
        <w:rPr>
          <w:rFonts w:asciiTheme="minorHAnsi" w:eastAsiaTheme="minorEastAsia" w:hAnsiTheme="minorHAnsi" w:cstheme="minorBidi"/>
          <w:noProof/>
          <w:sz w:val="22"/>
          <w:szCs w:val="22"/>
        </w:rPr>
      </w:pPr>
      <w:hyperlink w:anchor="_Toc12445857" w:history="1">
        <w:r w:rsidRPr="00B93AC2">
          <w:rPr>
            <w:rStyle w:val="Hyperlink"/>
            <w:noProof/>
          </w:rPr>
          <w:t>5.2</w:t>
        </w:r>
        <w:r>
          <w:rPr>
            <w:rFonts w:asciiTheme="minorHAnsi" w:eastAsiaTheme="minorEastAsia" w:hAnsiTheme="minorHAnsi" w:cstheme="minorBidi"/>
            <w:noProof/>
            <w:sz w:val="22"/>
            <w:szCs w:val="22"/>
          </w:rPr>
          <w:tab/>
        </w:r>
        <w:r w:rsidRPr="00B93AC2">
          <w:rPr>
            <w:rStyle w:val="Hyperlink"/>
            <w:noProof/>
          </w:rPr>
          <w:t>Generation Loss Factors</w:t>
        </w:r>
        <w:r>
          <w:rPr>
            <w:noProof/>
            <w:webHidden/>
          </w:rPr>
          <w:tab/>
        </w:r>
        <w:r>
          <w:rPr>
            <w:noProof/>
            <w:webHidden/>
          </w:rPr>
          <w:fldChar w:fldCharType="begin"/>
        </w:r>
        <w:r>
          <w:rPr>
            <w:noProof/>
            <w:webHidden/>
          </w:rPr>
          <w:instrText xml:space="preserve"> PAGEREF _Toc12445857 \h </w:instrText>
        </w:r>
        <w:r>
          <w:rPr>
            <w:noProof/>
            <w:webHidden/>
          </w:rPr>
        </w:r>
        <w:r>
          <w:rPr>
            <w:noProof/>
            <w:webHidden/>
          </w:rPr>
          <w:fldChar w:fldCharType="separate"/>
        </w:r>
        <w:r>
          <w:rPr>
            <w:noProof/>
            <w:webHidden/>
          </w:rPr>
          <w:t>55</w:t>
        </w:r>
        <w:r>
          <w:rPr>
            <w:noProof/>
            <w:webHidden/>
          </w:rPr>
          <w:fldChar w:fldCharType="end"/>
        </w:r>
      </w:hyperlink>
    </w:p>
    <w:p w14:paraId="6CA99620" w14:textId="6F8CA73B" w:rsidR="0097492A" w:rsidRDefault="0097492A">
      <w:pPr>
        <w:pStyle w:val="TOC2"/>
        <w:tabs>
          <w:tab w:val="left" w:pos="880"/>
        </w:tabs>
        <w:rPr>
          <w:rFonts w:asciiTheme="minorHAnsi" w:eastAsiaTheme="minorEastAsia" w:hAnsiTheme="minorHAnsi" w:cstheme="minorBidi"/>
          <w:noProof/>
          <w:sz w:val="22"/>
          <w:szCs w:val="22"/>
        </w:rPr>
      </w:pPr>
      <w:hyperlink w:anchor="_Toc12445858" w:history="1">
        <w:r w:rsidRPr="00B93AC2">
          <w:rPr>
            <w:rStyle w:val="Hyperlink"/>
            <w:noProof/>
          </w:rPr>
          <w:t>5.3</w:t>
        </w:r>
        <w:r>
          <w:rPr>
            <w:rFonts w:asciiTheme="minorHAnsi" w:eastAsiaTheme="minorEastAsia" w:hAnsiTheme="minorHAnsi" w:cstheme="minorBidi"/>
            <w:noProof/>
            <w:sz w:val="22"/>
            <w:szCs w:val="22"/>
          </w:rPr>
          <w:tab/>
        </w:r>
        <w:r w:rsidRPr="00B93AC2">
          <w:rPr>
            <w:rStyle w:val="Hyperlink"/>
            <w:noProof/>
          </w:rPr>
          <w:t>Climate Zones</w:t>
        </w:r>
        <w:r>
          <w:rPr>
            <w:noProof/>
            <w:webHidden/>
          </w:rPr>
          <w:tab/>
        </w:r>
        <w:r>
          <w:rPr>
            <w:noProof/>
            <w:webHidden/>
          </w:rPr>
          <w:fldChar w:fldCharType="begin"/>
        </w:r>
        <w:r>
          <w:rPr>
            <w:noProof/>
            <w:webHidden/>
          </w:rPr>
          <w:instrText xml:space="preserve"> PAGEREF _Toc12445858 \h </w:instrText>
        </w:r>
        <w:r>
          <w:rPr>
            <w:noProof/>
            <w:webHidden/>
          </w:rPr>
        </w:r>
        <w:r>
          <w:rPr>
            <w:noProof/>
            <w:webHidden/>
          </w:rPr>
          <w:fldChar w:fldCharType="separate"/>
        </w:r>
        <w:r>
          <w:rPr>
            <w:noProof/>
            <w:webHidden/>
          </w:rPr>
          <w:t>57</w:t>
        </w:r>
        <w:r>
          <w:rPr>
            <w:noProof/>
            <w:webHidden/>
          </w:rPr>
          <w:fldChar w:fldCharType="end"/>
        </w:r>
      </w:hyperlink>
    </w:p>
    <w:p w14:paraId="40F13FDD" w14:textId="24B477EA" w:rsidR="0097492A" w:rsidRDefault="0097492A">
      <w:pPr>
        <w:pStyle w:val="TOC2"/>
        <w:tabs>
          <w:tab w:val="left" w:pos="880"/>
        </w:tabs>
        <w:rPr>
          <w:rFonts w:asciiTheme="minorHAnsi" w:eastAsiaTheme="minorEastAsia" w:hAnsiTheme="minorHAnsi" w:cstheme="minorBidi"/>
          <w:noProof/>
          <w:sz w:val="22"/>
          <w:szCs w:val="22"/>
        </w:rPr>
      </w:pPr>
      <w:hyperlink w:anchor="_Toc12445859" w:history="1">
        <w:r w:rsidRPr="00B93AC2">
          <w:rPr>
            <w:rStyle w:val="Hyperlink"/>
            <w:noProof/>
          </w:rPr>
          <w:t>5.4</w:t>
        </w:r>
        <w:r>
          <w:rPr>
            <w:rFonts w:asciiTheme="minorHAnsi" w:eastAsiaTheme="minorEastAsia" w:hAnsiTheme="minorHAnsi" w:cstheme="minorBidi"/>
            <w:noProof/>
            <w:sz w:val="22"/>
            <w:szCs w:val="22"/>
          </w:rPr>
          <w:tab/>
        </w:r>
        <w:r w:rsidRPr="00B93AC2">
          <w:rPr>
            <w:rStyle w:val="Hyperlink"/>
            <w:noProof/>
          </w:rPr>
          <w:t>T&amp;D Allocation Factors</w:t>
        </w:r>
        <w:r>
          <w:rPr>
            <w:noProof/>
            <w:webHidden/>
          </w:rPr>
          <w:tab/>
        </w:r>
        <w:r>
          <w:rPr>
            <w:noProof/>
            <w:webHidden/>
          </w:rPr>
          <w:fldChar w:fldCharType="begin"/>
        </w:r>
        <w:r>
          <w:rPr>
            <w:noProof/>
            <w:webHidden/>
          </w:rPr>
          <w:instrText xml:space="preserve"> PAGEREF _Toc12445859 \h </w:instrText>
        </w:r>
        <w:r>
          <w:rPr>
            <w:noProof/>
            <w:webHidden/>
          </w:rPr>
        </w:r>
        <w:r>
          <w:rPr>
            <w:noProof/>
            <w:webHidden/>
          </w:rPr>
          <w:fldChar w:fldCharType="separate"/>
        </w:r>
        <w:r>
          <w:rPr>
            <w:noProof/>
            <w:webHidden/>
          </w:rPr>
          <w:t>59</w:t>
        </w:r>
        <w:r>
          <w:rPr>
            <w:noProof/>
            <w:webHidden/>
          </w:rPr>
          <w:fldChar w:fldCharType="end"/>
        </w:r>
      </w:hyperlink>
    </w:p>
    <w:p w14:paraId="022BCD0B" w14:textId="243CA0F2" w:rsidR="0097492A" w:rsidRDefault="0097492A">
      <w:pPr>
        <w:pStyle w:val="TOC2"/>
        <w:tabs>
          <w:tab w:val="left" w:pos="880"/>
        </w:tabs>
        <w:rPr>
          <w:rFonts w:asciiTheme="minorHAnsi" w:eastAsiaTheme="minorEastAsia" w:hAnsiTheme="minorHAnsi" w:cstheme="minorBidi"/>
          <w:noProof/>
          <w:sz w:val="22"/>
          <w:szCs w:val="22"/>
        </w:rPr>
      </w:pPr>
      <w:hyperlink w:anchor="_Toc12445860" w:history="1">
        <w:r w:rsidRPr="00B93AC2">
          <w:rPr>
            <w:rStyle w:val="Hyperlink"/>
            <w:noProof/>
          </w:rPr>
          <w:t>5.5</w:t>
        </w:r>
        <w:r>
          <w:rPr>
            <w:rFonts w:asciiTheme="minorHAnsi" w:eastAsiaTheme="minorEastAsia" w:hAnsiTheme="minorHAnsi" w:cstheme="minorBidi"/>
            <w:noProof/>
            <w:sz w:val="22"/>
            <w:szCs w:val="22"/>
          </w:rPr>
          <w:tab/>
        </w:r>
        <w:r w:rsidRPr="00B93AC2">
          <w:rPr>
            <w:rStyle w:val="Hyperlink"/>
            <w:noProof/>
          </w:rPr>
          <w:t>Distribution Load Simulation Regression Model</w:t>
        </w:r>
        <w:r w:rsidRPr="00B93AC2">
          <w:rPr>
            <w:rStyle w:val="Hyperlink"/>
            <w:i/>
            <w:noProof/>
          </w:rPr>
          <w:t xml:space="preserve"> Specifications</w:t>
        </w:r>
        <w:r>
          <w:rPr>
            <w:noProof/>
            <w:webHidden/>
          </w:rPr>
          <w:tab/>
        </w:r>
        <w:r>
          <w:rPr>
            <w:noProof/>
            <w:webHidden/>
          </w:rPr>
          <w:fldChar w:fldCharType="begin"/>
        </w:r>
        <w:r>
          <w:rPr>
            <w:noProof/>
            <w:webHidden/>
          </w:rPr>
          <w:instrText xml:space="preserve"> PAGEREF _Toc12445860 \h </w:instrText>
        </w:r>
        <w:r>
          <w:rPr>
            <w:noProof/>
            <w:webHidden/>
          </w:rPr>
        </w:r>
        <w:r>
          <w:rPr>
            <w:noProof/>
            <w:webHidden/>
          </w:rPr>
          <w:fldChar w:fldCharType="separate"/>
        </w:r>
        <w:r>
          <w:rPr>
            <w:noProof/>
            <w:webHidden/>
          </w:rPr>
          <w:t>70</w:t>
        </w:r>
        <w:r>
          <w:rPr>
            <w:noProof/>
            <w:webHidden/>
          </w:rPr>
          <w:fldChar w:fldCharType="end"/>
        </w:r>
      </w:hyperlink>
    </w:p>
    <w:p w14:paraId="6565C49C" w14:textId="23434A98" w:rsidR="0097492A" w:rsidRDefault="0097492A">
      <w:pPr>
        <w:pStyle w:val="TOC2"/>
        <w:tabs>
          <w:tab w:val="left" w:pos="880"/>
        </w:tabs>
        <w:rPr>
          <w:rFonts w:asciiTheme="minorHAnsi" w:eastAsiaTheme="minorEastAsia" w:hAnsiTheme="minorHAnsi" w:cstheme="minorBidi"/>
          <w:noProof/>
          <w:sz w:val="22"/>
          <w:szCs w:val="22"/>
        </w:rPr>
      </w:pPr>
      <w:hyperlink w:anchor="_Toc12445861" w:history="1">
        <w:r w:rsidRPr="00B93AC2">
          <w:rPr>
            <w:rStyle w:val="Hyperlink"/>
            <w:noProof/>
          </w:rPr>
          <w:t>5.6</w:t>
        </w:r>
        <w:r>
          <w:rPr>
            <w:rFonts w:asciiTheme="minorHAnsi" w:eastAsiaTheme="minorEastAsia" w:hAnsiTheme="minorHAnsi" w:cstheme="minorBidi"/>
            <w:noProof/>
            <w:sz w:val="22"/>
            <w:szCs w:val="22"/>
          </w:rPr>
          <w:tab/>
        </w:r>
        <w:r w:rsidRPr="00B93AC2">
          <w:rPr>
            <w:rStyle w:val="Hyperlink"/>
            <w:noProof/>
          </w:rPr>
          <w:t>Low Efficiency Threshold Analysis</w:t>
        </w:r>
        <w:r>
          <w:rPr>
            <w:noProof/>
            <w:webHidden/>
          </w:rPr>
          <w:tab/>
        </w:r>
        <w:r>
          <w:rPr>
            <w:noProof/>
            <w:webHidden/>
          </w:rPr>
          <w:fldChar w:fldCharType="begin"/>
        </w:r>
        <w:r>
          <w:rPr>
            <w:noProof/>
            <w:webHidden/>
          </w:rPr>
          <w:instrText xml:space="preserve"> PAGEREF _Toc12445861 \h </w:instrText>
        </w:r>
        <w:r>
          <w:rPr>
            <w:noProof/>
            <w:webHidden/>
          </w:rPr>
        </w:r>
        <w:r>
          <w:rPr>
            <w:noProof/>
            <w:webHidden/>
          </w:rPr>
          <w:fldChar w:fldCharType="separate"/>
        </w:r>
        <w:r>
          <w:rPr>
            <w:noProof/>
            <w:webHidden/>
          </w:rPr>
          <w:t>83</w:t>
        </w:r>
        <w:r>
          <w:rPr>
            <w:noProof/>
            <w:webHidden/>
          </w:rPr>
          <w:fldChar w:fldCharType="end"/>
        </w:r>
      </w:hyperlink>
    </w:p>
    <w:p w14:paraId="0C34758F" w14:textId="217AB76D" w:rsidR="0097492A" w:rsidRDefault="0097492A">
      <w:pPr>
        <w:pStyle w:val="TOC1"/>
        <w:tabs>
          <w:tab w:val="left" w:pos="475"/>
        </w:tabs>
        <w:rPr>
          <w:rFonts w:asciiTheme="minorHAnsi" w:eastAsiaTheme="minorEastAsia" w:hAnsiTheme="minorHAnsi" w:cstheme="minorBidi"/>
          <w:noProof/>
          <w:sz w:val="22"/>
          <w:szCs w:val="22"/>
        </w:rPr>
      </w:pPr>
      <w:hyperlink w:anchor="_Toc12445862" w:history="1">
        <w:r w:rsidRPr="00B93AC2">
          <w:rPr>
            <w:rStyle w:val="Hyperlink"/>
            <w:noProof/>
          </w:rPr>
          <w:t>6</w:t>
        </w:r>
        <w:r>
          <w:rPr>
            <w:rFonts w:asciiTheme="minorHAnsi" w:eastAsiaTheme="minorEastAsia" w:hAnsiTheme="minorHAnsi" w:cstheme="minorBidi"/>
            <w:noProof/>
            <w:sz w:val="22"/>
            <w:szCs w:val="22"/>
          </w:rPr>
          <w:tab/>
        </w:r>
        <w:r w:rsidRPr="00B93AC2">
          <w:rPr>
            <w:rStyle w:val="Hyperlink"/>
            <w:noProof/>
          </w:rPr>
          <w:t>User Quick Guide ACC 2019 v1</w:t>
        </w:r>
        <w:r>
          <w:rPr>
            <w:noProof/>
            <w:webHidden/>
          </w:rPr>
          <w:tab/>
        </w:r>
        <w:r>
          <w:rPr>
            <w:noProof/>
            <w:webHidden/>
          </w:rPr>
          <w:fldChar w:fldCharType="begin"/>
        </w:r>
        <w:r>
          <w:rPr>
            <w:noProof/>
            <w:webHidden/>
          </w:rPr>
          <w:instrText xml:space="preserve"> PAGEREF _Toc12445862 \h </w:instrText>
        </w:r>
        <w:r>
          <w:rPr>
            <w:noProof/>
            <w:webHidden/>
          </w:rPr>
        </w:r>
        <w:r>
          <w:rPr>
            <w:noProof/>
            <w:webHidden/>
          </w:rPr>
          <w:fldChar w:fldCharType="separate"/>
        </w:r>
        <w:r>
          <w:rPr>
            <w:noProof/>
            <w:webHidden/>
          </w:rPr>
          <w:t>85</w:t>
        </w:r>
        <w:r>
          <w:rPr>
            <w:noProof/>
            <w:webHidden/>
          </w:rPr>
          <w:fldChar w:fldCharType="end"/>
        </w:r>
      </w:hyperlink>
    </w:p>
    <w:p w14:paraId="538EB41B" w14:textId="602FCBD8" w:rsidR="0097492A" w:rsidRDefault="0097492A">
      <w:pPr>
        <w:pStyle w:val="TOC2"/>
        <w:tabs>
          <w:tab w:val="left" w:pos="880"/>
        </w:tabs>
        <w:rPr>
          <w:rFonts w:asciiTheme="minorHAnsi" w:eastAsiaTheme="minorEastAsia" w:hAnsiTheme="minorHAnsi" w:cstheme="minorBidi"/>
          <w:noProof/>
          <w:sz w:val="22"/>
          <w:szCs w:val="22"/>
        </w:rPr>
      </w:pPr>
      <w:hyperlink w:anchor="_Toc12445863" w:history="1">
        <w:r w:rsidRPr="00B93AC2">
          <w:rPr>
            <w:rStyle w:val="Hyperlink"/>
            <w:noProof/>
          </w:rPr>
          <w:t>6.1</w:t>
        </w:r>
        <w:r>
          <w:rPr>
            <w:rFonts w:asciiTheme="minorHAnsi" w:eastAsiaTheme="minorEastAsia" w:hAnsiTheme="minorHAnsi" w:cstheme="minorBidi"/>
            <w:noProof/>
            <w:sz w:val="22"/>
            <w:szCs w:val="22"/>
          </w:rPr>
          <w:tab/>
        </w:r>
        <w:r w:rsidRPr="00B93AC2">
          <w:rPr>
            <w:rStyle w:val="Hyperlink"/>
            <w:noProof/>
          </w:rPr>
          <w:t>Purpose</w:t>
        </w:r>
        <w:r>
          <w:rPr>
            <w:noProof/>
            <w:webHidden/>
          </w:rPr>
          <w:tab/>
        </w:r>
        <w:r>
          <w:rPr>
            <w:noProof/>
            <w:webHidden/>
          </w:rPr>
          <w:fldChar w:fldCharType="begin"/>
        </w:r>
        <w:r>
          <w:rPr>
            <w:noProof/>
            <w:webHidden/>
          </w:rPr>
          <w:instrText xml:space="preserve"> PAGEREF _Toc12445863 \h </w:instrText>
        </w:r>
        <w:r>
          <w:rPr>
            <w:noProof/>
            <w:webHidden/>
          </w:rPr>
        </w:r>
        <w:r>
          <w:rPr>
            <w:noProof/>
            <w:webHidden/>
          </w:rPr>
          <w:fldChar w:fldCharType="separate"/>
        </w:r>
        <w:r>
          <w:rPr>
            <w:noProof/>
            <w:webHidden/>
          </w:rPr>
          <w:t>85</w:t>
        </w:r>
        <w:r>
          <w:rPr>
            <w:noProof/>
            <w:webHidden/>
          </w:rPr>
          <w:fldChar w:fldCharType="end"/>
        </w:r>
      </w:hyperlink>
    </w:p>
    <w:p w14:paraId="24A062C0" w14:textId="678A5F06" w:rsidR="0097492A" w:rsidRDefault="0097492A">
      <w:pPr>
        <w:pStyle w:val="TOC2"/>
        <w:tabs>
          <w:tab w:val="left" w:pos="880"/>
        </w:tabs>
        <w:rPr>
          <w:rFonts w:asciiTheme="minorHAnsi" w:eastAsiaTheme="minorEastAsia" w:hAnsiTheme="minorHAnsi" w:cstheme="minorBidi"/>
          <w:noProof/>
          <w:sz w:val="22"/>
          <w:szCs w:val="22"/>
        </w:rPr>
      </w:pPr>
      <w:hyperlink w:anchor="_Toc12445864" w:history="1">
        <w:r w:rsidRPr="00B93AC2">
          <w:rPr>
            <w:rStyle w:val="Hyperlink"/>
            <w:noProof/>
          </w:rPr>
          <w:t>6.2</w:t>
        </w:r>
        <w:r>
          <w:rPr>
            <w:rFonts w:asciiTheme="minorHAnsi" w:eastAsiaTheme="minorEastAsia" w:hAnsiTheme="minorHAnsi" w:cstheme="minorBidi"/>
            <w:noProof/>
            <w:sz w:val="22"/>
            <w:szCs w:val="22"/>
          </w:rPr>
          <w:tab/>
        </w:r>
        <w:r w:rsidRPr="00B93AC2">
          <w:rPr>
            <w:rStyle w:val="Hyperlink"/>
            <w:noProof/>
          </w:rPr>
          <w:t>Using the Model</w:t>
        </w:r>
        <w:r>
          <w:rPr>
            <w:noProof/>
            <w:webHidden/>
          </w:rPr>
          <w:tab/>
        </w:r>
        <w:r>
          <w:rPr>
            <w:noProof/>
            <w:webHidden/>
          </w:rPr>
          <w:fldChar w:fldCharType="begin"/>
        </w:r>
        <w:r>
          <w:rPr>
            <w:noProof/>
            <w:webHidden/>
          </w:rPr>
          <w:instrText xml:space="preserve"> PAGEREF _Toc12445864 \h </w:instrText>
        </w:r>
        <w:r>
          <w:rPr>
            <w:noProof/>
            <w:webHidden/>
          </w:rPr>
        </w:r>
        <w:r>
          <w:rPr>
            <w:noProof/>
            <w:webHidden/>
          </w:rPr>
          <w:fldChar w:fldCharType="separate"/>
        </w:r>
        <w:r>
          <w:rPr>
            <w:noProof/>
            <w:webHidden/>
          </w:rPr>
          <w:t>85</w:t>
        </w:r>
        <w:r>
          <w:rPr>
            <w:noProof/>
            <w:webHidden/>
          </w:rPr>
          <w:fldChar w:fldCharType="end"/>
        </w:r>
      </w:hyperlink>
    </w:p>
    <w:p w14:paraId="37F92BA7" w14:textId="272A9754" w:rsidR="0097492A" w:rsidRDefault="0097492A">
      <w:pPr>
        <w:pStyle w:val="TOC2"/>
        <w:tabs>
          <w:tab w:val="left" w:pos="880"/>
        </w:tabs>
        <w:rPr>
          <w:rFonts w:asciiTheme="minorHAnsi" w:eastAsiaTheme="minorEastAsia" w:hAnsiTheme="minorHAnsi" w:cstheme="minorBidi"/>
          <w:noProof/>
          <w:sz w:val="22"/>
          <w:szCs w:val="22"/>
        </w:rPr>
      </w:pPr>
      <w:hyperlink w:anchor="_Toc12445865" w:history="1">
        <w:r w:rsidRPr="00B93AC2">
          <w:rPr>
            <w:rStyle w:val="Hyperlink"/>
            <w:noProof/>
          </w:rPr>
          <w:t>6.3</w:t>
        </w:r>
        <w:r>
          <w:rPr>
            <w:rFonts w:asciiTheme="minorHAnsi" w:eastAsiaTheme="minorEastAsia" w:hAnsiTheme="minorHAnsi" w:cstheme="minorBidi"/>
            <w:noProof/>
            <w:sz w:val="22"/>
            <w:szCs w:val="22"/>
          </w:rPr>
          <w:tab/>
        </w:r>
        <w:r w:rsidRPr="00B93AC2">
          <w:rPr>
            <w:rStyle w:val="Hyperlink"/>
            <w:noProof/>
          </w:rPr>
          <w:t>Exporting Hourly Results</w:t>
        </w:r>
        <w:r>
          <w:rPr>
            <w:noProof/>
            <w:webHidden/>
          </w:rPr>
          <w:tab/>
        </w:r>
        <w:r>
          <w:rPr>
            <w:noProof/>
            <w:webHidden/>
          </w:rPr>
          <w:fldChar w:fldCharType="begin"/>
        </w:r>
        <w:r>
          <w:rPr>
            <w:noProof/>
            <w:webHidden/>
          </w:rPr>
          <w:instrText xml:space="preserve"> PAGEREF _Toc12445865 \h </w:instrText>
        </w:r>
        <w:r>
          <w:rPr>
            <w:noProof/>
            <w:webHidden/>
          </w:rPr>
        </w:r>
        <w:r>
          <w:rPr>
            <w:noProof/>
            <w:webHidden/>
          </w:rPr>
          <w:fldChar w:fldCharType="separate"/>
        </w:r>
        <w:r>
          <w:rPr>
            <w:noProof/>
            <w:webHidden/>
          </w:rPr>
          <w:t>86</w:t>
        </w:r>
        <w:r>
          <w:rPr>
            <w:noProof/>
            <w:webHidden/>
          </w:rPr>
          <w:fldChar w:fldCharType="end"/>
        </w:r>
      </w:hyperlink>
    </w:p>
    <w:p w14:paraId="6D0C7F94" w14:textId="1C80A01F" w:rsidR="0097492A" w:rsidRDefault="0097492A">
      <w:pPr>
        <w:pStyle w:val="TOC2"/>
        <w:tabs>
          <w:tab w:val="left" w:pos="880"/>
        </w:tabs>
        <w:rPr>
          <w:rFonts w:asciiTheme="minorHAnsi" w:eastAsiaTheme="minorEastAsia" w:hAnsiTheme="minorHAnsi" w:cstheme="minorBidi"/>
          <w:noProof/>
          <w:sz w:val="22"/>
          <w:szCs w:val="22"/>
        </w:rPr>
      </w:pPr>
      <w:hyperlink w:anchor="_Toc12445866" w:history="1">
        <w:r w:rsidRPr="00B93AC2">
          <w:rPr>
            <w:rStyle w:val="Hyperlink"/>
            <w:noProof/>
          </w:rPr>
          <w:t>6.4</w:t>
        </w:r>
        <w:r>
          <w:rPr>
            <w:rFonts w:asciiTheme="minorHAnsi" w:eastAsiaTheme="minorEastAsia" w:hAnsiTheme="minorHAnsi" w:cstheme="minorBidi"/>
            <w:noProof/>
            <w:sz w:val="22"/>
            <w:szCs w:val="22"/>
          </w:rPr>
          <w:tab/>
        </w:r>
        <w:r w:rsidRPr="00B93AC2">
          <w:rPr>
            <w:rStyle w:val="Hyperlink"/>
            <w:noProof/>
          </w:rPr>
          <w:t>DR Reporting Interface</w:t>
        </w:r>
        <w:r>
          <w:rPr>
            <w:noProof/>
            <w:webHidden/>
          </w:rPr>
          <w:tab/>
        </w:r>
        <w:r>
          <w:rPr>
            <w:noProof/>
            <w:webHidden/>
          </w:rPr>
          <w:fldChar w:fldCharType="begin"/>
        </w:r>
        <w:r>
          <w:rPr>
            <w:noProof/>
            <w:webHidden/>
          </w:rPr>
          <w:instrText xml:space="preserve"> PAGEREF _Toc12445866 \h </w:instrText>
        </w:r>
        <w:r>
          <w:rPr>
            <w:noProof/>
            <w:webHidden/>
          </w:rPr>
        </w:r>
        <w:r>
          <w:rPr>
            <w:noProof/>
            <w:webHidden/>
          </w:rPr>
          <w:fldChar w:fldCharType="separate"/>
        </w:r>
        <w:r>
          <w:rPr>
            <w:noProof/>
            <w:webHidden/>
          </w:rPr>
          <w:t>88</w:t>
        </w:r>
        <w:r>
          <w:rPr>
            <w:noProof/>
            <w:webHidden/>
          </w:rPr>
          <w:fldChar w:fldCharType="end"/>
        </w:r>
      </w:hyperlink>
    </w:p>
    <w:p w14:paraId="13874FC6" w14:textId="1C2E1604" w:rsidR="0097492A" w:rsidRDefault="0097492A">
      <w:pPr>
        <w:pStyle w:val="TOC2"/>
        <w:tabs>
          <w:tab w:val="left" w:pos="880"/>
        </w:tabs>
        <w:rPr>
          <w:rFonts w:asciiTheme="minorHAnsi" w:eastAsiaTheme="minorEastAsia" w:hAnsiTheme="minorHAnsi" w:cstheme="minorBidi"/>
          <w:noProof/>
          <w:sz w:val="22"/>
          <w:szCs w:val="22"/>
        </w:rPr>
      </w:pPr>
      <w:hyperlink w:anchor="_Toc12445867" w:history="1">
        <w:r w:rsidRPr="00B93AC2">
          <w:rPr>
            <w:rStyle w:val="Hyperlink"/>
            <w:noProof/>
          </w:rPr>
          <w:t>6.5</w:t>
        </w:r>
        <w:r>
          <w:rPr>
            <w:rFonts w:asciiTheme="minorHAnsi" w:eastAsiaTheme="minorEastAsia" w:hAnsiTheme="minorHAnsi" w:cstheme="minorBidi"/>
            <w:noProof/>
            <w:sz w:val="22"/>
            <w:szCs w:val="22"/>
          </w:rPr>
          <w:tab/>
        </w:r>
        <w:r w:rsidRPr="00B93AC2">
          <w:rPr>
            <w:rStyle w:val="Hyperlink"/>
            <w:noProof/>
          </w:rPr>
          <w:t>Inputs</w:t>
        </w:r>
        <w:r>
          <w:rPr>
            <w:noProof/>
            <w:webHidden/>
          </w:rPr>
          <w:tab/>
        </w:r>
        <w:r>
          <w:rPr>
            <w:noProof/>
            <w:webHidden/>
          </w:rPr>
          <w:fldChar w:fldCharType="begin"/>
        </w:r>
        <w:r>
          <w:rPr>
            <w:noProof/>
            <w:webHidden/>
          </w:rPr>
          <w:instrText xml:space="preserve"> PAGEREF _Toc12445867 \h </w:instrText>
        </w:r>
        <w:r>
          <w:rPr>
            <w:noProof/>
            <w:webHidden/>
          </w:rPr>
        </w:r>
        <w:r>
          <w:rPr>
            <w:noProof/>
            <w:webHidden/>
          </w:rPr>
          <w:fldChar w:fldCharType="separate"/>
        </w:r>
        <w:r>
          <w:rPr>
            <w:noProof/>
            <w:webHidden/>
          </w:rPr>
          <w:t>88</w:t>
        </w:r>
        <w:r>
          <w:rPr>
            <w:noProof/>
            <w:webHidden/>
          </w:rPr>
          <w:fldChar w:fldCharType="end"/>
        </w:r>
      </w:hyperlink>
    </w:p>
    <w:p w14:paraId="490C0DE9" w14:textId="00D08B4C" w:rsidR="0097492A" w:rsidRDefault="0097492A">
      <w:pPr>
        <w:pStyle w:val="TOC2"/>
        <w:tabs>
          <w:tab w:val="left" w:pos="880"/>
        </w:tabs>
        <w:rPr>
          <w:rFonts w:asciiTheme="minorHAnsi" w:eastAsiaTheme="minorEastAsia" w:hAnsiTheme="minorHAnsi" w:cstheme="minorBidi"/>
          <w:noProof/>
          <w:sz w:val="22"/>
          <w:szCs w:val="22"/>
        </w:rPr>
      </w:pPr>
      <w:hyperlink w:anchor="_Toc12445868" w:history="1">
        <w:r w:rsidRPr="00B93AC2">
          <w:rPr>
            <w:rStyle w:val="Hyperlink"/>
            <w:noProof/>
          </w:rPr>
          <w:t>6.6</w:t>
        </w:r>
        <w:r>
          <w:rPr>
            <w:rFonts w:asciiTheme="minorHAnsi" w:eastAsiaTheme="minorEastAsia" w:hAnsiTheme="minorHAnsi" w:cstheme="minorBidi"/>
            <w:noProof/>
            <w:sz w:val="22"/>
            <w:szCs w:val="22"/>
          </w:rPr>
          <w:tab/>
        </w:r>
        <w:r w:rsidRPr="00B93AC2">
          <w:rPr>
            <w:rStyle w:val="Hyperlink"/>
            <w:noProof/>
          </w:rPr>
          <w:t>Remaining tabs</w:t>
        </w:r>
        <w:r>
          <w:rPr>
            <w:noProof/>
            <w:webHidden/>
          </w:rPr>
          <w:tab/>
        </w:r>
        <w:r>
          <w:rPr>
            <w:noProof/>
            <w:webHidden/>
          </w:rPr>
          <w:fldChar w:fldCharType="begin"/>
        </w:r>
        <w:r>
          <w:rPr>
            <w:noProof/>
            <w:webHidden/>
          </w:rPr>
          <w:instrText xml:space="preserve"> PAGEREF _Toc12445868 \h </w:instrText>
        </w:r>
        <w:r>
          <w:rPr>
            <w:noProof/>
            <w:webHidden/>
          </w:rPr>
        </w:r>
        <w:r>
          <w:rPr>
            <w:noProof/>
            <w:webHidden/>
          </w:rPr>
          <w:fldChar w:fldCharType="separate"/>
        </w:r>
        <w:r>
          <w:rPr>
            <w:noProof/>
            <w:webHidden/>
          </w:rPr>
          <w:t>89</w:t>
        </w:r>
        <w:r>
          <w:rPr>
            <w:noProof/>
            <w:webHidden/>
          </w:rPr>
          <w:fldChar w:fldCharType="end"/>
        </w:r>
      </w:hyperlink>
    </w:p>
    <w:p w14:paraId="6E7E7936" w14:textId="3F8309E3" w:rsidR="0097492A" w:rsidRDefault="0097492A">
      <w:pPr>
        <w:pStyle w:val="TOC1"/>
        <w:tabs>
          <w:tab w:val="left" w:pos="475"/>
        </w:tabs>
        <w:rPr>
          <w:rFonts w:asciiTheme="minorHAnsi" w:eastAsiaTheme="minorEastAsia" w:hAnsiTheme="minorHAnsi" w:cstheme="minorBidi"/>
          <w:noProof/>
          <w:sz w:val="22"/>
          <w:szCs w:val="22"/>
        </w:rPr>
      </w:pPr>
      <w:hyperlink w:anchor="_Toc12445869" w:history="1">
        <w:r w:rsidRPr="00B93AC2">
          <w:rPr>
            <w:rStyle w:val="Hyperlink"/>
            <w:noProof/>
          </w:rPr>
          <w:t>7</w:t>
        </w:r>
        <w:r>
          <w:rPr>
            <w:rFonts w:asciiTheme="minorHAnsi" w:eastAsiaTheme="minorEastAsia" w:hAnsiTheme="minorHAnsi" w:cstheme="minorBidi"/>
            <w:noProof/>
            <w:sz w:val="22"/>
            <w:szCs w:val="22"/>
          </w:rPr>
          <w:tab/>
        </w:r>
        <w:r w:rsidRPr="00B93AC2">
          <w:rPr>
            <w:rStyle w:val="Hyperlink"/>
            <w:noProof/>
          </w:rPr>
          <w:t>User Quick Guide GasModel</w:t>
        </w:r>
        <w:r>
          <w:rPr>
            <w:noProof/>
            <w:webHidden/>
          </w:rPr>
          <w:tab/>
        </w:r>
        <w:r>
          <w:rPr>
            <w:noProof/>
            <w:webHidden/>
          </w:rPr>
          <w:fldChar w:fldCharType="begin"/>
        </w:r>
        <w:r>
          <w:rPr>
            <w:noProof/>
            <w:webHidden/>
          </w:rPr>
          <w:instrText xml:space="preserve"> PAGEREF _Toc12445869 \h </w:instrText>
        </w:r>
        <w:r>
          <w:rPr>
            <w:noProof/>
            <w:webHidden/>
          </w:rPr>
        </w:r>
        <w:r>
          <w:rPr>
            <w:noProof/>
            <w:webHidden/>
          </w:rPr>
          <w:fldChar w:fldCharType="separate"/>
        </w:r>
        <w:r>
          <w:rPr>
            <w:noProof/>
            <w:webHidden/>
          </w:rPr>
          <w:t>89</w:t>
        </w:r>
        <w:r>
          <w:rPr>
            <w:noProof/>
            <w:webHidden/>
          </w:rPr>
          <w:fldChar w:fldCharType="end"/>
        </w:r>
      </w:hyperlink>
    </w:p>
    <w:p w14:paraId="04FCF718" w14:textId="73A05285" w:rsidR="0097492A" w:rsidRDefault="0097492A">
      <w:pPr>
        <w:pStyle w:val="TOC2"/>
        <w:tabs>
          <w:tab w:val="left" w:pos="880"/>
        </w:tabs>
        <w:rPr>
          <w:rFonts w:asciiTheme="minorHAnsi" w:eastAsiaTheme="minorEastAsia" w:hAnsiTheme="minorHAnsi" w:cstheme="minorBidi"/>
          <w:noProof/>
          <w:sz w:val="22"/>
          <w:szCs w:val="22"/>
        </w:rPr>
      </w:pPr>
      <w:hyperlink w:anchor="_Toc12445870" w:history="1">
        <w:r w:rsidRPr="00B93AC2">
          <w:rPr>
            <w:rStyle w:val="Hyperlink"/>
            <w:noProof/>
          </w:rPr>
          <w:t>7.1</w:t>
        </w:r>
        <w:r>
          <w:rPr>
            <w:rFonts w:asciiTheme="minorHAnsi" w:eastAsiaTheme="minorEastAsia" w:hAnsiTheme="minorHAnsi" w:cstheme="minorBidi"/>
            <w:noProof/>
            <w:sz w:val="22"/>
            <w:szCs w:val="22"/>
          </w:rPr>
          <w:tab/>
        </w:r>
        <w:r w:rsidRPr="00B93AC2">
          <w:rPr>
            <w:rStyle w:val="Hyperlink"/>
            <w:noProof/>
          </w:rPr>
          <w:t>Purpose</w:t>
        </w:r>
        <w:r>
          <w:rPr>
            <w:noProof/>
            <w:webHidden/>
          </w:rPr>
          <w:tab/>
        </w:r>
        <w:r>
          <w:rPr>
            <w:noProof/>
            <w:webHidden/>
          </w:rPr>
          <w:fldChar w:fldCharType="begin"/>
        </w:r>
        <w:r>
          <w:rPr>
            <w:noProof/>
            <w:webHidden/>
          </w:rPr>
          <w:instrText xml:space="preserve"> PAGEREF _Toc12445870 \h </w:instrText>
        </w:r>
        <w:r>
          <w:rPr>
            <w:noProof/>
            <w:webHidden/>
          </w:rPr>
        </w:r>
        <w:r>
          <w:rPr>
            <w:noProof/>
            <w:webHidden/>
          </w:rPr>
          <w:fldChar w:fldCharType="separate"/>
        </w:r>
        <w:r>
          <w:rPr>
            <w:noProof/>
            <w:webHidden/>
          </w:rPr>
          <w:t>89</w:t>
        </w:r>
        <w:r>
          <w:rPr>
            <w:noProof/>
            <w:webHidden/>
          </w:rPr>
          <w:fldChar w:fldCharType="end"/>
        </w:r>
      </w:hyperlink>
    </w:p>
    <w:p w14:paraId="77A00B8A" w14:textId="5E2056C2" w:rsidR="0097492A" w:rsidRDefault="0097492A">
      <w:pPr>
        <w:pStyle w:val="TOC2"/>
        <w:tabs>
          <w:tab w:val="left" w:pos="880"/>
        </w:tabs>
        <w:rPr>
          <w:rFonts w:asciiTheme="minorHAnsi" w:eastAsiaTheme="minorEastAsia" w:hAnsiTheme="minorHAnsi" w:cstheme="minorBidi"/>
          <w:noProof/>
          <w:sz w:val="22"/>
          <w:szCs w:val="22"/>
        </w:rPr>
      </w:pPr>
      <w:hyperlink w:anchor="_Toc12445871" w:history="1">
        <w:r w:rsidRPr="00B93AC2">
          <w:rPr>
            <w:rStyle w:val="Hyperlink"/>
            <w:noProof/>
          </w:rPr>
          <w:t>7.2</w:t>
        </w:r>
        <w:r>
          <w:rPr>
            <w:rFonts w:asciiTheme="minorHAnsi" w:eastAsiaTheme="minorEastAsia" w:hAnsiTheme="minorHAnsi" w:cstheme="minorBidi"/>
            <w:noProof/>
            <w:sz w:val="22"/>
            <w:szCs w:val="22"/>
          </w:rPr>
          <w:tab/>
        </w:r>
        <w:r w:rsidRPr="00B93AC2">
          <w:rPr>
            <w:rStyle w:val="Hyperlink"/>
            <w:noProof/>
          </w:rPr>
          <w:t>Using the Model</w:t>
        </w:r>
        <w:r>
          <w:rPr>
            <w:noProof/>
            <w:webHidden/>
          </w:rPr>
          <w:tab/>
        </w:r>
        <w:r>
          <w:rPr>
            <w:noProof/>
            <w:webHidden/>
          </w:rPr>
          <w:fldChar w:fldCharType="begin"/>
        </w:r>
        <w:r>
          <w:rPr>
            <w:noProof/>
            <w:webHidden/>
          </w:rPr>
          <w:instrText xml:space="preserve"> PAGEREF _Toc12445871 \h </w:instrText>
        </w:r>
        <w:r>
          <w:rPr>
            <w:noProof/>
            <w:webHidden/>
          </w:rPr>
        </w:r>
        <w:r>
          <w:rPr>
            <w:noProof/>
            <w:webHidden/>
          </w:rPr>
          <w:fldChar w:fldCharType="separate"/>
        </w:r>
        <w:r>
          <w:rPr>
            <w:noProof/>
            <w:webHidden/>
          </w:rPr>
          <w:t>89</w:t>
        </w:r>
        <w:r>
          <w:rPr>
            <w:noProof/>
            <w:webHidden/>
          </w:rPr>
          <w:fldChar w:fldCharType="end"/>
        </w:r>
      </w:hyperlink>
    </w:p>
    <w:p w14:paraId="51E79356" w14:textId="74AEB2A3" w:rsidR="0097492A" w:rsidRDefault="0097492A">
      <w:pPr>
        <w:pStyle w:val="TOC2"/>
        <w:tabs>
          <w:tab w:val="left" w:pos="880"/>
        </w:tabs>
        <w:rPr>
          <w:rFonts w:asciiTheme="minorHAnsi" w:eastAsiaTheme="minorEastAsia" w:hAnsiTheme="minorHAnsi" w:cstheme="minorBidi"/>
          <w:noProof/>
          <w:sz w:val="22"/>
          <w:szCs w:val="22"/>
        </w:rPr>
      </w:pPr>
      <w:hyperlink w:anchor="_Toc12445872" w:history="1">
        <w:r w:rsidRPr="00B93AC2">
          <w:rPr>
            <w:rStyle w:val="Hyperlink"/>
            <w:noProof/>
          </w:rPr>
          <w:t>7.3</w:t>
        </w:r>
        <w:r>
          <w:rPr>
            <w:rFonts w:asciiTheme="minorHAnsi" w:eastAsiaTheme="minorEastAsia" w:hAnsiTheme="minorHAnsi" w:cstheme="minorBidi"/>
            <w:noProof/>
            <w:sz w:val="22"/>
            <w:szCs w:val="22"/>
          </w:rPr>
          <w:tab/>
        </w:r>
        <w:r w:rsidRPr="00B93AC2">
          <w:rPr>
            <w:rStyle w:val="Hyperlink"/>
            <w:noProof/>
          </w:rPr>
          <w:t>Results</w:t>
        </w:r>
        <w:r>
          <w:rPr>
            <w:noProof/>
            <w:webHidden/>
          </w:rPr>
          <w:tab/>
        </w:r>
        <w:r>
          <w:rPr>
            <w:noProof/>
            <w:webHidden/>
          </w:rPr>
          <w:fldChar w:fldCharType="begin"/>
        </w:r>
        <w:r>
          <w:rPr>
            <w:noProof/>
            <w:webHidden/>
          </w:rPr>
          <w:instrText xml:space="preserve"> PAGEREF _Toc12445872 \h </w:instrText>
        </w:r>
        <w:r>
          <w:rPr>
            <w:noProof/>
            <w:webHidden/>
          </w:rPr>
        </w:r>
        <w:r>
          <w:rPr>
            <w:noProof/>
            <w:webHidden/>
          </w:rPr>
          <w:fldChar w:fldCharType="separate"/>
        </w:r>
        <w:r>
          <w:rPr>
            <w:noProof/>
            <w:webHidden/>
          </w:rPr>
          <w:t>90</w:t>
        </w:r>
        <w:r>
          <w:rPr>
            <w:noProof/>
            <w:webHidden/>
          </w:rPr>
          <w:fldChar w:fldCharType="end"/>
        </w:r>
      </w:hyperlink>
    </w:p>
    <w:p w14:paraId="3C0C1ACA" w14:textId="4C4097CD" w:rsidR="0097492A" w:rsidRDefault="0097492A">
      <w:pPr>
        <w:pStyle w:val="TOC2"/>
        <w:tabs>
          <w:tab w:val="left" w:pos="880"/>
        </w:tabs>
        <w:rPr>
          <w:rFonts w:asciiTheme="minorHAnsi" w:eastAsiaTheme="minorEastAsia" w:hAnsiTheme="minorHAnsi" w:cstheme="minorBidi"/>
          <w:noProof/>
          <w:sz w:val="22"/>
          <w:szCs w:val="22"/>
        </w:rPr>
      </w:pPr>
      <w:hyperlink w:anchor="_Toc12445873" w:history="1">
        <w:r w:rsidRPr="00B93AC2">
          <w:rPr>
            <w:rStyle w:val="Hyperlink"/>
            <w:noProof/>
          </w:rPr>
          <w:t>7.4</w:t>
        </w:r>
        <w:r>
          <w:rPr>
            <w:rFonts w:asciiTheme="minorHAnsi" w:eastAsiaTheme="minorEastAsia" w:hAnsiTheme="minorHAnsi" w:cstheme="minorBidi"/>
            <w:noProof/>
            <w:sz w:val="22"/>
            <w:szCs w:val="22"/>
          </w:rPr>
          <w:tab/>
        </w:r>
        <w:r w:rsidRPr="00B93AC2">
          <w:rPr>
            <w:rStyle w:val="Hyperlink"/>
            <w:noProof/>
          </w:rPr>
          <w:t>Inputs</w:t>
        </w:r>
        <w:r>
          <w:rPr>
            <w:noProof/>
            <w:webHidden/>
          </w:rPr>
          <w:tab/>
        </w:r>
        <w:r>
          <w:rPr>
            <w:noProof/>
            <w:webHidden/>
          </w:rPr>
          <w:fldChar w:fldCharType="begin"/>
        </w:r>
        <w:r>
          <w:rPr>
            <w:noProof/>
            <w:webHidden/>
          </w:rPr>
          <w:instrText xml:space="preserve"> PAGEREF _Toc12445873 \h </w:instrText>
        </w:r>
        <w:r>
          <w:rPr>
            <w:noProof/>
            <w:webHidden/>
          </w:rPr>
        </w:r>
        <w:r>
          <w:rPr>
            <w:noProof/>
            <w:webHidden/>
          </w:rPr>
          <w:fldChar w:fldCharType="separate"/>
        </w:r>
        <w:r>
          <w:rPr>
            <w:noProof/>
            <w:webHidden/>
          </w:rPr>
          <w:t>90</w:t>
        </w:r>
        <w:r>
          <w:rPr>
            <w:noProof/>
            <w:webHidden/>
          </w:rPr>
          <w:fldChar w:fldCharType="end"/>
        </w:r>
      </w:hyperlink>
    </w:p>
    <w:p w14:paraId="376C9B57" w14:textId="24DC3F60" w:rsidR="0097492A" w:rsidRDefault="0097492A">
      <w:pPr>
        <w:pStyle w:val="TOC1"/>
        <w:tabs>
          <w:tab w:val="left" w:pos="475"/>
        </w:tabs>
        <w:rPr>
          <w:rFonts w:asciiTheme="minorHAnsi" w:eastAsiaTheme="minorEastAsia" w:hAnsiTheme="minorHAnsi" w:cstheme="minorBidi"/>
          <w:noProof/>
          <w:sz w:val="22"/>
          <w:szCs w:val="22"/>
        </w:rPr>
      </w:pPr>
      <w:hyperlink w:anchor="_Toc12445874" w:history="1">
        <w:r w:rsidRPr="00B93AC2">
          <w:rPr>
            <w:rStyle w:val="Hyperlink"/>
            <w:noProof/>
          </w:rPr>
          <w:t>8</w:t>
        </w:r>
        <w:r>
          <w:rPr>
            <w:rFonts w:asciiTheme="minorHAnsi" w:eastAsiaTheme="minorEastAsia" w:hAnsiTheme="minorHAnsi" w:cstheme="minorBidi"/>
            <w:noProof/>
            <w:sz w:val="22"/>
            <w:szCs w:val="22"/>
          </w:rPr>
          <w:tab/>
        </w:r>
        <w:r w:rsidRPr="00B93AC2">
          <w:rPr>
            <w:rStyle w:val="Hyperlink"/>
            <w:noProof/>
          </w:rPr>
          <w:t>MPR Gas Model 2019</w:t>
        </w:r>
        <w:r>
          <w:rPr>
            <w:noProof/>
            <w:webHidden/>
          </w:rPr>
          <w:tab/>
        </w:r>
        <w:r>
          <w:rPr>
            <w:noProof/>
            <w:webHidden/>
          </w:rPr>
          <w:fldChar w:fldCharType="begin"/>
        </w:r>
        <w:r>
          <w:rPr>
            <w:noProof/>
            <w:webHidden/>
          </w:rPr>
          <w:instrText xml:space="preserve"> PAGEREF _Toc12445874 \h </w:instrText>
        </w:r>
        <w:r>
          <w:rPr>
            <w:noProof/>
            <w:webHidden/>
          </w:rPr>
        </w:r>
        <w:r>
          <w:rPr>
            <w:noProof/>
            <w:webHidden/>
          </w:rPr>
          <w:fldChar w:fldCharType="separate"/>
        </w:r>
        <w:r>
          <w:rPr>
            <w:noProof/>
            <w:webHidden/>
          </w:rPr>
          <w:t>91</w:t>
        </w:r>
        <w:r>
          <w:rPr>
            <w:noProof/>
            <w:webHidden/>
          </w:rPr>
          <w:fldChar w:fldCharType="end"/>
        </w:r>
      </w:hyperlink>
    </w:p>
    <w:p w14:paraId="5C9017EB" w14:textId="4C821926" w:rsidR="0097492A" w:rsidRDefault="0097492A">
      <w:pPr>
        <w:pStyle w:val="TOC2"/>
        <w:tabs>
          <w:tab w:val="left" w:pos="880"/>
        </w:tabs>
        <w:rPr>
          <w:rFonts w:asciiTheme="minorHAnsi" w:eastAsiaTheme="minorEastAsia" w:hAnsiTheme="minorHAnsi" w:cstheme="minorBidi"/>
          <w:noProof/>
          <w:sz w:val="22"/>
          <w:szCs w:val="22"/>
        </w:rPr>
      </w:pPr>
      <w:hyperlink w:anchor="_Toc12445875" w:history="1">
        <w:r w:rsidRPr="00B93AC2">
          <w:rPr>
            <w:rStyle w:val="Hyperlink"/>
            <w:noProof/>
          </w:rPr>
          <w:t>8.1</w:t>
        </w:r>
        <w:r>
          <w:rPr>
            <w:rFonts w:asciiTheme="minorHAnsi" w:eastAsiaTheme="minorEastAsia" w:hAnsiTheme="minorHAnsi" w:cstheme="minorBidi"/>
            <w:noProof/>
            <w:sz w:val="22"/>
            <w:szCs w:val="22"/>
          </w:rPr>
          <w:tab/>
        </w:r>
        <w:r w:rsidRPr="00B93AC2">
          <w:rPr>
            <w:rStyle w:val="Hyperlink"/>
            <w:noProof/>
          </w:rPr>
          <w:t>Purpose</w:t>
        </w:r>
        <w:r>
          <w:rPr>
            <w:noProof/>
            <w:webHidden/>
          </w:rPr>
          <w:tab/>
        </w:r>
        <w:r>
          <w:rPr>
            <w:noProof/>
            <w:webHidden/>
          </w:rPr>
          <w:fldChar w:fldCharType="begin"/>
        </w:r>
        <w:r>
          <w:rPr>
            <w:noProof/>
            <w:webHidden/>
          </w:rPr>
          <w:instrText xml:space="preserve"> PAGEREF _Toc12445875 \h </w:instrText>
        </w:r>
        <w:r>
          <w:rPr>
            <w:noProof/>
            <w:webHidden/>
          </w:rPr>
        </w:r>
        <w:r>
          <w:rPr>
            <w:noProof/>
            <w:webHidden/>
          </w:rPr>
          <w:fldChar w:fldCharType="separate"/>
        </w:r>
        <w:r>
          <w:rPr>
            <w:noProof/>
            <w:webHidden/>
          </w:rPr>
          <w:t>91</w:t>
        </w:r>
        <w:r>
          <w:rPr>
            <w:noProof/>
            <w:webHidden/>
          </w:rPr>
          <w:fldChar w:fldCharType="end"/>
        </w:r>
      </w:hyperlink>
    </w:p>
    <w:p w14:paraId="1EF27EDF" w14:textId="71D9153A" w:rsidR="0097492A" w:rsidRDefault="0097492A">
      <w:pPr>
        <w:pStyle w:val="TOC2"/>
        <w:tabs>
          <w:tab w:val="left" w:pos="880"/>
        </w:tabs>
        <w:rPr>
          <w:rFonts w:asciiTheme="minorHAnsi" w:eastAsiaTheme="minorEastAsia" w:hAnsiTheme="minorHAnsi" w:cstheme="minorBidi"/>
          <w:noProof/>
          <w:sz w:val="22"/>
          <w:szCs w:val="22"/>
        </w:rPr>
      </w:pPr>
      <w:hyperlink w:anchor="_Toc12445876" w:history="1">
        <w:r w:rsidRPr="00B93AC2">
          <w:rPr>
            <w:rStyle w:val="Hyperlink"/>
            <w:noProof/>
          </w:rPr>
          <w:t>8.2</w:t>
        </w:r>
        <w:r>
          <w:rPr>
            <w:rFonts w:asciiTheme="minorHAnsi" w:eastAsiaTheme="minorEastAsia" w:hAnsiTheme="minorHAnsi" w:cstheme="minorBidi"/>
            <w:noProof/>
            <w:sz w:val="22"/>
            <w:szCs w:val="22"/>
          </w:rPr>
          <w:tab/>
        </w:r>
        <w:r w:rsidRPr="00B93AC2">
          <w:rPr>
            <w:rStyle w:val="Hyperlink"/>
            <w:noProof/>
          </w:rPr>
          <w:t>Using the Model</w:t>
        </w:r>
        <w:r>
          <w:rPr>
            <w:noProof/>
            <w:webHidden/>
          </w:rPr>
          <w:tab/>
        </w:r>
        <w:r>
          <w:rPr>
            <w:noProof/>
            <w:webHidden/>
          </w:rPr>
          <w:fldChar w:fldCharType="begin"/>
        </w:r>
        <w:r>
          <w:rPr>
            <w:noProof/>
            <w:webHidden/>
          </w:rPr>
          <w:instrText xml:space="preserve"> PAGEREF _Toc12445876 \h </w:instrText>
        </w:r>
        <w:r>
          <w:rPr>
            <w:noProof/>
            <w:webHidden/>
          </w:rPr>
        </w:r>
        <w:r>
          <w:rPr>
            <w:noProof/>
            <w:webHidden/>
          </w:rPr>
          <w:fldChar w:fldCharType="separate"/>
        </w:r>
        <w:r>
          <w:rPr>
            <w:noProof/>
            <w:webHidden/>
          </w:rPr>
          <w:t>92</w:t>
        </w:r>
        <w:r>
          <w:rPr>
            <w:noProof/>
            <w:webHidden/>
          </w:rPr>
          <w:fldChar w:fldCharType="end"/>
        </w:r>
      </w:hyperlink>
    </w:p>
    <w:p w14:paraId="57F9E516" w14:textId="7CFBB1D4" w:rsidR="0097492A" w:rsidRDefault="0097492A">
      <w:pPr>
        <w:pStyle w:val="TOC1"/>
        <w:tabs>
          <w:tab w:val="left" w:pos="475"/>
        </w:tabs>
        <w:rPr>
          <w:rFonts w:asciiTheme="minorHAnsi" w:eastAsiaTheme="minorEastAsia" w:hAnsiTheme="minorHAnsi" w:cstheme="minorBidi"/>
          <w:noProof/>
          <w:sz w:val="22"/>
          <w:szCs w:val="22"/>
        </w:rPr>
      </w:pPr>
      <w:hyperlink w:anchor="_Toc12445877" w:history="1">
        <w:r w:rsidRPr="00B93AC2">
          <w:rPr>
            <w:rStyle w:val="Hyperlink"/>
            <w:noProof/>
          </w:rPr>
          <w:t>9</w:t>
        </w:r>
        <w:r>
          <w:rPr>
            <w:rFonts w:asciiTheme="minorHAnsi" w:eastAsiaTheme="minorEastAsia" w:hAnsiTheme="minorHAnsi" w:cstheme="minorBidi"/>
            <w:noProof/>
            <w:sz w:val="22"/>
            <w:szCs w:val="22"/>
          </w:rPr>
          <w:tab/>
        </w:r>
        <w:r w:rsidRPr="00B93AC2">
          <w:rPr>
            <w:rStyle w:val="Hyperlink"/>
            <w:noProof/>
          </w:rPr>
          <w:t>Version Change Summary</w:t>
        </w:r>
        <w:r>
          <w:rPr>
            <w:noProof/>
            <w:webHidden/>
          </w:rPr>
          <w:tab/>
        </w:r>
        <w:r>
          <w:rPr>
            <w:noProof/>
            <w:webHidden/>
          </w:rPr>
          <w:fldChar w:fldCharType="begin"/>
        </w:r>
        <w:r>
          <w:rPr>
            <w:noProof/>
            <w:webHidden/>
          </w:rPr>
          <w:instrText xml:space="preserve"> PAGEREF _Toc12445877 \h </w:instrText>
        </w:r>
        <w:r>
          <w:rPr>
            <w:noProof/>
            <w:webHidden/>
          </w:rPr>
        </w:r>
        <w:r>
          <w:rPr>
            <w:noProof/>
            <w:webHidden/>
          </w:rPr>
          <w:fldChar w:fldCharType="separate"/>
        </w:r>
        <w:r>
          <w:rPr>
            <w:noProof/>
            <w:webHidden/>
          </w:rPr>
          <w:t>93</w:t>
        </w:r>
        <w:r>
          <w:rPr>
            <w:noProof/>
            <w:webHidden/>
          </w:rPr>
          <w:fldChar w:fldCharType="end"/>
        </w:r>
      </w:hyperlink>
    </w:p>
    <w:p w14:paraId="28D6600D" w14:textId="67E776FB" w:rsidR="0097492A" w:rsidRDefault="0097492A">
      <w:pPr>
        <w:pStyle w:val="TOC2"/>
        <w:tabs>
          <w:tab w:val="left" w:pos="880"/>
        </w:tabs>
        <w:rPr>
          <w:rFonts w:asciiTheme="minorHAnsi" w:eastAsiaTheme="minorEastAsia" w:hAnsiTheme="minorHAnsi" w:cstheme="minorBidi"/>
          <w:noProof/>
          <w:sz w:val="22"/>
          <w:szCs w:val="22"/>
        </w:rPr>
      </w:pPr>
      <w:hyperlink w:anchor="_Toc12445878" w:history="1">
        <w:r w:rsidRPr="00B93AC2">
          <w:rPr>
            <w:rStyle w:val="Hyperlink"/>
            <w:noProof/>
          </w:rPr>
          <w:t>9.1</w:t>
        </w:r>
        <w:r>
          <w:rPr>
            <w:rFonts w:asciiTheme="minorHAnsi" w:eastAsiaTheme="minorEastAsia" w:hAnsiTheme="minorHAnsi" w:cstheme="minorBidi"/>
            <w:noProof/>
            <w:sz w:val="22"/>
            <w:szCs w:val="22"/>
          </w:rPr>
          <w:tab/>
        </w:r>
        <w:r w:rsidRPr="00B93AC2">
          <w:rPr>
            <w:rStyle w:val="Hyperlink"/>
            <w:noProof/>
          </w:rPr>
          <w:t>Avoided Cost Model Version ACC_2019_v1b</w:t>
        </w:r>
        <w:r>
          <w:rPr>
            <w:noProof/>
            <w:webHidden/>
          </w:rPr>
          <w:tab/>
        </w:r>
        <w:r>
          <w:rPr>
            <w:noProof/>
            <w:webHidden/>
          </w:rPr>
          <w:fldChar w:fldCharType="begin"/>
        </w:r>
        <w:r>
          <w:rPr>
            <w:noProof/>
            <w:webHidden/>
          </w:rPr>
          <w:instrText xml:space="preserve"> PAGEREF _Toc12445878 \h </w:instrText>
        </w:r>
        <w:r>
          <w:rPr>
            <w:noProof/>
            <w:webHidden/>
          </w:rPr>
        </w:r>
        <w:r>
          <w:rPr>
            <w:noProof/>
            <w:webHidden/>
          </w:rPr>
          <w:fldChar w:fldCharType="separate"/>
        </w:r>
        <w:r>
          <w:rPr>
            <w:noProof/>
            <w:webHidden/>
          </w:rPr>
          <w:t>93</w:t>
        </w:r>
        <w:r>
          <w:rPr>
            <w:noProof/>
            <w:webHidden/>
          </w:rPr>
          <w:fldChar w:fldCharType="end"/>
        </w:r>
      </w:hyperlink>
    </w:p>
    <w:p w14:paraId="432F8B25" w14:textId="610D0F2C" w:rsidR="0097492A" w:rsidRDefault="0097492A">
      <w:pPr>
        <w:pStyle w:val="TOC2"/>
        <w:tabs>
          <w:tab w:val="left" w:pos="880"/>
        </w:tabs>
        <w:rPr>
          <w:rFonts w:asciiTheme="minorHAnsi" w:eastAsiaTheme="minorEastAsia" w:hAnsiTheme="minorHAnsi" w:cstheme="minorBidi"/>
          <w:noProof/>
          <w:sz w:val="22"/>
          <w:szCs w:val="22"/>
        </w:rPr>
      </w:pPr>
      <w:hyperlink w:anchor="_Toc12445879" w:history="1">
        <w:r w:rsidRPr="00B93AC2">
          <w:rPr>
            <w:rStyle w:val="Hyperlink"/>
            <w:noProof/>
          </w:rPr>
          <w:t>9.2</w:t>
        </w:r>
        <w:r>
          <w:rPr>
            <w:rFonts w:asciiTheme="minorHAnsi" w:eastAsiaTheme="minorEastAsia" w:hAnsiTheme="minorHAnsi" w:cstheme="minorBidi"/>
            <w:noProof/>
            <w:sz w:val="22"/>
            <w:szCs w:val="22"/>
          </w:rPr>
          <w:tab/>
        </w:r>
        <w:r w:rsidRPr="00B93AC2">
          <w:rPr>
            <w:rStyle w:val="Hyperlink"/>
            <w:noProof/>
          </w:rPr>
          <w:t>Avoided Cost Model Version ACC_2018_v1h</w:t>
        </w:r>
        <w:r>
          <w:rPr>
            <w:noProof/>
            <w:webHidden/>
          </w:rPr>
          <w:tab/>
        </w:r>
        <w:r>
          <w:rPr>
            <w:noProof/>
            <w:webHidden/>
          </w:rPr>
          <w:fldChar w:fldCharType="begin"/>
        </w:r>
        <w:r>
          <w:rPr>
            <w:noProof/>
            <w:webHidden/>
          </w:rPr>
          <w:instrText xml:space="preserve"> PAGEREF _Toc12445879 \h </w:instrText>
        </w:r>
        <w:r>
          <w:rPr>
            <w:noProof/>
            <w:webHidden/>
          </w:rPr>
        </w:r>
        <w:r>
          <w:rPr>
            <w:noProof/>
            <w:webHidden/>
          </w:rPr>
          <w:fldChar w:fldCharType="separate"/>
        </w:r>
        <w:r>
          <w:rPr>
            <w:noProof/>
            <w:webHidden/>
          </w:rPr>
          <w:t>96</w:t>
        </w:r>
        <w:r>
          <w:rPr>
            <w:noProof/>
            <w:webHidden/>
          </w:rPr>
          <w:fldChar w:fldCharType="end"/>
        </w:r>
      </w:hyperlink>
    </w:p>
    <w:p w14:paraId="11F9DBAB" w14:textId="7F8B9783" w:rsidR="0097492A" w:rsidRDefault="0097492A">
      <w:pPr>
        <w:pStyle w:val="TOC2"/>
        <w:tabs>
          <w:tab w:val="left" w:pos="880"/>
        </w:tabs>
        <w:rPr>
          <w:rFonts w:asciiTheme="minorHAnsi" w:eastAsiaTheme="minorEastAsia" w:hAnsiTheme="minorHAnsi" w:cstheme="minorBidi"/>
          <w:noProof/>
          <w:sz w:val="22"/>
          <w:szCs w:val="22"/>
        </w:rPr>
      </w:pPr>
      <w:hyperlink w:anchor="_Toc12445880" w:history="1">
        <w:r w:rsidRPr="00B93AC2">
          <w:rPr>
            <w:rStyle w:val="Hyperlink"/>
            <w:noProof/>
          </w:rPr>
          <w:t>9.3</w:t>
        </w:r>
        <w:r>
          <w:rPr>
            <w:rFonts w:asciiTheme="minorHAnsi" w:eastAsiaTheme="minorEastAsia" w:hAnsiTheme="minorHAnsi" w:cstheme="minorBidi"/>
            <w:noProof/>
            <w:sz w:val="22"/>
            <w:szCs w:val="22"/>
          </w:rPr>
          <w:tab/>
        </w:r>
        <w:r w:rsidRPr="00B93AC2">
          <w:rPr>
            <w:rStyle w:val="Hyperlink"/>
            <w:noProof/>
          </w:rPr>
          <w:t>Avoided Cost Model Version ACC_2017_v1</w:t>
        </w:r>
        <w:r>
          <w:rPr>
            <w:noProof/>
            <w:webHidden/>
          </w:rPr>
          <w:tab/>
        </w:r>
        <w:r>
          <w:rPr>
            <w:noProof/>
            <w:webHidden/>
          </w:rPr>
          <w:fldChar w:fldCharType="begin"/>
        </w:r>
        <w:r>
          <w:rPr>
            <w:noProof/>
            <w:webHidden/>
          </w:rPr>
          <w:instrText xml:space="preserve"> PAGEREF _Toc12445880 \h </w:instrText>
        </w:r>
        <w:r>
          <w:rPr>
            <w:noProof/>
            <w:webHidden/>
          </w:rPr>
        </w:r>
        <w:r>
          <w:rPr>
            <w:noProof/>
            <w:webHidden/>
          </w:rPr>
          <w:fldChar w:fldCharType="separate"/>
        </w:r>
        <w:r>
          <w:rPr>
            <w:noProof/>
            <w:webHidden/>
          </w:rPr>
          <w:t>97</w:t>
        </w:r>
        <w:r>
          <w:rPr>
            <w:noProof/>
            <w:webHidden/>
          </w:rPr>
          <w:fldChar w:fldCharType="end"/>
        </w:r>
      </w:hyperlink>
    </w:p>
    <w:p w14:paraId="396CDEB4" w14:textId="33E2C225" w:rsidR="0097492A" w:rsidRDefault="0097492A">
      <w:pPr>
        <w:pStyle w:val="TOC2"/>
        <w:tabs>
          <w:tab w:val="left" w:pos="880"/>
        </w:tabs>
        <w:rPr>
          <w:rFonts w:asciiTheme="minorHAnsi" w:eastAsiaTheme="minorEastAsia" w:hAnsiTheme="minorHAnsi" w:cstheme="minorBidi"/>
          <w:noProof/>
          <w:sz w:val="22"/>
          <w:szCs w:val="22"/>
        </w:rPr>
      </w:pPr>
      <w:hyperlink w:anchor="_Toc12445881" w:history="1">
        <w:r w:rsidRPr="00B93AC2">
          <w:rPr>
            <w:rStyle w:val="Hyperlink"/>
            <w:noProof/>
          </w:rPr>
          <w:t>9.4</w:t>
        </w:r>
        <w:r>
          <w:rPr>
            <w:rFonts w:asciiTheme="minorHAnsi" w:eastAsiaTheme="minorEastAsia" w:hAnsiTheme="minorHAnsi" w:cstheme="minorBidi"/>
            <w:noProof/>
            <w:sz w:val="22"/>
            <w:szCs w:val="22"/>
          </w:rPr>
          <w:tab/>
        </w:r>
        <w:r w:rsidRPr="00B93AC2">
          <w:rPr>
            <w:rStyle w:val="Hyperlink"/>
            <w:noProof/>
          </w:rPr>
          <w:t>Avoided Cost Model Version ACC_2016_v1</w:t>
        </w:r>
        <w:r>
          <w:rPr>
            <w:noProof/>
            <w:webHidden/>
          </w:rPr>
          <w:tab/>
        </w:r>
        <w:r>
          <w:rPr>
            <w:noProof/>
            <w:webHidden/>
          </w:rPr>
          <w:fldChar w:fldCharType="begin"/>
        </w:r>
        <w:r>
          <w:rPr>
            <w:noProof/>
            <w:webHidden/>
          </w:rPr>
          <w:instrText xml:space="preserve"> PAGEREF _Toc12445881 \h </w:instrText>
        </w:r>
        <w:r>
          <w:rPr>
            <w:noProof/>
            <w:webHidden/>
          </w:rPr>
        </w:r>
        <w:r>
          <w:rPr>
            <w:noProof/>
            <w:webHidden/>
          </w:rPr>
          <w:fldChar w:fldCharType="separate"/>
        </w:r>
        <w:r>
          <w:rPr>
            <w:noProof/>
            <w:webHidden/>
          </w:rPr>
          <w:t>98</w:t>
        </w:r>
        <w:r>
          <w:rPr>
            <w:noProof/>
            <w:webHidden/>
          </w:rPr>
          <w:fldChar w:fldCharType="end"/>
        </w:r>
      </w:hyperlink>
    </w:p>
    <w:p w14:paraId="6C569D04" w14:textId="3DEA6301" w:rsidR="00186B05" w:rsidRPr="00104200" w:rsidRDefault="00186B05" w:rsidP="00E6364B">
      <w:pPr>
        <w:spacing w:before="0" w:after="0" w:line="240" w:lineRule="auto"/>
        <w:rPr>
          <w:b/>
          <w:bCs/>
          <w:noProof/>
        </w:rPr>
      </w:pPr>
      <w:r>
        <w:rPr>
          <w:b/>
          <w:bCs/>
          <w:noProof/>
        </w:rPr>
        <w:fldChar w:fldCharType="end"/>
      </w:r>
      <w:r w:rsidR="00104200">
        <w:rPr>
          <w:b/>
          <w:bCs/>
          <w:noProof/>
        </w:rPr>
        <w:br w:type="page"/>
      </w:r>
    </w:p>
    <w:p w14:paraId="2B3BE80F" w14:textId="77777777" w:rsidR="00D44EEC" w:rsidRPr="00186B05" w:rsidRDefault="00D44EEC" w:rsidP="00FF29A7">
      <w:pPr>
        <w:pStyle w:val="Heading1"/>
      </w:pPr>
      <w:bookmarkStart w:id="3" w:name="_Toc12445825"/>
      <w:r w:rsidRPr="00CC771D">
        <w:lastRenderedPageBreak/>
        <w:t>Overview</w:t>
      </w:r>
      <w:bookmarkEnd w:id="0"/>
      <w:bookmarkEnd w:id="1"/>
      <w:bookmarkEnd w:id="3"/>
    </w:p>
    <w:p w14:paraId="5BC7A1BD" w14:textId="44B1019D" w:rsidR="006C4D3F" w:rsidRDefault="00D44EEC" w:rsidP="00D31D92">
      <w:r w:rsidRPr="007F2179">
        <w:t xml:space="preserve">This </w:t>
      </w:r>
      <w:r w:rsidR="00580A9E" w:rsidRPr="007F2179">
        <w:t xml:space="preserve">technical </w:t>
      </w:r>
      <w:r w:rsidR="00580A9E" w:rsidRPr="000145D0">
        <w:t>memo</w:t>
      </w:r>
      <w:r w:rsidRPr="007F2179">
        <w:t xml:space="preserve"> describes the </w:t>
      </w:r>
      <w:r w:rsidR="00580A9E" w:rsidRPr="007F2179">
        <w:t xml:space="preserve">inputs and methods used to update the avoided costs for cost-effectiveness valuation </w:t>
      </w:r>
      <w:r w:rsidR="000A2828">
        <w:t xml:space="preserve">for </w:t>
      </w:r>
      <w:r w:rsidR="00060B2F">
        <w:t>201</w:t>
      </w:r>
      <w:r w:rsidR="00604A00">
        <w:t>9</w:t>
      </w:r>
      <w:r w:rsidR="00060B2F">
        <w:t xml:space="preserve"> </w:t>
      </w:r>
      <w:r w:rsidR="000A2828">
        <w:t xml:space="preserve">through </w:t>
      </w:r>
      <w:r w:rsidR="000A2828" w:rsidRPr="00597B07">
        <w:t>204</w:t>
      </w:r>
      <w:r w:rsidR="00597B07" w:rsidRPr="00597B07">
        <w:t>9</w:t>
      </w:r>
      <w:r w:rsidR="005C385F">
        <w:t xml:space="preserve">. </w:t>
      </w:r>
      <w:r w:rsidR="00DF7545">
        <w:t xml:space="preserve">The focus of this update is to </w:t>
      </w:r>
      <w:r w:rsidR="004D7C76">
        <w:t>incorporate historical market and weather information from 201</w:t>
      </w:r>
      <w:r w:rsidR="00033948">
        <w:t>8</w:t>
      </w:r>
      <w:r w:rsidR="004D7C76">
        <w:t xml:space="preserve">, </w:t>
      </w:r>
      <w:r w:rsidR="00420900">
        <w:t>as well as</w:t>
      </w:r>
      <w:r w:rsidR="004D7C76">
        <w:t xml:space="preserve"> forecast </w:t>
      </w:r>
      <w:r w:rsidR="00420900">
        <w:t xml:space="preserve">market and commodity prices as of </w:t>
      </w:r>
      <w:r w:rsidR="00033948">
        <w:t xml:space="preserve">May </w:t>
      </w:r>
      <w:r w:rsidR="00420900">
        <w:t>201</w:t>
      </w:r>
      <w:r w:rsidR="00033948">
        <w:t>9</w:t>
      </w:r>
      <w:r w:rsidR="008565B2">
        <w:t xml:space="preserve">. </w:t>
      </w:r>
      <w:r w:rsidR="008E6075">
        <w:t>This</w:t>
      </w:r>
      <w:r w:rsidR="00D200F2">
        <w:t xml:space="preserve"> </w:t>
      </w:r>
      <w:r w:rsidR="0004296A">
        <w:t>update builds upon ACC_201</w:t>
      </w:r>
      <w:r w:rsidR="00033948">
        <w:t>8</w:t>
      </w:r>
      <w:r w:rsidR="0004296A">
        <w:t>_v</w:t>
      </w:r>
      <w:r w:rsidR="00557A88">
        <w:t>1</w:t>
      </w:r>
      <w:r w:rsidR="00FF619B">
        <w:t>h</w:t>
      </w:r>
      <w:r w:rsidR="0004296A">
        <w:t xml:space="preserve"> of the avoided cost calculator</w:t>
      </w:r>
      <w:r w:rsidR="00A4618D">
        <w:t xml:space="preserve"> (ACC)</w:t>
      </w:r>
      <w:r w:rsidR="0004296A">
        <w:t>.</w:t>
      </w:r>
      <w:r w:rsidR="00DA20DB">
        <w:t xml:space="preserve"> </w:t>
      </w:r>
      <w:r w:rsidR="00557AF7">
        <w:t>Major m</w:t>
      </w:r>
      <w:r w:rsidR="00DA20DB">
        <w:t>ethodolog</w:t>
      </w:r>
      <w:r w:rsidR="00557AF7">
        <w:t>ical</w:t>
      </w:r>
      <w:r w:rsidR="00DA20DB">
        <w:t xml:space="preserve"> changes were not considered</w:t>
      </w:r>
      <w:r w:rsidR="005C385F">
        <w:t>.</w:t>
      </w:r>
    </w:p>
    <w:p w14:paraId="344249FD" w14:textId="387B936A" w:rsidR="00722D29" w:rsidRDefault="00DA20DB" w:rsidP="00D31D92">
      <w:r>
        <w:t>The new avoided cost calculator is ACC_201</w:t>
      </w:r>
      <w:r w:rsidR="00CD259B">
        <w:t>9</w:t>
      </w:r>
      <w:r>
        <w:t>_v1</w:t>
      </w:r>
      <w:r w:rsidR="00FF619B">
        <w:t>b</w:t>
      </w:r>
      <w:r>
        <w:t>.</w:t>
      </w:r>
    </w:p>
    <w:p w14:paraId="50039075" w14:textId="1604491E" w:rsidR="00557A88" w:rsidRDefault="00557A88" w:rsidP="00B76B06">
      <w:pPr>
        <w:pStyle w:val="Heading2"/>
      </w:pPr>
      <w:bookmarkStart w:id="4" w:name="_Toc12445826"/>
      <w:r>
        <w:t>Data Updates and Corrections</w:t>
      </w:r>
      <w:bookmarkEnd w:id="4"/>
    </w:p>
    <w:p w14:paraId="1A99EB6D" w14:textId="0CF8ED37" w:rsidR="00AC01B7" w:rsidRPr="00B76B06" w:rsidRDefault="00557A88" w:rsidP="00B76B06">
      <w:pPr>
        <w:rPr>
          <w:highlight w:val="yellow"/>
        </w:rPr>
      </w:pPr>
      <w:r>
        <w:t>D</w:t>
      </w:r>
      <w:r w:rsidR="00722D29">
        <w:t xml:space="preserve">ata updates </w:t>
      </w:r>
      <w:r>
        <w:t xml:space="preserve">included in ACC_2019_v1b </w:t>
      </w:r>
      <w:r w:rsidR="00CC641F">
        <w:t>are listed below</w:t>
      </w:r>
      <w:r w:rsidR="00D91963">
        <w:t>:</w:t>
      </w:r>
    </w:p>
    <w:p w14:paraId="5A34B302" w14:textId="77777777" w:rsidR="00F60ECE" w:rsidRDefault="00F60ECE" w:rsidP="00AC01B7">
      <w:pPr>
        <w:numPr>
          <w:ilvl w:val="0"/>
          <w:numId w:val="2"/>
        </w:numPr>
      </w:pPr>
      <w:r>
        <w:t>Natural gas prices</w:t>
      </w:r>
    </w:p>
    <w:p w14:paraId="1DE96C59" w14:textId="42284BC8" w:rsidR="00AC01B7" w:rsidRDefault="00795BDE" w:rsidP="00B76B06">
      <w:pPr>
        <w:numPr>
          <w:ilvl w:val="1"/>
          <w:numId w:val="2"/>
        </w:numPr>
      </w:pPr>
      <w:r>
        <w:t>New York Mercantile Exchange (</w:t>
      </w:r>
      <w:r w:rsidR="0063075E">
        <w:t>NYMEX</w:t>
      </w:r>
      <w:r>
        <w:t>)</w:t>
      </w:r>
      <w:r w:rsidR="0063075E">
        <w:t xml:space="preserve"> natural gas futures prices</w:t>
      </w:r>
      <w:r w:rsidR="00554457">
        <w:t xml:space="preserve"> from most recent 22 trading days</w:t>
      </w:r>
    </w:p>
    <w:p w14:paraId="467EE494" w14:textId="73751524" w:rsidR="00387E19" w:rsidRDefault="00387E19" w:rsidP="00B76B06">
      <w:pPr>
        <w:numPr>
          <w:ilvl w:val="1"/>
          <w:numId w:val="2"/>
        </w:numPr>
      </w:pPr>
      <w:r>
        <w:t>Long-term natural gas forecast using revised 201</w:t>
      </w:r>
      <w:r w:rsidR="00A17EAA">
        <w:t>9</w:t>
      </w:r>
      <w:r>
        <w:t xml:space="preserve"> </w:t>
      </w:r>
      <w:r w:rsidR="00795BDE">
        <w:t>Integrated Energy Policy report (</w:t>
      </w:r>
      <w:r>
        <w:t>IEPR</w:t>
      </w:r>
      <w:r w:rsidR="00795BDE">
        <w:t>)</w:t>
      </w:r>
      <w:r>
        <w:t xml:space="preserve"> Mid-Demand case</w:t>
      </w:r>
      <w:r w:rsidR="00E8092E">
        <w:t xml:space="preserve">, and </w:t>
      </w:r>
      <w:r w:rsidR="00795BDE">
        <w:t>Energy Information Administration (</w:t>
      </w:r>
      <w:r w:rsidR="00F60ECE">
        <w:t>EIA</w:t>
      </w:r>
      <w:r w:rsidR="00795BDE">
        <w:t>)</w:t>
      </w:r>
      <w:r w:rsidR="00F60ECE">
        <w:t xml:space="preserve"> 201</w:t>
      </w:r>
      <w:r w:rsidR="00CD259B">
        <w:t>9</w:t>
      </w:r>
      <w:r w:rsidR="00F60ECE">
        <w:t xml:space="preserve"> </w:t>
      </w:r>
      <w:r w:rsidR="00795BDE">
        <w:t>Annual Energy Outlook (</w:t>
      </w:r>
      <w:r w:rsidR="00F60ECE">
        <w:t>AEO</w:t>
      </w:r>
      <w:r w:rsidR="00795BDE">
        <w:t>)</w:t>
      </w:r>
      <w:r w:rsidR="00F60ECE">
        <w:t xml:space="preserve"> Report</w:t>
      </w:r>
    </w:p>
    <w:p w14:paraId="2F213A4F" w14:textId="25C5610F" w:rsidR="00F60ECE" w:rsidRDefault="00D216FA" w:rsidP="00F60ECE">
      <w:pPr>
        <w:numPr>
          <w:ilvl w:val="1"/>
          <w:numId w:val="2"/>
        </w:numPr>
      </w:pPr>
      <w:r>
        <w:t>SoCal</w:t>
      </w:r>
      <w:r w:rsidR="00F60ECE">
        <w:t>, PG&amp;E BB and PG&amp;E LT natural gas transportation rates from 201</w:t>
      </w:r>
      <w:r w:rsidR="00325EDA">
        <w:t>9</w:t>
      </w:r>
      <w:r w:rsidR="00F60ECE">
        <w:t xml:space="preserve"> </w:t>
      </w:r>
      <w:r w:rsidR="001A72DD">
        <w:t>tariff sheets (effective April 1, 2019)</w:t>
      </w:r>
    </w:p>
    <w:p w14:paraId="2B9EDF24" w14:textId="788AFDFA" w:rsidR="00F60ECE" w:rsidRDefault="00F60ECE" w:rsidP="00F60ECE">
      <w:pPr>
        <w:numPr>
          <w:ilvl w:val="1"/>
          <w:numId w:val="2"/>
        </w:numPr>
      </w:pPr>
      <w:r>
        <w:t>Municipal surcharge rate</w:t>
      </w:r>
      <w:r w:rsidR="00064471">
        <w:t xml:space="preserve"> for </w:t>
      </w:r>
      <w:r w:rsidR="00D216FA">
        <w:t>SoCal</w:t>
      </w:r>
      <w:r w:rsidR="001021F6">
        <w:t xml:space="preserve"> Gas</w:t>
      </w:r>
    </w:p>
    <w:p w14:paraId="2CED1C4E" w14:textId="6F5D3CD9" w:rsidR="00F60ECE" w:rsidRDefault="00F60ECE" w:rsidP="00F60ECE">
      <w:pPr>
        <w:numPr>
          <w:ilvl w:val="0"/>
          <w:numId w:val="2"/>
        </w:numPr>
      </w:pPr>
      <w:r>
        <w:lastRenderedPageBreak/>
        <w:t>Electricity Forward prices</w:t>
      </w:r>
      <w:r w:rsidR="005C385F">
        <w:t xml:space="preserve">. </w:t>
      </w:r>
      <w:r>
        <w:t>On-peak and Off-peak forwards for NP-15 and SP-15</w:t>
      </w:r>
      <w:r w:rsidR="00795BDE">
        <w:rPr>
          <w:rStyle w:val="FootnoteReference"/>
        </w:rPr>
        <w:footnoteReference w:id="2"/>
      </w:r>
      <w:r>
        <w:t xml:space="preserve"> using most recent 22 trading days</w:t>
      </w:r>
    </w:p>
    <w:p w14:paraId="667478E1" w14:textId="342BB0BB" w:rsidR="000A1CC0" w:rsidRDefault="000A1CC0" w:rsidP="00F60ECE">
      <w:pPr>
        <w:numPr>
          <w:ilvl w:val="0"/>
          <w:numId w:val="2"/>
        </w:numPr>
      </w:pPr>
      <w:r>
        <w:t xml:space="preserve">Ancillary service costs </w:t>
      </w:r>
      <w:r w:rsidR="001427A0">
        <w:t xml:space="preserve">updated to </w:t>
      </w:r>
      <w:r w:rsidR="00945EAD">
        <w:t>0</w:t>
      </w:r>
      <w:r w:rsidR="00E9742B">
        <w:t>.</w:t>
      </w:r>
      <w:r w:rsidR="00945EAD">
        <w:t>9</w:t>
      </w:r>
      <w:r w:rsidR="001427A0">
        <w:t xml:space="preserve">% for annual energy from </w:t>
      </w:r>
      <w:r w:rsidR="00192F7D">
        <w:t xml:space="preserve">the </w:t>
      </w:r>
      <w:r w:rsidR="001427A0" w:rsidRPr="00192F7D">
        <w:rPr>
          <w:i/>
          <w:iCs/>
        </w:rPr>
        <w:t>CAISO 201</w:t>
      </w:r>
      <w:r w:rsidR="00945EAD" w:rsidRPr="00192F7D">
        <w:rPr>
          <w:i/>
          <w:iCs/>
        </w:rPr>
        <w:t>8</w:t>
      </w:r>
      <w:r w:rsidR="001427A0" w:rsidRPr="00192F7D">
        <w:rPr>
          <w:i/>
          <w:iCs/>
        </w:rPr>
        <w:t xml:space="preserve"> </w:t>
      </w:r>
      <w:r w:rsidR="006960AD" w:rsidRPr="00192F7D">
        <w:rPr>
          <w:i/>
          <w:iCs/>
        </w:rPr>
        <w:t>Annual Report on Market Issues and Performance</w:t>
      </w:r>
      <w:r w:rsidR="00AA48CC">
        <w:t>, excluding regulation services</w:t>
      </w:r>
      <w:r w:rsidR="00E9742B">
        <w:t xml:space="preserve">. </w:t>
      </w:r>
      <w:r w:rsidR="006960AD">
        <w:t>(</w:t>
      </w:r>
      <w:r w:rsidR="00655A34">
        <w:t xml:space="preserve">from </w:t>
      </w:r>
      <w:r w:rsidR="006960AD">
        <w:t>p</w:t>
      </w:r>
      <w:r w:rsidR="004A3362">
        <w:t>p</w:t>
      </w:r>
      <w:r w:rsidR="006960AD">
        <w:t>. 1</w:t>
      </w:r>
      <w:r w:rsidR="00945EAD">
        <w:t>41-142</w:t>
      </w:r>
      <w:r w:rsidR="00655A34">
        <w:t xml:space="preserve"> of that report</w:t>
      </w:r>
      <w:r w:rsidR="006960AD">
        <w:t>)</w:t>
      </w:r>
      <w:r w:rsidR="001427A0">
        <w:t xml:space="preserve"> </w:t>
      </w:r>
    </w:p>
    <w:p w14:paraId="3EE23B50" w14:textId="5E78E2A9" w:rsidR="00F60ECE" w:rsidRDefault="00F60ECE" w:rsidP="00F60ECE">
      <w:pPr>
        <w:numPr>
          <w:ilvl w:val="0"/>
          <w:numId w:val="2"/>
        </w:numPr>
      </w:pPr>
      <w:r>
        <w:t>Hourly Market Price Shapes</w:t>
      </w:r>
    </w:p>
    <w:p w14:paraId="5E9C4BA7" w14:textId="12336C4D" w:rsidR="00F60ECE" w:rsidRDefault="008B44B8" w:rsidP="00F60ECE">
      <w:pPr>
        <w:numPr>
          <w:ilvl w:val="1"/>
          <w:numId w:val="2"/>
        </w:numPr>
      </w:pPr>
      <w:r>
        <w:t>Day-ahead</w:t>
      </w:r>
      <w:r w:rsidR="00F60ECE">
        <w:t xml:space="preserve"> and </w:t>
      </w:r>
      <w:r w:rsidR="004B6078">
        <w:t>real-time</w:t>
      </w:r>
      <w:r w:rsidR="00F60ECE">
        <w:t xml:space="preserve"> prices for 201</w:t>
      </w:r>
      <w:r w:rsidR="004A3362">
        <w:t>8</w:t>
      </w:r>
      <w:r w:rsidR="00F60ECE">
        <w:t xml:space="preserve"> for NP-15 and SP-15</w:t>
      </w:r>
      <w:r w:rsidR="005C385F">
        <w:t xml:space="preserve">. </w:t>
      </w:r>
    </w:p>
    <w:p w14:paraId="1BCC8BD3" w14:textId="7CEE4F68" w:rsidR="00F60ECE" w:rsidRDefault="00F60ECE" w:rsidP="00F60ECE">
      <w:pPr>
        <w:numPr>
          <w:ilvl w:val="1"/>
          <w:numId w:val="2"/>
        </w:numPr>
      </w:pPr>
      <w:r>
        <w:t>Daily 201</w:t>
      </w:r>
      <w:r w:rsidR="004A3362">
        <w:t>8</w:t>
      </w:r>
      <w:r>
        <w:t xml:space="preserve"> natural gas spot prices</w:t>
      </w:r>
      <w:r w:rsidR="004A3362">
        <w:t xml:space="preserve"> for PG&amp;E </w:t>
      </w:r>
      <w:r w:rsidR="00833E23">
        <w:t>Citygate</w:t>
      </w:r>
      <w:r w:rsidR="004A3362">
        <w:t xml:space="preserve"> and </w:t>
      </w:r>
      <w:r w:rsidR="00D216FA">
        <w:t>SoCal</w:t>
      </w:r>
      <w:r w:rsidR="004A3362">
        <w:t xml:space="preserve"> Border hubs</w:t>
      </w:r>
      <w:r>
        <w:t xml:space="preserve"> (used to derive </w:t>
      </w:r>
      <w:r w:rsidR="00512634">
        <w:t>implied heat</w:t>
      </w:r>
      <w:r>
        <w:t xml:space="preserve"> rates)</w:t>
      </w:r>
    </w:p>
    <w:p w14:paraId="3C602336" w14:textId="5B31AA62" w:rsidR="00E9742B" w:rsidRDefault="00F60ECE" w:rsidP="00E9742B">
      <w:pPr>
        <w:numPr>
          <w:ilvl w:val="1"/>
          <w:numId w:val="2"/>
        </w:numPr>
      </w:pPr>
      <w:r>
        <w:t>Average 201</w:t>
      </w:r>
      <w:r w:rsidR="004A3362">
        <w:t>8</w:t>
      </w:r>
      <w:r>
        <w:t xml:space="preserve"> CO</w:t>
      </w:r>
      <w:r w:rsidRPr="004A3362">
        <w:rPr>
          <w:vertAlign w:val="subscript"/>
        </w:rPr>
        <w:t>2</w:t>
      </w:r>
      <w:r>
        <w:t xml:space="preserve"> trading price</w:t>
      </w:r>
      <w:r w:rsidR="004A3362">
        <w:t xml:space="preserve">, from March 2019 IEPR </w:t>
      </w:r>
      <w:r w:rsidR="00E420D5" w:rsidRPr="00E420D5">
        <w:t>(</w:t>
      </w:r>
      <w:r w:rsidR="004A3362" w:rsidRPr="00E420D5">
        <w:rPr>
          <w:i/>
        </w:rPr>
        <w:t>Preliminary Carbon Allowance Price Scenarios</w:t>
      </w:r>
      <w:r w:rsidR="00E420D5">
        <w:t>)</w:t>
      </w:r>
    </w:p>
    <w:p w14:paraId="55F20ACC" w14:textId="2C727B4E" w:rsidR="00D91963" w:rsidRDefault="00E47E9E" w:rsidP="00795BDE">
      <w:pPr>
        <w:numPr>
          <w:ilvl w:val="0"/>
          <w:numId w:val="2"/>
        </w:numPr>
      </w:pPr>
      <w:r>
        <w:t>CO</w:t>
      </w:r>
      <w:r w:rsidRPr="004A3362">
        <w:rPr>
          <w:vertAlign w:val="subscript"/>
        </w:rPr>
        <w:t>2</w:t>
      </w:r>
      <w:r>
        <w:t xml:space="preserve"> market price forecast </w:t>
      </w:r>
      <w:r w:rsidR="00F60ECE">
        <w:t>from</w:t>
      </w:r>
      <w:r w:rsidR="0088296D">
        <w:t xml:space="preserve"> Revised 201</w:t>
      </w:r>
      <w:r w:rsidR="004A3362">
        <w:t>9</w:t>
      </w:r>
      <w:r w:rsidR="0088296D">
        <w:t xml:space="preserve"> IEPR </w:t>
      </w:r>
      <w:r w:rsidR="00F60ECE">
        <w:t>M</w:t>
      </w:r>
      <w:r w:rsidR="0088296D">
        <w:t>id-</w:t>
      </w:r>
      <w:r w:rsidR="00F60ECE">
        <w:t>D</w:t>
      </w:r>
      <w:r w:rsidR="0088296D">
        <w:t>emand forecast</w:t>
      </w:r>
    </w:p>
    <w:p w14:paraId="110C0B42" w14:textId="4540EA01" w:rsidR="00D91963" w:rsidRDefault="00795BDE" w:rsidP="00D91963">
      <w:pPr>
        <w:numPr>
          <w:ilvl w:val="0"/>
          <w:numId w:val="2"/>
        </w:numPr>
      </w:pPr>
      <w:r>
        <w:t>Transmission and distribution (</w:t>
      </w:r>
      <w:r w:rsidR="00D91963" w:rsidRPr="00D91963">
        <w:t>T&amp;D</w:t>
      </w:r>
      <w:r>
        <w:t>)</w:t>
      </w:r>
      <w:r w:rsidR="00D91963" w:rsidRPr="00D91963">
        <w:t xml:space="preserve"> marginal costs ($/kW-yr values) </w:t>
      </w:r>
      <w:r w:rsidR="00D91963">
        <w:t xml:space="preserve">were </w:t>
      </w:r>
      <w:r w:rsidR="009A3870">
        <w:t xml:space="preserve">updated </w:t>
      </w:r>
      <w:r w:rsidR="00D91963">
        <w:t>from the following sources:</w:t>
      </w:r>
    </w:p>
    <w:p w14:paraId="16188EBD" w14:textId="77777777" w:rsidR="00D91963" w:rsidRDefault="00D91963" w:rsidP="00D91963">
      <w:pPr>
        <w:pStyle w:val="ListParagraph"/>
        <w:numPr>
          <w:ilvl w:val="0"/>
          <w:numId w:val="22"/>
        </w:numPr>
      </w:pPr>
      <w:r w:rsidRPr="00D91963">
        <w:rPr>
          <w:u w:val="single"/>
        </w:rPr>
        <w:t>PG&amp;E</w:t>
      </w:r>
      <w:r>
        <w:t>: settlement agreement in the utility’s 2017 Phase II General Rate Case (GRC) proceeding.</w:t>
      </w:r>
    </w:p>
    <w:p w14:paraId="04B730D7" w14:textId="77777777" w:rsidR="00D91963" w:rsidRDefault="00D91963" w:rsidP="00D91963">
      <w:pPr>
        <w:pStyle w:val="ListParagraph"/>
        <w:numPr>
          <w:ilvl w:val="0"/>
          <w:numId w:val="22"/>
        </w:numPr>
      </w:pPr>
      <w:r w:rsidRPr="00D91963">
        <w:rPr>
          <w:u w:val="single"/>
        </w:rPr>
        <w:t>SCE</w:t>
      </w:r>
      <w:r>
        <w:t xml:space="preserve">: </w:t>
      </w:r>
      <w:r w:rsidRPr="00CE0423">
        <w:t>estimate</w:t>
      </w:r>
      <w:r>
        <w:t>s</w:t>
      </w:r>
      <w:r w:rsidRPr="00CE0423">
        <w:t xml:space="preserve"> by SCE’s regression analysis of cumulative distribution capacity-related investments and cumulative peak loads</w:t>
      </w:r>
      <w:r>
        <w:t>,</w:t>
      </w:r>
      <w:r w:rsidRPr="00CE0423">
        <w:t xml:space="preserve"> consistent with avoided distribution capacity costs that have been used for SCE in prior avoided cost updates.</w:t>
      </w:r>
    </w:p>
    <w:p w14:paraId="6F6BBEE7" w14:textId="5FB3830B" w:rsidR="0052712A" w:rsidRDefault="00D91963" w:rsidP="00D91963">
      <w:pPr>
        <w:pStyle w:val="ListParagraph"/>
        <w:numPr>
          <w:ilvl w:val="0"/>
          <w:numId w:val="22"/>
        </w:numPr>
      </w:pPr>
      <w:r w:rsidRPr="00D91963">
        <w:rPr>
          <w:u w:val="single"/>
        </w:rPr>
        <w:lastRenderedPageBreak/>
        <w:t>SDG&amp;E</w:t>
      </w:r>
      <w:r>
        <w:t>: testimony filed by the utility in its 2016 GRC (as these costs were not adopted in the proceeding or related settlement agreement).</w:t>
      </w:r>
    </w:p>
    <w:p w14:paraId="3F453ED9" w14:textId="5C2819D4" w:rsidR="00F675AF" w:rsidRDefault="0084098F" w:rsidP="0052712A">
      <w:pPr>
        <w:numPr>
          <w:ilvl w:val="0"/>
          <w:numId w:val="2"/>
        </w:numPr>
      </w:pPr>
      <w:r>
        <w:t xml:space="preserve">T&amp;D hourly allocation factors </w:t>
      </w:r>
      <w:r w:rsidR="00D91963">
        <w:t xml:space="preserve">were </w:t>
      </w:r>
      <w:r w:rsidR="00C2787E">
        <w:t>updated based on</w:t>
      </w:r>
      <w:r>
        <w:t xml:space="preserve"> 201</w:t>
      </w:r>
      <w:r w:rsidR="004A3362">
        <w:t>8</w:t>
      </w:r>
      <w:r>
        <w:t xml:space="preserve"> recorded weather by climate zone</w:t>
      </w:r>
      <w:r w:rsidR="00064471">
        <w:t>, and 201</w:t>
      </w:r>
      <w:r w:rsidR="004A3362">
        <w:t>8</w:t>
      </w:r>
      <w:r w:rsidR="00064471">
        <w:t xml:space="preserve"> weekend and holiday schedules</w:t>
      </w:r>
      <w:r w:rsidR="00D91963">
        <w:t>.</w:t>
      </w:r>
    </w:p>
    <w:p w14:paraId="787A1873" w14:textId="580B4B3B" w:rsidR="00CB6E0B" w:rsidRDefault="00C2787E" w:rsidP="00CB6E0B">
      <w:pPr>
        <w:numPr>
          <w:ilvl w:val="0"/>
          <w:numId w:val="2"/>
        </w:numPr>
      </w:pPr>
      <w:r>
        <w:t>Generation</w:t>
      </w:r>
      <w:r w:rsidR="008E7D5B">
        <w:t xml:space="preserve"> capacity hourly allocation factors </w:t>
      </w:r>
      <w:r w:rsidR="00D91963">
        <w:t xml:space="preserve">were </w:t>
      </w:r>
      <w:r>
        <w:t xml:space="preserve">updated </w:t>
      </w:r>
      <w:r w:rsidR="008E7D5B">
        <w:t>using 201</w:t>
      </w:r>
      <w:r w:rsidR="004A3362">
        <w:t>8</w:t>
      </w:r>
      <w:r w:rsidR="008E7D5B">
        <w:t xml:space="preserve"> recorded weather</w:t>
      </w:r>
      <w:r w:rsidR="00D91963">
        <w:t>.</w:t>
      </w:r>
    </w:p>
    <w:p w14:paraId="49D39D92" w14:textId="42B09CB2" w:rsidR="00C2787E" w:rsidRDefault="006A5BB9" w:rsidP="00AC01B7">
      <w:pPr>
        <w:numPr>
          <w:ilvl w:val="0"/>
          <w:numId w:val="2"/>
        </w:numPr>
      </w:pPr>
      <w:r>
        <w:t xml:space="preserve">New natural gas generation costs and performance </w:t>
      </w:r>
      <w:r w:rsidR="008B384B">
        <w:t>remain</w:t>
      </w:r>
      <w:r>
        <w:t xml:space="preserve"> based on 2017 </w:t>
      </w:r>
      <w:r w:rsidR="00795BDE">
        <w:t>Integrated Resource Plan (</w:t>
      </w:r>
      <w:r>
        <w:t>IRP</w:t>
      </w:r>
      <w:r w:rsidR="00795BDE">
        <w:t>)</w:t>
      </w:r>
      <w:r>
        <w:t xml:space="preserve"> assumptions</w:t>
      </w:r>
      <w:r w:rsidR="008B384B">
        <w:t xml:space="preserve"> (no change from 2018 </w:t>
      </w:r>
      <w:r w:rsidR="00812CDC">
        <w:t>version of the ACC</w:t>
      </w:r>
      <w:r w:rsidR="008B384B">
        <w:t>)</w:t>
      </w:r>
      <w:r w:rsidR="00CC279D">
        <w:t xml:space="preserve">, while </w:t>
      </w:r>
      <w:r w:rsidR="00182A46">
        <w:t>financing costs for new generation have been updated</w:t>
      </w:r>
      <w:r w:rsidR="005F1D61">
        <w:t xml:space="preserve"> based on </w:t>
      </w:r>
      <w:r w:rsidR="00381BDB">
        <w:t xml:space="preserve">the CEC’s 2019 </w:t>
      </w:r>
      <w:r w:rsidR="00381BDB" w:rsidRPr="00381BDB">
        <w:rPr>
          <w:i/>
          <w:iCs/>
        </w:rPr>
        <w:t>Estimated Cost of New Utility-Scale Generation in California: 2018 Update</w:t>
      </w:r>
      <w:r w:rsidR="00C51A62" w:rsidRPr="00C156C5">
        <w:t>.</w:t>
      </w:r>
    </w:p>
    <w:p w14:paraId="379BC62F" w14:textId="014B599A" w:rsidR="009E469F" w:rsidRPr="00597B07" w:rsidRDefault="0084118A" w:rsidP="00C269A0">
      <w:pPr>
        <w:numPr>
          <w:ilvl w:val="0"/>
          <w:numId w:val="2"/>
        </w:numPr>
      </w:pPr>
      <w:r>
        <w:t>Several i</w:t>
      </w:r>
      <w:r w:rsidR="009E469F" w:rsidRPr="00597B07">
        <w:t>nputs for natural gas avoided costs</w:t>
      </w:r>
      <w:r>
        <w:t xml:space="preserve"> were updated</w:t>
      </w:r>
      <w:r w:rsidR="009E469F" w:rsidRPr="00597B07">
        <w:t>, in addition to the market prices used for electricity avoided costs:</w:t>
      </w:r>
    </w:p>
    <w:p w14:paraId="1C59BE61" w14:textId="6167B18D" w:rsidR="0012336C" w:rsidRPr="00597B07" w:rsidRDefault="008C416A" w:rsidP="00F65A44">
      <w:pPr>
        <w:numPr>
          <w:ilvl w:val="1"/>
          <w:numId w:val="2"/>
        </w:numPr>
      </w:pPr>
      <w:r w:rsidRPr="00597B07">
        <w:t>California</w:t>
      </w:r>
      <w:r w:rsidR="0012336C" w:rsidRPr="00597B07">
        <w:t xml:space="preserve"> electric generation gas price forecast from the updated “MPR Gas Forecast 2019”</w:t>
      </w:r>
      <w:r w:rsidR="00795BDE">
        <w:rPr>
          <w:rStyle w:val="FootnoteReference"/>
        </w:rPr>
        <w:footnoteReference w:id="3"/>
      </w:r>
    </w:p>
    <w:p w14:paraId="397EA47C" w14:textId="77777777" w:rsidR="009267AA" w:rsidRPr="00597B07" w:rsidRDefault="00B27CE3" w:rsidP="001E6548">
      <w:pPr>
        <w:numPr>
          <w:ilvl w:val="1"/>
          <w:numId w:val="2"/>
        </w:numPr>
      </w:pPr>
      <w:r w:rsidRPr="00597B07">
        <w:t>Gas t</w:t>
      </w:r>
      <w:r w:rsidR="005B76F2" w:rsidRPr="00597B07">
        <w:t>ransportation rates sourced directly from</w:t>
      </w:r>
      <w:r w:rsidRPr="00597B07">
        <w:t xml:space="preserve"> current utility </w:t>
      </w:r>
      <w:r w:rsidR="009267AA" w:rsidRPr="00597B07">
        <w:t>tariffs</w:t>
      </w:r>
    </w:p>
    <w:p w14:paraId="28E06D3A" w14:textId="1F667B7D" w:rsidR="009457DE" w:rsidRDefault="00163213" w:rsidP="00F65A44">
      <w:pPr>
        <w:numPr>
          <w:ilvl w:val="1"/>
          <w:numId w:val="2"/>
        </w:numPr>
      </w:pPr>
      <w:r w:rsidRPr="00597B07">
        <w:t xml:space="preserve">Inflation rate and nominal discount rate to </w:t>
      </w:r>
      <w:r w:rsidR="009B5169" w:rsidRPr="00597B07">
        <w:t>reflect values used in the electricity ACC model.</w:t>
      </w:r>
    </w:p>
    <w:p w14:paraId="399C206F" w14:textId="28D3D548" w:rsidR="00FA153F" w:rsidRDefault="00FA153F" w:rsidP="00FA153F">
      <w:r>
        <w:t>In addition to the updates described above, several corrections to the ACC have been made:</w:t>
      </w:r>
    </w:p>
    <w:p w14:paraId="12177AD7" w14:textId="0CF8ED16" w:rsidR="00FA153F" w:rsidRDefault="00FA153F" w:rsidP="00FA153F">
      <w:pPr>
        <w:pStyle w:val="ListParagraph"/>
        <w:numPr>
          <w:ilvl w:val="0"/>
          <w:numId w:val="28"/>
        </w:numPr>
      </w:pPr>
      <w:bookmarkStart w:id="5" w:name="_Hlk11306341"/>
      <w:r>
        <w:lastRenderedPageBreak/>
        <w:t xml:space="preserve">Inconsistent calculation references to Northern California vs. Southern California price </w:t>
      </w:r>
      <w:r w:rsidR="009C1248">
        <w:t xml:space="preserve">and temperature </w:t>
      </w:r>
      <w:r>
        <w:t>adjustments</w:t>
      </w:r>
      <w:r w:rsidR="009C1248">
        <w:t xml:space="preserve"> and heat rate multipliers </w:t>
      </w:r>
      <w:r>
        <w:t>were resolved (on the “Market Dynamics” tab).</w:t>
      </w:r>
    </w:p>
    <w:p w14:paraId="3C31E84D" w14:textId="653B219E" w:rsidR="00FA153F" w:rsidRDefault="00FA153F" w:rsidP="00FA153F">
      <w:pPr>
        <w:pStyle w:val="ListParagraph"/>
        <w:numPr>
          <w:ilvl w:val="0"/>
          <w:numId w:val="28"/>
        </w:numPr>
      </w:pPr>
      <w:r>
        <w:t>The model was updated to account for hours with negative energy prices but positive GHG emissions (a situation which will no longer occur).</w:t>
      </w:r>
    </w:p>
    <w:p w14:paraId="61AA02AC" w14:textId="0BCFCF75" w:rsidR="00FA153F" w:rsidRDefault="00FA153F" w:rsidP="00FA153F">
      <w:pPr>
        <w:pStyle w:val="ListParagraph"/>
        <w:numPr>
          <w:ilvl w:val="0"/>
          <w:numId w:val="28"/>
        </w:numPr>
      </w:pPr>
      <w:r>
        <w:t xml:space="preserve">The regression equations used to estimate T&amp;D allocation factors were corrected to include an improved forecast of distributed PV by climate zone (see Section </w:t>
      </w:r>
      <w:r>
        <w:fldChar w:fldCharType="begin"/>
      </w:r>
      <w:r>
        <w:instrText xml:space="preserve"> REF _Ref10615790 \n \h </w:instrText>
      </w:r>
      <w:r>
        <w:fldChar w:fldCharType="separate"/>
      </w:r>
      <w:r w:rsidR="0097492A">
        <w:t>4.5.1</w:t>
      </w:r>
      <w:r>
        <w:fldChar w:fldCharType="end"/>
      </w:r>
      <w:r>
        <w:t xml:space="preserve"> for additional detail).</w:t>
      </w:r>
      <w:bookmarkEnd w:id="5"/>
    </w:p>
    <w:p w14:paraId="1BD7F5A7" w14:textId="62134C1B" w:rsidR="006D1B5E" w:rsidRDefault="006D1B5E" w:rsidP="006D1B5E">
      <w:pPr>
        <w:pStyle w:val="ListParagraph"/>
        <w:numPr>
          <w:ilvl w:val="0"/>
          <w:numId w:val="28"/>
        </w:numPr>
      </w:pPr>
      <w:r w:rsidRPr="006D1B5E">
        <w:t>The “DR Outputs”</w:t>
      </w:r>
      <w:r w:rsidR="00795BDE">
        <w:rPr>
          <w:rStyle w:val="FootnoteReference"/>
        </w:rPr>
        <w:footnoteReference w:id="4"/>
      </w:r>
      <w:r w:rsidRPr="006D1B5E">
        <w:t xml:space="preserve"> tab was corrected to report </w:t>
      </w:r>
      <w:r w:rsidR="0064080F">
        <w:t xml:space="preserve">outputs for </w:t>
      </w:r>
      <w:r w:rsidRPr="006D1B5E">
        <w:t>five years</w:t>
      </w:r>
      <w:r w:rsidR="0064080F">
        <w:t>,</w:t>
      </w:r>
      <w:r w:rsidRPr="006D1B5E">
        <w:t xml:space="preserve"> rather than three.</w:t>
      </w:r>
    </w:p>
    <w:p w14:paraId="6342274B" w14:textId="539DF6B9" w:rsidR="00DB6AE4" w:rsidRDefault="00DB6AE4" w:rsidP="00DB6AE4">
      <w:r>
        <w:t>Finally, the following methodological change was made for the 2019 ACC update.</w:t>
      </w:r>
    </w:p>
    <w:p w14:paraId="6E0EEF65" w14:textId="514745D7" w:rsidR="00DB6AE4" w:rsidRPr="00597B07" w:rsidRDefault="00DB6AE4" w:rsidP="00DB6AE4">
      <w:pPr>
        <w:pStyle w:val="ListParagraph"/>
        <w:numPr>
          <w:ilvl w:val="0"/>
          <w:numId w:val="29"/>
        </w:numPr>
      </w:pPr>
      <w:r>
        <w:t xml:space="preserve">The assumed high efficiency heat rate threshold for natural gas generators was reduced from 6,900 to </w:t>
      </w:r>
      <w:r w:rsidR="00F545FD">
        <w:t>zero</w:t>
      </w:r>
      <w:r>
        <w:t xml:space="preserve"> Btu/kWh, to reflect that hours with low implied marginal heat rates may represent averaging of marginal fossil fuel and renewable resources within that hour, either temporally or spatially. The low</w:t>
      </w:r>
      <w:r w:rsidRPr="00DB6AE4">
        <w:t xml:space="preserve"> </w:t>
      </w:r>
      <w:r>
        <w:t>efficiency heat rate threshold was maintained at 12,500 Btu/kWh. Please see Section</w:t>
      </w:r>
      <w:r w:rsidR="00F11CEE">
        <w:t>s</w:t>
      </w:r>
      <w:r>
        <w:t xml:space="preserve"> </w:t>
      </w:r>
      <w:r>
        <w:fldChar w:fldCharType="begin"/>
      </w:r>
      <w:r>
        <w:instrText xml:space="preserve"> REF _Ref11839900 \n \h </w:instrText>
      </w:r>
      <w:r>
        <w:fldChar w:fldCharType="separate"/>
      </w:r>
      <w:r w:rsidR="0097492A">
        <w:t>4.6.1</w:t>
      </w:r>
      <w:r>
        <w:fldChar w:fldCharType="end"/>
      </w:r>
      <w:r>
        <w:t xml:space="preserve"> </w:t>
      </w:r>
      <w:r w:rsidR="00F11CEE">
        <w:t xml:space="preserve">and </w:t>
      </w:r>
      <w:r w:rsidR="00F11CEE">
        <w:fldChar w:fldCharType="begin"/>
      </w:r>
      <w:r w:rsidR="00F11CEE">
        <w:instrText xml:space="preserve"> REF _Ref11840596 \n \h </w:instrText>
      </w:r>
      <w:r w:rsidR="00F11CEE">
        <w:fldChar w:fldCharType="separate"/>
      </w:r>
      <w:r w:rsidR="0097492A">
        <w:t>5.6</w:t>
      </w:r>
      <w:r w:rsidR="00F11CEE">
        <w:fldChar w:fldCharType="end"/>
      </w:r>
      <w:r w:rsidR="00F11CEE">
        <w:t xml:space="preserve"> </w:t>
      </w:r>
      <w:r>
        <w:t xml:space="preserve">for additional detail on </w:t>
      </w:r>
      <w:r w:rsidR="00F11CEE">
        <w:t>the</w:t>
      </w:r>
      <w:r>
        <w:t xml:space="preserve"> change</w:t>
      </w:r>
      <w:r w:rsidR="00F11CEE">
        <w:t xml:space="preserve"> to the high efficiency threshold and the maintenance of the low efficiency threshold</w:t>
      </w:r>
      <w:r>
        <w:t>.</w:t>
      </w:r>
    </w:p>
    <w:p w14:paraId="22547569" w14:textId="2ABBF3E6" w:rsidR="005160AE" w:rsidRDefault="007629AF" w:rsidP="00B76B06">
      <w:pPr>
        <w:pStyle w:val="Heading2"/>
      </w:pPr>
      <w:bookmarkStart w:id="6" w:name="_Toc12445827"/>
      <w:r>
        <w:t>Summary of Results</w:t>
      </w:r>
      <w:bookmarkEnd w:id="6"/>
    </w:p>
    <w:p w14:paraId="78A2DC06" w14:textId="038AF0C5" w:rsidR="00FF619B" w:rsidRPr="00526BBA" w:rsidRDefault="00FF619B" w:rsidP="00B76B06">
      <w:r w:rsidRPr="00EE7B87">
        <w:t xml:space="preserve">The avoided costs – excluding transmission and distribution </w:t>
      </w:r>
      <w:r w:rsidR="00672F96" w:rsidRPr="00EE7B87">
        <w:t xml:space="preserve">(T&amp;D) </w:t>
      </w:r>
      <w:r w:rsidRPr="00EE7B87">
        <w:t xml:space="preserve">– in the 2019 ACC update are </w:t>
      </w:r>
      <w:r w:rsidR="00EE7B87">
        <w:t xml:space="preserve">similar to </w:t>
      </w:r>
      <w:r w:rsidRPr="00EE7B87">
        <w:t>those included in the 2018 version</w:t>
      </w:r>
      <w:r w:rsidR="00EE7B87">
        <w:t xml:space="preserve"> in the first several years, and slightly below those estimates during the later years of the forecast period</w:t>
      </w:r>
      <w:r w:rsidRPr="00EE7B87">
        <w:t xml:space="preserve">. </w:t>
      </w:r>
      <w:r w:rsidR="00526BBA">
        <w:t xml:space="preserve">This is driven by an increased short-term </w:t>
      </w:r>
      <w:r w:rsidR="00526BBA">
        <w:lastRenderedPageBreak/>
        <w:t>yet decreased long-term natural gas forecast (based on market forwards and the EIA</w:t>
      </w:r>
      <w:r w:rsidR="00EE7B87">
        <w:t xml:space="preserve"> </w:t>
      </w:r>
      <w:r w:rsidR="00EE7B87" w:rsidRPr="00EE7B87">
        <w:t>Annual Energy Outlook (AEO)</w:t>
      </w:r>
      <w:r w:rsidR="00526BBA">
        <w:t>, respectively)</w:t>
      </w:r>
      <w:r w:rsidR="00EE7B87">
        <w:t>.</w:t>
      </w:r>
    </w:p>
    <w:p w14:paraId="3E9F28D3" w14:textId="35A7C814" w:rsidR="009F5A43" w:rsidRDefault="007629AF" w:rsidP="00332C7A">
      <w:pPr>
        <w:pStyle w:val="Caption"/>
      </w:pPr>
      <w:r>
        <w:t xml:space="preserve">Figure </w:t>
      </w:r>
      <w:r w:rsidR="00D22C95">
        <w:rPr>
          <w:noProof/>
        </w:rPr>
        <w:fldChar w:fldCharType="begin"/>
      </w:r>
      <w:r w:rsidR="00D22C95">
        <w:rPr>
          <w:noProof/>
        </w:rPr>
        <w:instrText xml:space="preserve"> SEQ Figure \* ARABIC </w:instrText>
      </w:r>
      <w:r w:rsidR="00D22C95">
        <w:rPr>
          <w:noProof/>
        </w:rPr>
        <w:fldChar w:fldCharType="separate"/>
      </w:r>
      <w:r w:rsidR="0097492A">
        <w:rPr>
          <w:noProof/>
        </w:rPr>
        <w:t>1</w:t>
      </w:r>
      <w:r w:rsidR="00D22C95">
        <w:rPr>
          <w:noProof/>
        </w:rPr>
        <w:fldChar w:fldCharType="end"/>
      </w:r>
      <w:r>
        <w:t xml:space="preserve">:  Average </w:t>
      </w:r>
      <w:r w:rsidR="007E10DA">
        <w:t xml:space="preserve">Annual </w:t>
      </w:r>
      <w:r>
        <w:t>Total Avoided Cost, Excluding T&amp;D</w:t>
      </w:r>
      <w:r w:rsidR="005C385F">
        <w:t xml:space="preserve">. </w:t>
      </w:r>
      <w:r>
        <w:t>NP-15</w:t>
      </w:r>
    </w:p>
    <w:p w14:paraId="5C3C40E0" w14:textId="7BB58149" w:rsidR="00332C7A" w:rsidRDefault="00332C7A" w:rsidP="000B5D4C">
      <w:pPr>
        <w:jc w:val="center"/>
      </w:pPr>
      <w:r>
        <w:rPr>
          <w:noProof/>
        </w:rPr>
        <w:drawing>
          <wp:inline distT="0" distB="0" distL="0" distR="0" wp14:anchorId="4DDACBFB" wp14:editId="255ADE76">
            <wp:extent cx="5029899" cy="3017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899" cy="3017520"/>
                    </a:xfrm>
                    <a:prstGeom prst="rect">
                      <a:avLst/>
                    </a:prstGeom>
                    <a:noFill/>
                  </pic:spPr>
                </pic:pic>
              </a:graphicData>
            </a:graphic>
          </wp:inline>
        </w:drawing>
      </w:r>
    </w:p>
    <w:p w14:paraId="069ABD79" w14:textId="184C9A16" w:rsidR="00C0194B" w:rsidRDefault="007629AF" w:rsidP="00332C7A">
      <w:pPr>
        <w:pStyle w:val="Caption"/>
      </w:pPr>
      <w:r>
        <w:t xml:space="preserve">Figure </w:t>
      </w:r>
      <w:r w:rsidR="00D22C95">
        <w:rPr>
          <w:noProof/>
        </w:rPr>
        <w:fldChar w:fldCharType="begin"/>
      </w:r>
      <w:r w:rsidR="00D22C95">
        <w:rPr>
          <w:noProof/>
        </w:rPr>
        <w:instrText xml:space="preserve"> SEQ Figure \* ARABIC </w:instrText>
      </w:r>
      <w:r w:rsidR="00D22C95">
        <w:rPr>
          <w:noProof/>
        </w:rPr>
        <w:fldChar w:fldCharType="separate"/>
      </w:r>
      <w:r w:rsidR="0097492A">
        <w:rPr>
          <w:noProof/>
        </w:rPr>
        <w:t>2</w:t>
      </w:r>
      <w:r w:rsidR="00D22C95">
        <w:rPr>
          <w:noProof/>
        </w:rPr>
        <w:fldChar w:fldCharType="end"/>
      </w:r>
      <w:r>
        <w:t xml:space="preserve">:  </w:t>
      </w:r>
      <w:r w:rsidR="007E10DA">
        <w:t>Average Annual</w:t>
      </w:r>
      <w:r w:rsidR="000A21E1">
        <w:t xml:space="preserve"> </w:t>
      </w:r>
      <w:r>
        <w:t>Total Avoided Cost, Excluding T&amp;D</w:t>
      </w:r>
      <w:r w:rsidR="005C385F">
        <w:t xml:space="preserve">. </w:t>
      </w:r>
      <w:r>
        <w:t>SP-15</w:t>
      </w:r>
    </w:p>
    <w:p w14:paraId="27598085" w14:textId="63B4D4DC" w:rsidR="00485C26" w:rsidRPr="00C0194B" w:rsidRDefault="00DD780C" w:rsidP="00C0194B">
      <w:pPr>
        <w:jc w:val="center"/>
      </w:pPr>
      <w:r>
        <w:rPr>
          <w:noProof/>
        </w:rPr>
        <w:drawing>
          <wp:inline distT="0" distB="0" distL="0" distR="0" wp14:anchorId="6E0BF507" wp14:editId="3ACF0068">
            <wp:extent cx="5029898" cy="3017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898" cy="3017520"/>
                    </a:xfrm>
                    <a:prstGeom prst="rect">
                      <a:avLst/>
                    </a:prstGeom>
                    <a:noFill/>
                  </pic:spPr>
                </pic:pic>
              </a:graphicData>
            </a:graphic>
          </wp:inline>
        </w:drawing>
      </w:r>
    </w:p>
    <w:p w14:paraId="2DFC3BB7" w14:textId="60C1C490" w:rsidR="004C4958" w:rsidRDefault="004C4958" w:rsidP="004C4958">
      <w:pPr>
        <w:pStyle w:val="ListParagraph"/>
      </w:pPr>
      <w:r>
        <w:lastRenderedPageBreak/>
        <w:t xml:space="preserve">The updated hourly market prices and allocation of generation capacity costs reflect a </w:t>
      </w:r>
      <w:r w:rsidR="001A4733">
        <w:t>similar</w:t>
      </w:r>
      <w:r>
        <w:t xml:space="preserve"> variation in value between the low mid-day hours and the other higher value hours</w:t>
      </w:r>
      <w:r w:rsidR="00330423">
        <w:t xml:space="preserve"> as was seen in the 2018 update</w:t>
      </w:r>
      <w:r w:rsidR="005C385F">
        <w:t xml:space="preserve">. </w:t>
      </w:r>
      <w:r>
        <w:t xml:space="preserve">This is illustrated </w:t>
      </w:r>
      <w:r w:rsidR="00832FD0">
        <w:t>in</w:t>
      </w:r>
      <w:r>
        <w:t xml:space="preserve"> the figures below</w:t>
      </w:r>
      <w:r w:rsidR="00832FD0">
        <w:t>,</w:t>
      </w:r>
      <w:r>
        <w:t xml:space="preserve"> </w:t>
      </w:r>
      <w:r w:rsidR="00832FD0">
        <w:t>which</w:t>
      </w:r>
      <w:r>
        <w:t xml:space="preserve"> show the average annual non-T&amp;D avoided cost for each hour of the day</w:t>
      </w:r>
      <w:r w:rsidR="005C385F">
        <w:t xml:space="preserve">. </w:t>
      </w:r>
      <w:r>
        <w:t>The</w:t>
      </w:r>
      <w:r w:rsidR="00A96123">
        <w:t>se</w:t>
      </w:r>
      <w:r>
        <w:t xml:space="preserve"> figures show NP-15</w:t>
      </w:r>
      <w:r w:rsidR="00A96123">
        <w:t>,</w:t>
      </w:r>
      <w:r>
        <w:t xml:space="preserve"> </w:t>
      </w:r>
      <w:r w:rsidR="00A96123">
        <w:t>specifically, but</w:t>
      </w:r>
      <w:r>
        <w:t xml:space="preserve"> </w:t>
      </w:r>
      <w:r w:rsidR="00A96123">
        <w:t xml:space="preserve">analogous </w:t>
      </w:r>
      <w:r>
        <w:t>figures for SP-15 would essentially be the same.</w:t>
      </w:r>
    </w:p>
    <w:p w14:paraId="5B87B0CB" w14:textId="3565169D" w:rsidR="004A0C89" w:rsidRDefault="004C4958" w:rsidP="00557A88">
      <w:pPr>
        <w:pStyle w:val="Caption"/>
      </w:pPr>
      <w:r>
        <w:t xml:space="preserve">Figure </w:t>
      </w:r>
      <w:r w:rsidR="00D22C95">
        <w:rPr>
          <w:noProof/>
        </w:rPr>
        <w:fldChar w:fldCharType="begin"/>
      </w:r>
      <w:r w:rsidR="00D22C95">
        <w:rPr>
          <w:noProof/>
        </w:rPr>
        <w:instrText xml:space="preserve"> SEQ Figure \* ARABIC </w:instrText>
      </w:r>
      <w:r w:rsidR="00D22C95">
        <w:rPr>
          <w:noProof/>
        </w:rPr>
        <w:fldChar w:fldCharType="separate"/>
      </w:r>
      <w:r w:rsidR="0097492A">
        <w:rPr>
          <w:noProof/>
        </w:rPr>
        <w:t>3</w:t>
      </w:r>
      <w:r w:rsidR="00D22C95">
        <w:rPr>
          <w:noProof/>
        </w:rPr>
        <w:fldChar w:fldCharType="end"/>
      </w:r>
      <w:r>
        <w:t xml:space="preserve">:  </w:t>
      </w:r>
      <w:r w:rsidR="00D9160A">
        <w:t xml:space="preserve">2020 NP-15 </w:t>
      </w:r>
      <w:r w:rsidRPr="008F2806">
        <w:t>Average Annual Total Avoided Cost</w:t>
      </w:r>
      <w:r>
        <w:t xml:space="preserve"> by Hour of the Day</w:t>
      </w:r>
      <w:r w:rsidRPr="008F2806">
        <w:t>, Excluding T&amp;D</w:t>
      </w:r>
    </w:p>
    <w:p w14:paraId="41454D54" w14:textId="686FA3FF" w:rsidR="00DD780C" w:rsidRDefault="00DD780C" w:rsidP="004C4958">
      <w:pPr>
        <w:pStyle w:val="ListParagraph"/>
        <w:jc w:val="center"/>
      </w:pPr>
      <w:r>
        <w:rPr>
          <w:noProof/>
        </w:rPr>
        <w:drawing>
          <wp:inline distT="0" distB="0" distL="0" distR="0" wp14:anchorId="183A42B7" wp14:editId="56D2117D">
            <wp:extent cx="5334000" cy="32237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4817" cy="3242338"/>
                    </a:xfrm>
                    <a:prstGeom prst="rect">
                      <a:avLst/>
                    </a:prstGeom>
                    <a:noFill/>
                  </pic:spPr>
                </pic:pic>
              </a:graphicData>
            </a:graphic>
          </wp:inline>
        </w:drawing>
      </w:r>
    </w:p>
    <w:p w14:paraId="69D454BF" w14:textId="5B23A0CB" w:rsidR="000938AE" w:rsidRDefault="004C4958" w:rsidP="00557A88">
      <w:pPr>
        <w:pStyle w:val="Caption"/>
      </w:pPr>
      <w:r>
        <w:lastRenderedPageBreak/>
        <w:t xml:space="preserve">Figure </w:t>
      </w:r>
      <w:r w:rsidR="00D22C95">
        <w:rPr>
          <w:noProof/>
        </w:rPr>
        <w:fldChar w:fldCharType="begin"/>
      </w:r>
      <w:r w:rsidR="00D22C95">
        <w:rPr>
          <w:noProof/>
        </w:rPr>
        <w:instrText xml:space="preserve"> SEQ Figure \* ARABIC </w:instrText>
      </w:r>
      <w:r w:rsidR="00D22C95">
        <w:rPr>
          <w:noProof/>
        </w:rPr>
        <w:fldChar w:fldCharType="separate"/>
      </w:r>
      <w:r w:rsidR="0097492A">
        <w:rPr>
          <w:noProof/>
        </w:rPr>
        <w:t>4</w:t>
      </w:r>
      <w:r w:rsidR="00D22C95">
        <w:rPr>
          <w:noProof/>
        </w:rPr>
        <w:fldChar w:fldCharType="end"/>
      </w:r>
      <w:r>
        <w:t xml:space="preserve">:  </w:t>
      </w:r>
      <w:r w:rsidR="00D9160A">
        <w:t xml:space="preserve">2030 NP-15 </w:t>
      </w:r>
      <w:r w:rsidRPr="008F2806">
        <w:t>Average Annual Total Avoided Cost</w:t>
      </w:r>
      <w:r>
        <w:t xml:space="preserve"> by Hour of the Day</w:t>
      </w:r>
      <w:r w:rsidRPr="008F2806">
        <w:t>, Excluding T&amp;D</w:t>
      </w:r>
    </w:p>
    <w:p w14:paraId="56ABBDE3" w14:textId="09ADD8B2" w:rsidR="006B6ECE" w:rsidRDefault="00DD780C" w:rsidP="004C4958">
      <w:pPr>
        <w:pStyle w:val="ListParagraph"/>
        <w:jc w:val="center"/>
      </w:pPr>
      <w:r>
        <w:rPr>
          <w:noProof/>
        </w:rPr>
        <w:drawing>
          <wp:inline distT="0" distB="0" distL="0" distR="0" wp14:anchorId="47CA602E" wp14:editId="5F536623">
            <wp:extent cx="5346043" cy="322783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6043" cy="3227832"/>
                    </a:xfrm>
                    <a:prstGeom prst="rect">
                      <a:avLst/>
                    </a:prstGeom>
                    <a:noFill/>
                  </pic:spPr>
                </pic:pic>
              </a:graphicData>
            </a:graphic>
          </wp:inline>
        </w:drawing>
      </w:r>
    </w:p>
    <w:p w14:paraId="08A56B74" w14:textId="77777777" w:rsidR="009F2E3A" w:rsidRDefault="009F2E3A" w:rsidP="00D91963">
      <w:pPr>
        <w:pStyle w:val="ListParagraph"/>
      </w:pPr>
    </w:p>
    <w:p w14:paraId="572C7302" w14:textId="54538340" w:rsidR="00D9160A" w:rsidRDefault="00D9160A" w:rsidP="00500D4C">
      <w:pPr>
        <w:pStyle w:val="ListParagraph"/>
      </w:pPr>
      <w:r>
        <w:t xml:space="preserve">T&amp;D unit marginal costs ($/kW-yr values) </w:t>
      </w:r>
      <w:r w:rsidR="00380B93">
        <w:t>were update</w:t>
      </w:r>
      <w:r w:rsidR="00D91963">
        <w:t>d</w:t>
      </w:r>
      <w:r w:rsidR="006B6ECE">
        <w:t xml:space="preserve"> for the 2019 ACC</w:t>
      </w:r>
      <w:r w:rsidR="00D91963">
        <w:t xml:space="preserve">, as described </w:t>
      </w:r>
      <w:r w:rsidR="00B45899">
        <w:t xml:space="preserve">further </w:t>
      </w:r>
      <w:r w:rsidR="00D91963">
        <w:t xml:space="preserve">in Section </w:t>
      </w:r>
      <w:r w:rsidR="00B45899">
        <w:fldChar w:fldCharType="begin"/>
      </w:r>
      <w:r w:rsidR="00B45899">
        <w:instrText xml:space="preserve"> REF _Ref10635116 \n \h </w:instrText>
      </w:r>
      <w:r w:rsidR="00B45899">
        <w:fldChar w:fldCharType="separate"/>
      </w:r>
      <w:r w:rsidR="0097492A">
        <w:t>4.5</w:t>
      </w:r>
      <w:r w:rsidR="00B45899">
        <w:fldChar w:fldCharType="end"/>
      </w:r>
      <w:r w:rsidR="00D91963">
        <w:t xml:space="preserve"> </w:t>
      </w:r>
      <w:r w:rsidR="00B45899">
        <w:t>of this report</w:t>
      </w:r>
      <w:r w:rsidR="00D91963">
        <w:t>.</w:t>
      </w:r>
      <w:r w:rsidR="009F2E3A">
        <w:t xml:space="preserve"> </w:t>
      </w:r>
      <w:r>
        <w:t xml:space="preserve">The </w:t>
      </w:r>
      <w:r w:rsidR="009F2E3A">
        <w:t xml:space="preserve">hourly </w:t>
      </w:r>
      <w:r>
        <w:t xml:space="preserve">allocation of </w:t>
      </w:r>
      <w:r w:rsidR="0063604D">
        <w:t>these marginal unit costs</w:t>
      </w:r>
      <w:r>
        <w:t xml:space="preserve"> was </w:t>
      </w:r>
      <w:r w:rsidR="00FD7858">
        <w:t xml:space="preserve">also </w:t>
      </w:r>
      <w:r>
        <w:t>updated</w:t>
      </w:r>
      <w:r w:rsidR="0063604D">
        <w:t>,</w:t>
      </w:r>
      <w:r>
        <w:t xml:space="preserve"> using 201</w:t>
      </w:r>
      <w:r w:rsidR="00BE473E">
        <w:t>8</w:t>
      </w:r>
      <w:r>
        <w:t xml:space="preserve"> weather data</w:t>
      </w:r>
      <w:r w:rsidR="00A257ED">
        <w:t xml:space="preserve"> and </w:t>
      </w:r>
      <w:r w:rsidR="00500D4C">
        <w:t>revised</w:t>
      </w:r>
      <w:r w:rsidR="00A257ED">
        <w:t xml:space="preserve"> </w:t>
      </w:r>
      <w:r w:rsidR="00FD7858">
        <w:t xml:space="preserve">estimates of </w:t>
      </w:r>
      <w:r w:rsidR="00A257ED">
        <w:t xml:space="preserve">distributed solar generation </w:t>
      </w:r>
      <w:r w:rsidR="00FD7858">
        <w:t>by climate zone</w:t>
      </w:r>
      <w:r w:rsidR="005C385F">
        <w:t>.</w:t>
      </w:r>
      <w:r w:rsidR="00500D4C">
        <w:t xml:space="preserve"> </w:t>
      </w:r>
      <w:r>
        <w:t xml:space="preserve">Details on the updated allocation factors can be found </w:t>
      </w:r>
      <w:r w:rsidR="005C385F">
        <w:t xml:space="preserve">in Section </w:t>
      </w:r>
      <w:r w:rsidR="00B45899" w:rsidRPr="00B45899">
        <w:fldChar w:fldCharType="begin"/>
      </w:r>
      <w:r w:rsidR="00B45899" w:rsidRPr="00B45899">
        <w:instrText xml:space="preserve"> REF _Ref10635046 \n \h </w:instrText>
      </w:r>
      <w:r w:rsidR="00B45899">
        <w:instrText xml:space="preserve"> \* MERGEFORMAT </w:instrText>
      </w:r>
      <w:r w:rsidR="00B45899" w:rsidRPr="00B45899">
        <w:fldChar w:fldCharType="separate"/>
      </w:r>
      <w:r w:rsidR="0097492A">
        <w:t>4.5.1</w:t>
      </w:r>
      <w:r w:rsidR="00B45899" w:rsidRPr="00B45899">
        <w:fldChar w:fldCharType="end"/>
      </w:r>
      <w:r>
        <w:t>.</w:t>
      </w:r>
    </w:p>
    <w:p w14:paraId="3B6454A4" w14:textId="130FDFF6" w:rsidR="00557A88" w:rsidRDefault="00557A88" w:rsidP="00500D4C">
      <w:pPr>
        <w:pStyle w:val="ListParagraph"/>
      </w:pPr>
    </w:p>
    <w:p w14:paraId="6A53B85C" w14:textId="58BBE1E2" w:rsidR="00557A88" w:rsidRDefault="00557A88" w:rsidP="00557A88">
      <w:pPr>
        <w:pStyle w:val="Heading2"/>
      </w:pPr>
      <w:bookmarkStart w:id="7" w:name="_Toc12445828"/>
      <w:r>
        <w:t>Model Overview</w:t>
      </w:r>
      <w:bookmarkEnd w:id="7"/>
    </w:p>
    <w:p w14:paraId="630FA5AD" w14:textId="1419C930" w:rsidR="00557A88" w:rsidRDefault="00557A88" w:rsidP="00557A88">
      <w:r>
        <w:fldChar w:fldCharType="begin"/>
      </w:r>
      <w:r>
        <w:instrText xml:space="preserve"> REF _Ref12435618 \h </w:instrText>
      </w:r>
      <w:r>
        <w:fldChar w:fldCharType="separate"/>
      </w:r>
      <w:r w:rsidR="0097492A">
        <w:t xml:space="preserve">Figure </w:t>
      </w:r>
      <w:r w:rsidR="0097492A">
        <w:rPr>
          <w:noProof/>
        </w:rPr>
        <w:t>5</w:t>
      </w:r>
      <w:r>
        <w:fldChar w:fldCharType="end"/>
      </w:r>
      <w:r>
        <w:t>, below, provides a high-level overview of the ACC model</w:t>
      </w:r>
      <w:r w:rsidR="003B6443">
        <w:t xml:space="preserve">, depicting the primary inputs used to calculate each avoided cost component. Additional detail on each of these calculations is provided in Sections </w:t>
      </w:r>
      <w:r w:rsidR="003B6443">
        <w:fldChar w:fldCharType="begin"/>
      </w:r>
      <w:r w:rsidR="003B6443">
        <w:instrText xml:space="preserve"> REF _Ref12443661 \n \h </w:instrText>
      </w:r>
      <w:r w:rsidR="003B6443">
        <w:fldChar w:fldCharType="separate"/>
      </w:r>
      <w:r w:rsidR="0097492A">
        <w:t>3</w:t>
      </w:r>
      <w:r w:rsidR="003B6443">
        <w:fldChar w:fldCharType="end"/>
      </w:r>
      <w:r w:rsidR="003B6443">
        <w:t xml:space="preserve"> and </w:t>
      </w:r>
      <w:r w:rsidR="003B6443">
        <w:fldChar w:fldCharType="begin"/>
      </w:r>
      <w:r w:rsidR="003B6443">
        <w:instrText xml:space="preserve"> REF _Ref12443689 \r \h </w:instrText>
      </w:r>
      <w:r w:rsidR="003B6443">
        <w:fldChar w:fldCharType="separate"/>
      </w:r>
      <w:r w:rsidR="0097492A">
        <w:t>4</w:t>
      </w:r>
      <w:r w:rsidR="003B6443">
        <w:fldChar w:fldCharType="end"/>
      </w:r>
      <w:r w:rsidR="003B6443">
        <w:t xml:space="preserve"> of this report.</w:t>
      </w:r>
    </w:p>
    <w:p w14:paraId="1D9C85C6" w14:textId="6D0ED199" w:rsidR="00557A88" w:rsidRDefault="00557A88" w:rsidP="00557A88">
      <w:pPr>
        <w:pStyle w:val="Caption"/>
      </w:pPr>
      <w:bookmarkStart w:id="8" w:name="_Ref12435618"/>
      <w:r>
        <w:lastRenderedPageBreak/>
        <w:t xml:space="preserve">Figure </w:t>
      </w:r>
      <w:r>
        <w:rPr>
          <w:noProof/>
        </w:rPr>
        <w:fldChar w:fldCharType="begin"/>
      </w:r>
      <w:r>
        <w:rPr>
          <w:noProof/>
        </w:rPr>
        <w:instrText xml:space="preserve"> SEQ Figure \* ARABIC </w:instrText>
      </w:r>
      <w:r>
        <w:rPr>
          <w:noProof/>
        </w:rPr>
        <w:fldChar w:fldCharType="separate"/>
      </w:r>
      <w:r w:rsidR="0097492A">
        <w:rPr>
          <w:noProof/>
        </w:rPr>
        <w:t>5</w:t>
      </w:r>
      <w:r>
        <w:rPr>
          <w:noProof/>
        </w:rPr>
        <w:fldChar w:fldCharType="end"/>
      </w:r>
      <w:bookmarkEnd w:id="8"/>
      <w:r>
        <w:t>: Avoided Cost Calculator Model Overview</w:t>
      </w:r>
    </w:p>
    <w:p w14:paraId="02B8C226" w14:textId="2FA7AC3A" w:rsidR="00882679" w:rsidRDefault="00D667EA" w:rsidP="003B6443">
      <w:pPr>
        <w:jc w:val="center"/>
      </w:pPr>
      <w:r>
        <w:rPr>
          <w:noProof/>
        </w:rPr>
        <w:drawing>
          <wp:inline distT="0" distB="0" distL="0" distR="0" wp14:anchorId="59F8DE5C" wp14:editId="55397A74">
            <wp:extent cx="5962650" cy="552394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7424" cy="5546892"/>
                    </a:xfrm>
                    <a:prstGeom prst="rect">
                      <a:avLst/>
                    </a:prstGeom>
                    <a:noFill/>
                  </pic:spPr>
                </pic:pic>
              </a:graphicData>
            </a:graphic>
          </wp:inline>
        </w:drawing>
      </w:r>
    </w:p>
    <w:p w14:paraId="48650737" w14:textId="77777777" w:rsidR="001F224B" w:rsidRDefault="001F224B" w:rsidP="00557A88"/>
    <w:p w14:paraId="74705A6E" w14:textId="4268C547" w:rsidR="00882679" w:rsidRDefault="00882679" w:rsidP="00557A88">
      <w:r>
        <w:t>The remainder of this report presents the avoided cost methodology and documents the inputs updated for 201</w:t>
      </w:r>
      <w:r w:rsidR="005C385F">
        <w:t>9</w:t>
      </w:r>
      <w:r>
        <w:t>.</w:t>
      </w:r>
    </w:p>
    <w:p w14:paraId="6548B957" w14:textId="77777777" w:rsidR="004C4958" w:rsidRDefault="004C4958" w:rsidP="004C4958">
      <w:pPr>
        <w:pStyle w:val="ListParagraph"/>
      </w:pPr>
    </w:p>
    <w:p w14:paraId="0EBCDE07" w14:textId="77777777" w:rsidR="004C4958" w:rsidRDefault="004C4958" w:rsidP="00B76B06">
      <w:pPr>
        <w:pStyle w:val="ListParagraph"/>
      </w:pPr>
    </w:p>
    <w:p w14:paraId="2CB1F788" w14:textId="77777777" w:rsidR="00836907" w:rsidRDefault="007770E0">
      <w:pPr>
        <w:pStyle w:val="Heading1"/>
      </w:pPr>
      <w:bookmarkStart w:id="9" w:name="_Toc271574654"/>
      <w:bookmarkStart w:id="10" w:name="_Toc271575303"/>
      <w:r>
        <w:br w:type="page"/>
      </w:r>
      <w:bookmarkStart w:id="11" w:name="_Toc12445829"/>
      <w:r w:rsidR="00836907">
        <w:lastRenderedPageBreak/>
        <w:t>Natural Gas Avoided Cost Updates</w:t>
      </w:r>
      <w:bookmarkEnd w:id="11"/>
    </w:p>
    <w:p w14:paraId="48031A98" w14:textId="2587A052" w:rsidR="00565B50" w:rsidRDefault="00565B50" w:rsidP="00565B50">
      <w:r>
        <w:t>The Natural Gas Avoided Cost Calculator is a separate model, distinct from the ACC which most of this document focuses on. The two models share some inputs but are used for distinct purposes. Namely, while the (electricity) ACC is used to evaluate the long-run marginal avoided costs on the electric grid attributable to demand-side resources, the Natural Gas Avoided Cost Calculator is instead used specifically to evaluate measures designed to decrease natural gas usage.</w:t>
      </w:r>
    </w:p>
    <w:p w14:paraId="06E0720D" w14:textId="3A3A407C" w:rsidR="00293876" w:rsidRDefault="00293876" w:rsidP="00293876">
      <w:r>
        <w:t>The natural gas price forecast is updated using a modified version of the Market Price Referent (MPR) methodology</w:t>
      </w:r>
      <w:r w:rsidR="005C385F">
        <w:t xml:space="preserve">. </w:t>
      </w:r>
      <w:r w:rsidR="00F71AB2">
        <w:t>The methodology use</w:t>
      </w:r>
      <w:r w:rsidR="0058382B">
        <w:t>s</w:t>
      </w:r>
      <w:r w:rsidR="00F71AB2">
        <w:t xml:space="preserve"> market forwards </w:t>
      </w:r>
      <w:r w:rsidR="0017063B">
        <w:t xml:space="preserve">through </w:t>
      </w:r>
      <w:r w:rsidR="0017063B" w:rsidRPr="00B64C89">
        <w:t>2024</w:t>
      </w:r>
      <w:r w:rsidR="00F71AB2">
        <w:t xml:space="preserve">, </w:t>
      </w:r>
      <w:r w:rsidR="005C385F">
        <w:t xml:space="preserve">and </w:t>
      </w:r>
      <w:r w:rsidR="00F85BA8">
        <w:t>long-run forecasts</w:t>
      </w:r>
      <w:r w:rsidR="00AE716C">
        <w:t xml:space="preserve"> from the IEPR and the U</w:t>
      </w:r>
      <w:r w:rsidR="005C385F">
        <w:t>.</w:t>
      </w:r>
      <w:r w:rsidR="00AE716C">
        <w:t>S</w:t>
      </w:r>
      <w:r w:rsidR="005C385F">
        <w:t>.</w:t>
      </w:r>
      <w:r w:rsidR="00AE716C">
        <w:t xml:space="preserve"> </w:t>
      </w:r>
      <w:r w:rsidR="00F8062A">
        <w:t>EIA</w:t>
      </w:r>
      <w:r w:rsidR="00AE716C">
        <w:t xml:space="preserve"> Annual Energy Outlook</w:t>
      </w:r>
      <w:r w:rsidR="00500D4C">
        <w:t xml:space="preserve"> (AEO)</w:t>
      </w:r>
      <w:r w:rsidR="00AE716C">
        <w:t xml:space="preserve"> report for </w:t>
      </w:r>
      <w:r w:rsidR="00CC0813">
        <w:t>202</w:t>
      </w:r>
      <w:r w:rsidR="002E525F">
        <w:t>9</w:t>
      </w:r>
      <w:r w:rsidR="00CC0813">
        <w:t xml:space="preserve"> and beyond</w:t>
      </w:r>
      <w:r w:rsidR="005C385F">
        <w:t xml:space="preserve">. </w:t>
      </w:r>
      <w:r w:rsidR="00CC0813">
        <w:t xml:space="preserve">The prices for the </w:t>
      </w:r>
      <w:r w:rsidR="00CF5207">
        <w:t>interim years are a linear interpolation</w:t>
      </w:r>
      <w:r w:rsidR="005C385F">
        <w:t xml:space="preserve">. </w:t>
      </w:r>
    </w:p>
    <w:p w14:paraId="01B2AF73" w14:textId="64347703" w:rsidR="00EA5922" w:rsidRDefault="00EA5922" w:rsidP="00293876">
      <w:r>
        <w:t xml:space="preserve">The market forward prices are </w:t>
      </w:r>
      <w:r w:rsidR="00FB2E15">
        <w:t xml:space="preserve">averages </w:t>
      </w:r>
      <w:r w:rsidR="00DA5B7F">
        <w:t xml:space="preserve">from </w:t>
      </w:r>
      <w:bookmarkStart w:id="12" w:name="_Hlk11164598"/>
      <w:r w:rsidR="00DA5B7F">
        <w:t xml:space="preserve">S&amp;P Global Intelligence </w:t>
      </w:r>
      <w:bookmarkEnd w:id="12"/>
      <w:r w:rsidR="00DA5B7F">
        <w:t>for the most recent 22 trading days (</w:t>
      </w:r>
      <w:r w:rsidR="005C385F">
        <w:t>April 22</w:t>
      </w:r>
      <w:r w:rsidR="00DA5B7F">
        <w:t>, 201</w:t>
      </w:r>
      <w:r w:rsidR="005C385F">
        <w:t>9</w:t>
      </w:r>
      <w:r w:rsidR="00DA5B7F">
        <w:t xml:space="preserve"> through </w:t>
      </w:r>
      <w:r w:rsidR="005C385F">
        <w:t>May 21</w:t>
      </w:r>
      <w:r w:rsidR="00FB2E15">
        <w:t>, 201</w:t>
      </w:r>
      <w:r w:rsidR="005C385F">
        <w:t>9</w:t>
      </w:r>
      <w:r w:rsidR="00FB2E15">
        <w:t xml:space="preserve">) for Henry Hub, PG&amp;E </w:t>
      </w:r>
      <w:r w:rsidR="00833E23">
        <w:t>Citygate</w:t>
      </w:r>
      <w:r w:rsidR="00FB2E15">
        <w:t xml:space="preserve">, and </w:t>
      </w:r>
      <w:r w:rsidR="00D216FA">
        <w:t>SoCal</w:t>
      </w:r>
      <w:r w:rsidR="00FB2E15">
        <w:t xml:space="preserve"> Border</w:t>
      </w:r>
      <w:r w:rsidR="005C385F">
        <w:t xml:space="preserve">. </w:t>
      </w:r>
      <w:r w:rsidR="004254D0">
        <w:t>The</w:t>
      </w:r>
      <w:r w:rsidR="00661013">
        <w:t xml:space="preserve"> natural gas forecast for 201</w:t>
      </w:r>
      <w:r w:rsidR="005C385F">
        <w:t>9</w:t>
      </w:r>
      <w:r w:rsidR="00661013">
        <w:t xml:space="preserve"> through </w:t>
      </w:r>
      <w:r w:rsidR="00047D70" w:rsidRPr="009C2E08">
        <w:t xml:space="preserve">2024 </w:t>
      </w:r>
      <w:r w:rsidR="00047D70">
        <w:t xml:space="preserve">is the average </w:t>
      </w:r>
      <w:r w:rsidR="00A56F83">
        <w:t xml:space="preserve">of the </w:t>
      </w:r>
      <w:r w:rsidR="00047D70">
        <w:t xml:space="preserve">PG&amp;E </w:t>
      </w:r>
      <w:r w:rsidR="00833E23">
        <w:t>Citygate</w:t>
      </w:r>
      <w:r w:rsidR="00047D70">
        <w:t xml:space="preserve"> and </w:t>
      </w:r>
      <w:r w:rsidR="00D216FA">
        <w:t>SoCal</w:t>
      </w:r>
      <w:r w:rsidR="00047D70">
        <w:t xml:space="preserve"> Border </w:t>
      </w:r>
      <w:r w:rsidR="00A56F83">
        <w:t>forward prices, plus transportation</w:t>
      </w:r>
      <w:r w:rsidR="00246636">
        <w:t xml:space="preserve"> rates, franchises fees and hedging transaction costs.</w:t>
      </w:r>
    </w:p>
    <w:p w14:paraId="1E44DF73" w14:textId="2A6BE034" w:rsidR="00CC3AF9" w:rsidRDefault="00F82658" w:rsidP="00293876">
      <w:r>
        <w:t>The long</w:t>
      </w:r>
      <w:r w:rsidR="00696B8F">
        <w:t>-t</w:t>
      </w:r>
      <w:r>
        <w:t xml:space="preserve">erm forecast is the </w:t>
      </w:r>
      <w:r w:rsidR="009B3755">
        <w:t>201</w:t>
      </w:r>
      <w:r w:rsidR="005C385F">
        <w:t>9</w:t>
      </w:r>
      <w:r w:rsidR="009B3755">
        <w:t xml:space="preserve"> EIA </w:t>
      </w:r>
      <w:r w:rsidR="00F8062A">
        <w:t>AEO</w:t>
      </w:r>
      <w:r w:rsidR="002A2087">
        <w:t xml:space="preserve"> </w:t>
      </w:r>
      <w:r w:rsidR="009B3755">
        <w:t xml:space="preserve">report forecast for Henry Hub, plus the </w:t>
      </w:r>
      <w:r w:rsidR="0076078A">
        <w:t xml:space="preserve">average of the PG&amp;E </w:t>
      </w:r>
      <w:r w:rsidR="00833E23">
        <w:t>Citygate</w:t>
      </w:r>
      <w:r w:rsidR="0076078A">
        <w:t xml:space="preserve"> and </w:t>
      </w:r>
      <w:r w:rsidR="00D216FA">
        <w:t>SoCal</w:t>
      </w:r>
      <w:r w:rsidR="0076078A">
        <w:t xml:space="preserve"> Border basis spreads</w:t>
      </w:r>
      <w:r w:rsidR="00407170">
        <w:t>,</w:t>
      </w:r>
      <w:r w:rsidR="0076078A">
        <w:t xml:space="preserve"> plus </w:t>
      </w:r>
      <w:r w:rsidR="00EA5FD2">
        <w:t>transportation, franchise fees and hedging transaction costs</w:t>
      </w:r>
      <w:r w:rsidR="005C385F">
        <w:t xml:space="preserve">. </w:t>
      </w:r>
      <w:r w:rsidR="00D13E57">
        <w:t xml:space="preserve">The basis spreads are the average spreads in the NYMEX market forwards </w:t>
      </w:r>
      <w:r w:rsidR="00925202">
        <w:t>between Henry Hub and the California location</w:t>
      </w:r>
      <w:r w:rsidR="00EC1688">
        <w:t xml:space="preserve">s (from S&amp;P Global Intelligence for </w:t>
      </w:r>
      <w:r w:rsidR="00174BC6">
        <w:t xml:space="preserve">the </w:t>
      </w:r>
      <w:r w:rsidR="00EC1688">
        <w:t>most recent 22 trading days).</w:t>
      </w:r>
    </w:p>
    <w:p w14:paraId="12692031" w14:textId="12E685B3" w:rsidR="00EE5352" w:rsidRDefault="00B33E53" w:rsidP="00293876">
      <w:r>
        <w:t>We have updated the</w:t>
      </w:r>
      <w:r w:rsidR="00293876">
        <w:t xml:space="preserve"> intrastate natural gas transportation rates </w:t>
      </w:r>
      <w:r w:rsidR="00663CB2">
        <w:t>using the CEC IEPR April 2018 Staff Report</w:t>
      </w:r>
      <w:r w:rsidR="008565B2">
        <w:t xml:space="preserve">. </w:t>
      </w:r>
      <w:r w:rsidR="00EE5352">
        <w:t xml:space="preserve">The gas price forecast also includes the following </w:t>
      </w:r>
      <w:r w:rsidR="00DF09E2">
        <w:t>price</w:t>
      </w:r>
      <w:r w:rsidR="00EE5352">
        <w:t xml:space="preserve"> adjustments:</w:t>
      </w:r>
    </w:p>
    <w:p w14:paraId="7B40BC4A" w14:textId="6FA35C48" w:rsidR="00EE5352" w:rsidRDefault="00BB0440" w:rsidP="00743642">
      <w:pPr>
        <w:pStyle w:val="ListParagraph"/>
        <w:numPr>
          <w:ilvl w:val="0"/>
          <w:numId w:val="21"/>
        </w:numPr>
      </w:pPr>
      <w:r>
        <w:t>Transaction Cost (hedging Cost): $0.084/</w:t>
      </w:r>
      <w:r w:rsidR="007361A6">
        <w:t>MMBTU</w:t>
      </w:r>
    </w:p>
    <w:p w14:paraId="5D455ECB" w14:textId="0A9292BF" w:rsidR="00EE5352" w:rsidRDefault="00BB0440" w:rsidP="00743642">
      <w:pPr>
        <w:pStyle w:val="ListParagraph"/>
        <w:numPr>
          <w:ilvl w:val="0"/>
          <w:numId w:val="21"/>
        </w:numPr>
      </w:pPr>
      <w:r>
        <w:lastRenderedPageBreak/>
        <w:t xml:space="preserve">Municipal Surcharge (Franchise Fees):  </w:t>
      </w:r>
      <w:r w:rsidR="006B3D13">
        <w:t>1.18%.</w:t>
      </w:r>
    </w:p>
    <w:p w14:paraId="4271DF3E" w14:textId="0C2AA1E1" w:rsidR="00836907" w:rsidRDefault="00B33E53" w:rsidP="00EE5352">
      <w:r>
        <w:t xml:space="preserve"> </w:t>
      </w:r>
      <w:r w:rsidR="00293876">
        <w:t xml:space="preserve">The </w:t>
      </w:r>
      <w:r w:rsidR="00276309">
        <w:t xml:space="preserve">updated </w:t>
      </w:r>
      <w:r w:rsidR="00293876">
        <w:t xml:space="preserve">natural gas price forecast </w:t>
      </w:r>
      <w:r w:rsidR="00276309">
        <w:t xml:space="preserve">is </w:t>
      </w:r>
      <w:r w:rsidR="00293876">
        <w:t xml:space="preserve">shown in </w:t>
      </w:r>
      <w:r w:rsidR="00293876">
        <w:fldChar w:fldCharType="begin"/>
      </w:r>
      <w:r w:rsidR="00293876">
        <w:instrText xml:space="preserve"> REF _Ref248226661 \h </w:instrText>
      </w:r>
      <w:r w:rsidR="00293876">
        <w:fldChar w:fldCharType="separate"/>
      </w:r>
      <w:r w:rsidR="0097492A" w:rsidRPr="1124BE9D">
        <w:t xml:space="preserve">Figure </w:t>
      </w:r>
      <w:r w:rsidR="0097492A">
        <w:rPr>
          <w:noProof/>
        </w:rPr>
        <w:t>6</w:t>
      </w:r>
      <w:r w:rsidR="00293876">
        <w:fldChar w:fldCharType="end"/>
      </w:r>
      <w:r w:rsidR="005C385F">
        <w:t xml:space="preserve">. </w:t>
      </w:r>
    </w:p>
    <w:p w14:paraId="7C48C903" w14:textId="17CCF71C" w:rsidR="00197285" w:rsidRDefault="00836907" w:rsidP="00557A88">
      <w:pPr>
        <w:pStyle w:val="Caption"/>
      </w:pPr>
      <w:bookmarkStart w:id="13" w:name="_Ref248226661"/>
      <w:bookmarkStart w:id="14" w:name="_Ref12023395"/>
      <w:r w:rsidRPr="1124BE9D">
        <w:t xml:space="preserve">Figure </w:t>
      </w:r>
      <w:r w:rsidR="00D22C95">
        <w:rPr>
          <w:noProof/>
        </w:rPr>
        <w:fldChar w:fldCharType="begin"/>
      </w:r>
      <w:r w:rsidR="00D22C95">
        <w:rPr>
          <w:noProof/>
        </w:rPr>
        <w:instrText xml:space="preserve"> SEQ Figure \* ARABIC </w:instrText>
      </w:r>
      <w:r w:rsidR="00D22C95">
        <w:rPr>
          <w:noProof/>
        </w:rPr>
        <w:fldChar w:fldCharType="separate"/>
      </w:r>
      <w:r w:rsidR="0097492A">
        <w:rPr>
          <w:noProof/>
        </w:rPr>
        <w:t>6</w:t>
      </w:r>
      <w:r w:rsidR="00D22C95">
        <w:rPr>
          <w:noProof/>
        </w:rPr>
        <w:fldChar w:fldCharType="end"/>
      </w:r>
      <w:bookmarkEnd w:id="13"/>
      <w:r w:rsidRPr="1124BE9D">
        <w:t xml:space="preserve">. Natural </w:t>
      </w:r>
      <w:r w:rsidR="00431663">
        <w:t>G</w:t>
      </w:r>
      <w:r w:rsidRPr="1124BE9D">
        <w:t xml:space="preserve">as </w:t>
      </w:r>
      <w:r w:rsidR="00431663">
        <w:t>P</w:t>
      </w:r>
      <w:r w:rsidRPr="1124BE9D">
        <w:t xml:space="preserve">rice </w:t>
      </w:r>
      <w:r w:rsidR="00431663">
        <w:t>F</w:t>
      </w:r>
      <w:r w:rsidRPr="1124BE9D">
        <w:t>orecast</w:t>
      </w:r>
      <w:r w:rsidR="00F7507C">
        <w:t xml:space="preserve"> for </w:t>
      </w:r>
      <w:r w:rsidR="00431663">
        <w:t>E</w:t>
      </w:r>
      <w:r w:rsidR="00F7507C">
        <w:t xml:space="preserve">lectric </w:t>
      </w:r>
      <w:r w:rsidR="00431663">
        <w:t>G</w:t>
      </w:r>
      <w:r w:rsidR="00F7507C">
        <w:t>enerators</w:t>
      </w:r>
      <w:bookmarkEnd w:id="14"/>
    </w:p>
    <w:p w14:paraId="315A189F" w14:textId="4687975C" w:rsidR="005F6F75" w:rsidRDefault="005F6F75" w:rsidP="00F41009">
      <w:pPr>
        <w:jc w:val="center"/>
      </w:pPr>
      <w:r>
        <w:rPr>
          <w:noProof/>
        </w:rPr>
        <w:drawing>
          <wp:inline distT="0" distB="0" distL="0" distR="0" wp14:anchorId="6BD071A7" wp14:editId="015E3630">
            <wp:extent cx="5590540" cy="32556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0540" cy="3255645"/>
                    </a:xfrm>
                    <a:prstGeom prst="rect">
                      <a:avLst/>
                    </a:prstGeom>
                    <a:noFill/>
                  </pic:spPr>
                </pic:pic>
              </a:graphicData>
            </a:graphic>
          </wp:inline>
        </w:drawing>
      </w:r>
    </w:p>
    <w:p w14:paraId="5AC67771" w14:textId="7DA6CF7F" w:rsidR="005F6F75" w:rsidRDefault="00EE6BD1" w:rsidP="005F6F75">
      <w:r>
        <w:t xml:space="preserve">Relative to the 2018 forecast, the 2019 update </w:t>
      </w:r>
      <w:r w:rsidR="00316E38">
        <w:t>both begins at a higher value and escalates more quickly beginn</w:t>
      </w:r>
      <w:r w:rsidR="00161C0A">
        <w:t xml:space="preserve">ing after the 2020s. </w:t>
      </w:r>
      <w:r w:rsidR="00665177">
        <w:t xml:space="preserve">As shown in </w:t>
      </w:r>
      <w:r w:rsidR="00665177">
        <w:fldChar w:fldCharType="begin"/>
      </w:r>
      <w:r w:rsidR="00665177">
        <w:instrText xml:space="preserve"> REF _Ref10728535 \h </w:instrText>
      </w:r>
      <w:r w:rsidR="00665177">
        <w:fldChar w:fldCharType="separate"/>
      </w:r>
      <w:r w:rsidR="0097492A" w:rsidRPr="1124BE9D">
        <w:t xml:space="preserve">Figure </w:t>
      </w:r>
      <w:r w:rsidR="0097492A">
        <w:rPr>
          <w:noProof/>
        </w:rPr>
        <w:t>7</w:t>
      </w:r>
      <w:r w:rsidR="00665177">
        <w:fldChar w:fldCharType="end"/>
      </w:r>
      <w:r w:rsidR="00665177">
        <w:t xml:space="preserve"> below,</w:t>
      </w:r>
      <w:r w:rsidR="005F6F75">
        <w:t xml:space="preserve"> the fundamental</w:t>
      </w:r>
      <w:r w:rsidR="004B5FD5">
        <w:t xml:space="preserve"> natural gas</w:t>
      </w:r>
      <w:r w:rsidR="005F6F75">
        <w:t xml:space="preserve"> commodity forecast </w:t>
      </w:r>
      <w:r w:rsidR="00665177">
        <w:t>(</w:t>
      </w:r>
      <w:r w:rsidR="005F6F75">
        <w:t xml:space="preserve">from the </w:t>
      </w:r>
      <w:r w:rsidR="002A2087">
        <w:t xml:space="preserve">EIA </w:t>
      </w:r>
      <w:r w:rsidR="00F948E7">
        <w:t xml:space="preserve">AEO </w:t>
      </w:r>
      <w:r w:rsidR="00665177">
        <w:t xml:space="preserve">2019) </w:t>
      </w:r>
      <w:r w:rsidR="002A2087">
        <w:t xml:space="preserve">is </w:t>
      </w:r>
      <w:r w:rsidR="00161C0A">
        <w:t xml:space="preserve">actually </w:t>
      </w:r>
      <w:r w:rsidR="002A2087">
        <w:t xml:space="preserve">lower than the </w:t>
      </w:r>
      <w:r w:rsidR="00F948E7">
        <w:t>previous year’s outlook</w:t>
      </w:r>
      <w:r w:rsidR="00161C0A">
        <w:t>; h</w:t>
      </w:r>
      <w:r w:rsidR="002A2087">
        <w:t xml:space="preserve">owever, the </w:t>
      </w:r>
      <w:r w:rsidR="00F948E7">
        <w:t>increased transportation rates included in the 2019 ACC</w:t>
      </w:r>
      <w:r w:rsidR="00DE1BB6">
        <w:t xml:space="preserve"> </w:t>
      </w:r>
      <w:r w:rsidR="00A9296F">
        <w:t xml:space="preserve">have </w:t>
      </w:r>
      <w:r w:rsidR="004B5FD5">
        <w:t xml:space="preserve">driven the natural gas electric generator price forecast above the </w:t>
      </w:r>
      <w:r w:rsidR="00D161A1">
        <w:t>2018 version</w:t>
      </w:r>
      <w:r w:rsidR="00EA03DD">
        <w:t>.</w:t>
      </w:r>
    </w:p>
    <w:p w14:paraId="48EA19BD" w14:textId="56C7C4D2" w:rsidR="00665177" w:rsidRDefault="00665177" w:rsidP="00665177">
      <w:pPr>
        <w:pStyle w:val="Caption"/>
      </w:pPr>
      <w:bookmarkStart w:id="15" w:name="_Ref10728535"/>
      <w:r w:rsidRPr="1124BE9D">
        <w:lastRenderedPageBreak/>
        <w:t xml:space="preserve">Figure </w:t>
      </w:r>
      <w:r>
        <w:rPr>
          <w:noProof/>
        </w:rPr>
        <w:fldChar w:fldCharType="begin"/>
      </w:r>
      <w:r>
        <w:rPr>
          <w:noProof/>
        </w:rPr>
        <w:instrText xml:space="preserve"> SEQ Figure \* ARABIC </w:instrText>
      </w:r>
      <w:r>
        <w:rPr>
          <w:noProof/>
        </w:rPr>
        <w:fldChar w:fldCharType="separate"/>
      </w:r>
      <w:r w:rsidR="0097492A">
        <w:rPr>
          <w:noProof/>
        </w:rPr>
        <w:t>7</w:t>
      </w:r>
      <w:r>
        <w:rPr>
          <w:noProof/>
        </w:rPr>
        <w:fldChar w:fldCharType="end"/>
      </w:r>
      <w:bookmarkEnd w:id="15"/>
      <w:r w:rsidRPr="1124BE9D">
        <w:t xml:space="preserve">. </w:t>
      </w:r>
      <w:r>
        <w:t>EIA Natural Gas Forecast</w:t>
      </w:r>
      <w:r w:rsidR="00035DCA">
        <w:t>:</w:t>
      </w:r>
      <w:r>
        <w:t xml:space="preserve"> </w:t>
      </w:r>
      <w:r w:rsidR="00035DCA">
        <w:t>2019</w:t>
      </w:r>
    </w:p>
    <w:p w14:paraId="1DF859EA" w14:textId="30199989" w:rsidR="00D01E4B" w:rsidRDefault="00C62A98" w:rsidP="00F41009">
      <w:pPr>
        <w:jc w:val="center"/>
      </w:pPr>
      <w:r>
        <w:rPr>
          <w:noProof/>
        </w:rPr>
        <w:drawing>
          <wp:inline distT="0" distB="0" distL="0" distR="0" wp14:anchorId="4CA05F0F" wp14:editId="787EB603">
            <wp:extent cx="5810250" cy="342011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0" cy="3420110"/>
                    </a:xfrm>
                    <a:prstGeom prst="rect">
                      <a:avLst/>
                    </a:prstGeom>
                    <a:noFill/>
                  </pic:spPr>
                </pic:pic>
              </a:graphicData>
            </a:graphic>
          </wp:inline>
        </w:drawing>
      </w:r>
    </w:p>
    <w:p w14:paraId="7C99E697" w14:textId="65891AC2" w:rsidR="00293876" w:rsidRPr="00333F94" w:rsidRDefault="00293876" w:rsidP="00293876">
      <w:bookmarkStart w:id="16" w:name="_Ref278718962"/>
      <w:r w:rsidRPr="00333F94">
        <w:t>The natural gas forecast also incorporates monthly variations in natural gas prices—commodity prices tend to rise in the winter when demand for natural gas as a heating fuel increases</w:t>
      </w:r>
      <w:r w:rsidR="005C385F">
        <w:t xml:space="preserve">. </w:t>
      </w:r>
      <w:r w:rsidRPr="00333F94">
        <w:t xml:space="preserve">The monthly price profiles are based on the monthly NYMEX </w:t>
      </w:r>
      <w:r w:rsidR="0007707A">
        <w:t xml:space="preserve">Henry Hub </w:t>
      </w:r>
      <w:r w:rsidRPr="00333F94">
        <w:t xml:space="preserve">natural gas prices through </w:t>
      </w:r>
      <w:r w:rsidR="00CB2F0C">
        <w:t>202</w:t>
      </w:r>
      <w:r w:rsidR="001E780D">
        <w:t>5</w:t>
      </w:r>
      <w:r w:rsidR="00CB2F0C" w:rsidRPr="00333F94">
        <w:t xml:space="preserve"> </w:t>
      </w:r>
      <w:r w:rsidRPr="00333F94">
        <w:t xml:space="preserve">and then the monthly price profile is held constant </w:t>
      </w:r>
      <w:r>
        <w:t>thereafter</w:t>
      </w:r>
      <w:r w:rsidRPr="00333F94">
        <w:t xml:space="preserve">. </w:t>
      </w:r>
      <w:r w:rsidR="00064471">
        <w:t xml:space="preserve">The market price also reflects municipal surcharges, of which the value for </w:t>
      </w:r>
      <w:r w:rsidR="001E780D">
        <w:t>SoCal Gas</w:t>
      </w:r>
      <w:r w:rsidR="00064471">
        <w:t xml:space="preserve"> territory was updated based on a 201</w:t>
      </w:r>
      <w:r w:rsidR="001E780D">
        <w:t>9</w:t>
      </w:r>
      <w:r w:rsidR="00064471">
        <w:t xml:space="preserve"> </w:t>
      </w:r>
      <w:r w:rsidR="008B64E2">
        <w:t>t</w:t>
      </w:r>
      <w:r w:rsidR="00064471">
        <w:t>ariff change</w:t>
      </w:r>
      <w:r w:rsidR="005C385F">
        <w:t xml:space="preserve">. </w:t>
      </w:r>
      <w:r w:rsidR="003536FC">
        <w:fldChar w:fldCharType="begin"/>
      </w:r>
      <w:r w:rsidR="003536FC">
        <w:instrText xml:space="preserve"> REF _Ref513818974 \h </w:instrText>
      </w:r>
      <w:r w:rsidR="003536FC">
        <w:fldChar w:fldCharType="separate"/>
      </w:r>
      <w:r w:rsidR="0097492A" w:rsidRPr="00681C76">
        <w:t xml:space="preserve">Figure </w:t>
      </w:r>
      <w:r w:rsidR="0097492A">
        <w:rPr>
          <w:noProof/>
        </w:rPr>
        <w:t>8</w:t>
      </w:r>
      <w:r w:rsidR="003536FC">
        <w:fldChar w:fldCharType="end"/>
      </w:r>
      <w:r w:rsidR="003536FC">
        <w:t xml:space="preserve"> </w:t>
      </w:r>
      <w:r w:rsidRPr="00333F94">
        <w:t xml:space="preserve">shows </w:t>
      </w:r>
      <w:r w:rsidR="001678E0">
        <w:t>four</w:t>
      </w:r>
      <w:r w:rsidR="001678E0" w:rsidRPr="00333F94">
        <w:t xml:space="preserve"> </w:t>
      </w:r>
      <w:r w:rsidRPr="00333F94">
        <w:t>snapshots of the monthly shape of the natural gas price forecast.</w:t>
      </w:r>
    </w:p>
    <w:p w14:paraId="2C967881" w14:textId="413E0065" w:rsidR="005C385F" w:rsidRDefault="00836907" w:rsidP="003A3FEA">
      <w:pPr>
        <w:pStyle w:val="Caption"/>
      </w:pPr>
      <w:bookmarkStart w:id="17" w:name="_Ref513818974"/>
      <w:r w:rsidRPr="00681C76">
        <w:lastRenderedPageBreak/>
        <w:t xml:space="preserve">Figure </w:t>
      </w:r>
      <w:r w:rsidR="00D22C95">
        <w:rPr>
          <w:noProof/>
        </w:rPr>
        <w:fldChar w:fldCharType="begin"/>
      </w:r>
      <w:r w:rsidR="00D22C95">
        <w:rPr>
          <w:noProof/>
        </w:rPr>
        <w:instrText xml:space="preserve"> SEQ Figure \* ARABIC </w:instrText>
      </w:r>
      <w:r w:rsidR="00D22C95">
        <w:rPr>
          <w:noProof/>
        </w:rPr>
        <w:fldChar w:fldCharType="separate"/>
      </w:r>
      <w:r w:rsidR="0097492A">
        <w:rPr>
          <w:noProof/>
        </w:rPr>
        <w:t>8</w:t>
      </w:r>
      <w:r w:rsidR="00D22C95">
        <w:rPr>
          <w:noProof/>
        </w:rPr>
        <w:fldChar w:fldCharType="end"/>
      </w:r>
      <w:bookmarkEnd w:id="16"/>
      <w:bookmarkEnd w:id="17"/>
      <w:r w:rsidRPr="00681C76">
        <w:t xml:space="preserve">. Snapshot of </w:t>
      </w:r>
      <w:r w:rsidR="003A3FEA">
        <w:t>M</w:t>
      </w:r>
      <w:r w:rsidRPr="00681C76">
        <w:t xml:space="preserve">onthly </w:t>
      </w:r>
      <w:r w:rsidR="003A3FEA">
        <w:t>G</w:t>
      </w:r>
      <w:r w:rsidRPr="00681C76">
        <w:t xml:space="preserve">as </w:t>
      </w:r>
      <w:r w:rsidR="003A3FEA">
        <w:t>P</w:t>
      </w:r>
      <w:r w:rsidRPr="00681C76">
        <w:t xml:space="preserve">rice </w:t>
      </w:r>
      <w:r w:rsidR="003A3FEA">
        <w:t>F</w:t>
      </w:r>
      <w:r w:rsidRPr="00681C76">
        <w:t xml:space="preserve">orecast </w:t>
      </w:r>
      <w:r w:rsidR="003A3FEA">
        <w:t>S</w:t>
      </w:r>
      <w:r w:rsidRPr="00681C76">
        <w:t xml:space="preserve">hapes </w:t>
      </w:r>
    </w:p>
    <w:p w14:paraId="42F18B32" w14:textId="12AF8BE9" w:rsidR="00AE59EC" w:rsidRDefault="00AE59EC">
      <w:pPr>
        <w:jc w:val="center"/>
      </w:pPr>
      <w:r>
        <w:rPr>
          <w:noProof/>
        </w:rPr>
        <w:drawing>
          <wp:inline distT="0" distB="0" distL="0" distR="0" wp14:anchorId="2CC7F16A" wp14:editId="39F5BDF5">
            <wp:extent cx="5731170" cy="3438224"/>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7264" cy="3447879"/>
                    </a:xfrm>
                    <a:prstGeom prst="rect">
                      <a:avLst/>
                    </a:prstGeom>
                    <a:noFill/>
                  </pic:spPr>
                </pic:pic>
              </a:graphicData>
            </a:graphic>
          </wp:inline>
        </w:drawing>
      </w:r>
    </w:p>
    <w:p w14:paraId="2F4BA76D" w14:textId="615B9C06" w:rsidR="1D967738" w:rsidRDefault="00064471" w:rsidP="00D161A1">
      <w:pPr>
        <w:spacing w:line="240" w:lineRule="auto"/>
        <w:rPr>
          <w:i/>
          <w:color w:val="034E6E" w:themeColor="accent1"/>
        </w:rPr>
      </w:pPr>
      <w:r w:rsidRPr="00B76B06">
        <w:rPr>
          <w:i/>
          <w:color w:val="034E6E" w:themeColor="accent1"/>
        </w:rPr>
        <w:t>Note that values for January 201</w:t>
      </w:r>
      <w:r w:rsidR="00E71A17">
        <w:rPr>
          <w:i/>
          <w:color w:val="034E6E" w:themeColor="accent1"/>
        </w:rPr>
        <w:t>9</w:t>
      </w:r>
      <w:r w:rsidRPr="00B76B06">
        <w:rPr>
          <w:i/>
          <w:color w:val="034E6E" w:themeColor="accent1"/>
        </w:rPr>
        <w:t xml:space="preserve"> through March</w:t>
      </w:r>
      <w:r w:rsidR="00E71A17" w:rsidRPr="00B76B06">
        <w:rPr>
          <w:i/>
          <w:color w:val="034E6E" w:themeColor="accent1"/>
        </w:rPr>
        <w:t xml:space="preserve"> </w:t>
      </w:r>
      <w:r w:rsidRPr="00B76B06">
        <w:rPr>
          <w:i/>
          <w:color w:val="034E6E" w:themeColor="accent1"/>
        </w:rPr>
        <w:t>201</w:t>
      </w:r>
      <w:r w:rsidR="00E71A17">
        <w:rPr>
          <w:i/>
          <w:color w:val="034E6E" w:themeColor="accent1"/>
        </w:rPr>
        <w:t>9</w:t>
      </w:r>
      <w:r w:rsidRPr="00B76B06">
        <w:rPr>
          <w:i/>
          <w:color w:val="034E6E" w:themeColor="accent1"/>
        </w:rPr>
        <w:t xml:space="preserve"> are actual market prices, rather than market forwards</w:t>
      </w:r>
      <w:r w:rsidR="005C385F">
        <w:rPr>
          <w:i/>
          <w:color w:val="034E6E" w:themeColor="accent1"/>
        </w:rPr>
        <w:t>.</w:t>
      </w:r>
    </w:p>
    <w:p w14:paraId="127D88B8" w14:textId="77777777" w:rsidR="00D161A1" w:rsidRPr="00D161A1" w:rsidRDefault="00D161A1" w:rsidP="00D161A1">
      <w:pPr>
        <w:spacing w:line="240" w:lineRule="auto"/>
        <w:rPr>
          <w:i/>
          <w:color w:val="034E6E" w:themeColor="accent1"/>
        </w:rPr>
      </w:pPr>
    </w:p>
    <w:p w14:paraId="49DFD4FB" w14:textId="77777777" w:rsidR="00E05181" w:rsidRDefault="00DD325E" w:rsidP="00DD325E">
      <w:r>
        <w:t xml:space="preserve">For the avoided costs used to evaluate natural gas EE reductions, </w:t>
      </w:r>
      <w:r w:rsidR="00E05181">
        <w:t>the following costs are added to the commodity cost.</w:t>
      </w:r>
    </w:p>
    <w:p w14:paraId="2AFA722F" w14:textId="03A85A95" w:rsidR="00E05181" w:rsidRDefault="005C385F" w:rsidP="00E73263">
      <w:pPr>
        <w:numPr>
          <w:ilvl w:val="0"/>
          <w:numId w:val="7"/>
        </w:numPr>
        <w:spacing w:line="240" w:lineRule="auto"/>
        <w:contextualSpacing/>
      </w:pPr>
      <w:r>
        <w:t>C</w:t>
      </w:r>
      <w:r w:rsidR="00E05181">
        <w:t>ompression (0.39%),</w:t>
      </w:r>
    </w:p>
    <w:p w14:paraId="64FB361C" w14:textId="6CA7AD9D" w:rsidR="00E05181" w:rsidRDefault="005C385F" w:rsidP="00E73263">
      <w:pPr>
        <w:numPr>
          <w:ilvl w:val="0"/>
          <w:numId w:val="7"/>
        </w:numPr>
        <w:spacing w:line="240" w:lineRule="auto"/>
        <w:contextualSpacing/>
      </w:pPr>
      <w:r>
        <w:t>L</w:t>
      </w:r>
      <w:r w:rsidR="00DD325E">
        <w:t>osses and unaccounted</w:t>
      </w:r>
      <w:r w:rsidR="00E05181">
        <w:t xml:space="preserve"> for (1.37%)</w:t>
      </w:r>
      <w:r w:rsidR="00DD325E">
        <w:t xml:space="preserve">, </w:t>
      </w:r>
    </w:p>
    <w:p w14:paraId="1457C37D" w14:textId="77BC55AB" w:rsidR="00E05181" w:rsidRDefault="005C385F" w:rsidP="00E73263">
      <w:pPr>
        <w:numPr>
          <w:ilvl w:val="0"/>
          <w:numId w:val="7"/>
        </w:numPr>
        <w:spacing w:line="240" w:lineRule="auto"/>
        <w:contextualSpacing/>
      </w:pPr>
      <w:r>
        <w:t>M</w:t>
      </w:r>
      <w:r w:rsidR="00DD325E">
        <w:t>arginal transmission and delivery costs</w:t>
      </w:r>
      <w:r w:rsidR="00E05181">
        <w:t xml:space="preserve"> (varies by utility)</w:t>
      </w:r>
      <w:r w:rsidR="00DD325E">
        <w:t xml:space="preserve">, </w:t>
      </w:r>
    </w:p>
    <w:p w14:paraId="05F35ACB" w14:textId="7646D2B4" w:rsidR="00DD325E" w:rsidRDefault="00E05181" w:rsidP="00E73263">
      <w:pPr>
        <w:numPr>
          <w:ilvl w:val="0"/>
          <w:numId w:val="7"/>
        </w:numPr>
        <w:spacing w:line="240" w:lineRule="auto"/>
        <w:contextualSpacing/>
      </w:pPr>
      <w:r w:rsidRPr="008A6BDD">
        <w:t>NO</w:t>
      </w:r>
      <w:r w:rsidRPr="00E71A17">
        <w:rPr>
          <w:vertAlign w:val="subscript"/>
        </w:rPr>
        <w:t>X</w:t>
      </w:r>
      <w:r w:rsidRPr="008A6BDD">
        <w:t xml:space="preserve"> and CO</w:t>
      </w:r>
      <w:r w:rsidRPr="00E71A17">
        <w:rPr>
          <w:vertAlign w:val="subscript"/>
        </w:rPr>
        <w:t>2</w:t>
      </w:r>
      <w:r w:rsidRPr="008A6BDD">
        <w:t xml:space="preserve"> </w:t>
      </w:r>
    </w:p>
    <w:p w14:paraId="160E41B9" w14:textId="77777777" w:rsidR="00E73263" w:rsidRPr="008A6BDD" w:rsidRDefault="00E73263" w:rsidP="00E73263">
      <w:pPr>
        <w:spacing w:line="240" w:lineRule="auto"/>
        <w:ind w:left="360"/>
        <w:contextualSpacing/>
      </w:pPr>
    </w:p>
    <w:p w14:paraId="63EEE30E" w14:textId="734D83DD" w:rsidR="00836907" w:rsidRDefault="00E20427" w:rsidP="00836907">
      <w:pPr>
        <w:rPr>
          <w:lang w:val="x-none"/>
        </w:rPr>
      </w:pPr>
      <w:r>
        <w:t>None of</w:t>
      </w:r>
      <w:r w:rsidR="00E05181" w:rsidRPr="008A6BDD">
        <w:rPr>
          <w:lang w:val="x-none"/>
        </w:rPr>
        <w:t xml:space="preserve"> these additional cost items</w:t>
      </w:r>
      <w:r>
        <w:t xml:space="preserve"> has been changed in this update</w:t>
      </w:r>
      <w:r w:rsidR="005C385F">
        <w:t xml:space="preserve">. </w:t>
      </w:r>
      <w:r>
        <w:t>Specifically, the emission cost of CO</w:t>
      </w:r>
      <w:r w:rsidRPr="005C385F">
        <w:rPr>
          <w:vertAlign w:val="subscript"/>
        </w:rPr>
        <w:t>2</w:t>
      </w:r>
      <w:r>
        <w:t xml:space="preserve"> continues to use the interim GHG adder from 2017</w:t>
      </w:r>
      <w:r w:rsidR="005C385F">
        <w:rPr>
          <w:lang w:val="x-none"/>
        </w:rPr>
        <w:t xml:space="preserve">. </w:t>
      </w:r>
      <w:r w:rsidR="00E05181">
        <w:rPr>
          <w:lang w:val="x-none"/>
        </w:rPr>
        <w:t>The cost of CO</w:t>
      </w:r>
      <w:r w:rsidR="00E05181" w:rsidRPr="00F41009">
        <w:rPr>
          <w:vertAlign w:val="subscript"/>
          <w:lang w:val="x-none"/>
        </w:rPr>
        <w:t>2</w:t>
      </w:r>
      <w:r>
        <w:t xml:space="preserve"> has been updated for electricity avoided costs, and</w:t>
      </w:r>
      <w:r w:rsidR="00E05181">
        <w:rPr>
          <w:lang w:val="x-none"/>
        </w:rPr>
        <w:t xml:space="preserve"> is discussed in the electricity avoided cost section of this memo.</w:t>
      </w:r>
    </w:p>
    <w:p w14:paraId="5E896A99" w14:textId="28464CEA" w:rsidR="00E05181" w:rsidRPr="008A6BDD" w:rsidRDefault="00717DAC" w:rsidP="00836907">
      <w:pPr>
        <w:rPr>
          <w:lang w:val="x-none"/>
        </w:rPr>
      </w:pPr>
      <w:r w:rsidRPr="008A6BDD">
        <w:lastRenderedPageBreak/>
        <w:t>The marginal cost of gas distribution capacity has not been revised in this update.</w:t>
      </w:r>
    </w:p>
    <w:p w14:paraId="58CB599B" w14:textId="77777777" w:rsidR="00836907" w:rsidRPr="00836907" w:rsidRDefault="00836907" w:rsidP="00836907">
      <w:pPr>
        <w:rPr>
          <w:lang w:val="x-none"/>
        </w:rPr>
      </w:pPr>
    </w:p>
    <w:p w14:paraId="0C3969FA" w14:textId="77777777" w:rsidR="00E412A9" w:rsidRDefault="00E412A9">
      <w:pPr>
        <w:pStyle w:val="Heading1"/>
      </w:pPr>
      <w:bookmarkStart w:id="18" w:name="_Ref12443661"/>
      <w:bookmarkStart w:id="19" w:name="_Ref12443666"/>
      <w:bookmarkStart w:id="20" w:name="_Toc12445830"/>
      <w:r>
        <w:t xml:space="preserve">Overview of </w:t>
      </w:r>
      <w:r w:rsidR="000514E9">
        <w:t xml:space="preserve">Electricity </w:t>
      </w:r>
      <w:r>
        <w:t>Avoided Cost Components</w:t>
      </w:r>
      <w:bookmarkEnd w:id="9"/>
      <w:bookmarkEnd w:id="10"/>
      <w:bookmarkEnd w:id="18"/>
      <w:bookmarkEnd w:id="19"/>
      <w:bookmarkEnd w:id="20"/>
    </w:p>
    <w:p w14:paraId="11A3470F" w14:textId="1686F68B" w:rsidR="00DE3966" w:rsidRDefault="00DE3966" w:rsidP="000145D0">
      <w:r>
        <w:t>This section provides a brief overview of the electricity avoided cost components and their contribution to the total electricity avoided costs</w:t>
      </w:r>
      <w:r w:rsidR="005C385F">
        <w:t xml:space="preserve">. </w:t>
      </w:r>
      <w:r>
        <w:t>This is followed by detailed discussions of the updates for each component in the subsequent sections.</w:t>
      </w:r>
    </w:p>
    <w:p w14:paraId="3FE9B682" w14:textId="3D284719" w:rsidR="00E412A9" w:rsidRDefault="00E412A9" w:rsidP="000145D0">
      <w:r>
        <w:t xml:space="preserve">The avoided cost used for </w:t>
      </w:r>
      <w:r w:rsidR="000514E9">
        <w:t xml:space="preserve">electricity </w:t>
      </w:r>
      <w:r>
        <w:t xml:space="preserve">energy efficiency evaluation is calculated as the sum of six components shown in </w:t>
      </w:r>
      <w:r>
        <w:fldChar w:fldCharType="begin"/>
      </w:r>
      <w:r>
        <w:instrText xml:space="preserve"> REF _Ref248225701 \h </w:instrText>
      </w:r>
      <w:r>
        <w:fldChar w:fldCharType="separate"/>
      </w:r>
      <w:r w:rsidR="0097492A">
        <w:t xml:space="preserve">Table </w:t>
      </w:r>
      <w:r w:rsidR="0097492A">
        <w:rPr>
          <w:noProof/>
        </w:rPr>
        <w:t>1</w:t>
      </w:r>
      <w:r>
        <w:fldChar w:fldCharType="end"/>
      </w:r>
      <w:r>
        <w:t>.</w:t>
      </w:r>
    </w:p>
    <w:p w14:paraId="040B6B94" w14:textId="17C58B18" w:rsidR="00E412A9" w:rsidRPr="001A1330" w:rsidRDefault="00E412A9" w:rsidP="00087461">
      <w:pPr>
        <w:pStyle w:val="Caption"/>
      </w:pPr>
      <w:bookmarkStart w:id="21" w:name="_Ref248225701"/>
      <w:r>
        <w:t xml:space="preserve">Table </w:t>
      </w:r>
      <w:r w:rsidR="00D22C95">
        <w:rPr>
          <w:noProof/>
        </w:rPr>
        <w:fldChar w:fldCharType="begin"/>
      </w:r>
      <w:r w:rsidR="00D22C95">
        <w:rPr>
          <w:noProof/>
        </w:rPr>
        <w:instrText xml:space="preserve"> SEQ Table \* ARABIC </w:instrText>
      </w:r>
      <w:r w:rsidR="00D22C95">
        <w:rPr>
          <w:noProof/>
        </w:rPr>
        <w:fldChar w:fldCharType="separate"/>
      </w:r>
      <w:r w:rsidR="0097492A">
        <w:rPr>
          <w:noProof/>
        </w:rPr>
        <w:t>1</w:t>
      </w:r>
      <w:r w:rsidR="00D22C95">
        <w:rPr>
          <w:noProof/>
        </w:rPr>
        <w:fldChar w:fldCharType="end"/>
      </w:r>
      <w:bookmarkEnd w:id="21"/>
      <w:r>
        <w:t xml:space="preserve">. Components of </w:t>
      </w:r>
      <w:r w:rsidR="003A3FEA">
        <w:t>E</w:t>
      </w:r>
      <w:r w:rsidR="000514E9">
        <w:t xml:space="preserve">lectricity </w:t>
      </w:r>
      <w:r w:rsidR="003A3FEA">
        <w:t>A</w:t>
      </w:r>
      <w:r w:rsidR="000514E9">
        <w:t>voided</w:t>
      </w:r>
      <w:r>
        <w:t xml:space="preserve"> </w:t>
      </w:r>
      <w:r w:rsidR="003A3FEA">
        <w:t>C</w:t>
      </w:r>
      <w:r>
        <w:t>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7110"/>
      </w:tblGrid>
      <w:tr w:rsidR="00E412A9" w:rsidRPr="00D05611" w14:paraId="357F6EA8" w14:textId="77777777" w:rsidTr="00B76B06">
        <w:tc>
          <w:tcPr>
            <w:tcW w:w="2240" w:type="dxa"/>
            <w:shd w:val="clear" w:color="auto" w:fill="CCCCCC"/>
            <w:vAlign w:val="center"/>
          </w:tcPr>
          <w:p w14:paraId="452AB1C8" w14:textId="77777777" w:rsidR="00E412A9" w:rsidRPr="00D05611" w:rsidRDefault="00E412A9" w:rsidP="00320920">
            <w:pPr>
              <w:spacing w:line="240" w:lineRule="auto"/>
            </w:pPr>
            <w:r w:rsidRPr="00D05611">
              <w:t>Component</w:t>
            </w:r>
          </w:p>
        </w:tc>
        <w:tc>
          <w:tcPr>
            <w:tcW w:w="7110" w:type="dxa"/>
            <w:shd w:val="clear" w:color="auto" w:fill="CCCCCC"/>
            <w:vAlign w:val="center"/>
          </w:tcPr>
          <w:p w14:paraId="11F31529" w14:textId="77777777" w:rsidR="00E412A9" w:rsidRPr="00D05611" w:rsidRDefault="00E412A9" w:rsidP="00320920">
            <w:pPr>
              <w:spacing w:line="240" w:lineRule="auto"/>
            </w:pPr>
            <w:r w:rsidRPr="00D05611">
              <w:t>Description</w:t>
            </w:r>
          </w:p>
        </w:tc>
      </w:tr>
      <w:tr w:rsidR="00E412A9" w:rsidRPr="00D05611" w14:paraId="1E29059D" w14:textId="77777777" w:rsidTr="00B76B06">
        <w:tc>
          <w:tcPr>
            <w:tcW w:w="2240" w:type="dxa"/>
            <w:vAlign w:val="center"/>
          </w:tcPr>
          <w:p w14:paraId="74C4F5AD" w14:textId="77777777" w:rsidR="00E412A9" w:rsidRPr="00D05611" w:rsidRDefault="00E412A9" w:rsidP="00320920">
            <w:pPr>
              <w:spacing w:line="240" w:lineRule="auto"/>
            </w:pPr>
            <w:r w:rsidRPr="00D05611">
              <w:t>Generation Energy</w:t>
            </w:r>
          </w:p>
        </w:tc>
        <w:tc>
          <w:tcPr>
            <w:tcW w:w="7110" w:type="dxa"/>
            <w:vAlign w:val="center"/>
          </w:tcPr>
          <w:p w14:paraId="4311D519" w14:textId="77777777" w:rsidR="00E412A9" w:rsidRPr="00D05611" w:rsidRDefault="00E412A9" w:rsidP="00CD0E8C">
            <w:pPr>
              <w:spacing w:line="240" w:lineRule="auto"/>
            </w:pPr>
            <w:r w:rsidRPr="00D05611">
              <w:t xml:space="preserve">Estimate of hourly wholesale value of energy </w:t>
            </w:r>
          </w:p>
        </w:tc>
      </w:tr>
      <w:tr w:rsidR="00E412A9" w:rsidRPr="00D05611" w14:paraId="003F5CD8" w14:textId="77777777" w:rsidTr="00B76B06">
        <w:trPr>
          <w:cantSplit/>
        </w:trPr>
        <w:tc>
          <w:tcPr>
            <w:tcW w:w="2240" w:type="dxa"/>
            <w:vAlign w:val="center"/>
          </w:tcPr>
          <w:p w14:paraId="26C9103C" w14:textId="77777777" w:rsidR="00E412A9" w:rsidRPr="00D05611" w:rsidRDefault="007770E0" w:rsidP="00320920">
            <w:pPr>
              <w:spacing w:line="240" w:lineRule="auto"/>
            </w:pPr>
            <w:r>
              <w:t>Generation</w:t>
            </w:r>
            <w:r w:rsidR="00E412A9" w:rsidRPr="00D05611">
              <w:t xml:space="preserve"> Capacity</w:t>
            </w:r>
          </w:p>
        </w:tc>
        <w:tc>
          <w:tcPr>
            <w:tcW w:w="7110" w:type="dxa"/>
            <w:vAlign w:val="center"/>
          </w:tcPr>
          <w:p w14:paraId="0A808A1E" w14:textId="77777777" w:rsidR="00E412A9" w:rsidRPr="00D05611" w:rsidRDefault="00E412A9" w:rsidP="00F26268">
            <w:pPr>
              <w:spacing w:before="120" w:after="120" w:line="240" w:lineRule="auto"/>
            </w:pPr>
            <w:r w:rsidRPr="00D05611">
              <w:t>The costs of building new generation capacity to meet system peak loads</w:t>
            </w:r>
          </w:p>
        </w:tc>
      </w:tr>
      <w:tr w:rsidR="00E412A9" w:rsidRPr="00D05611" w14:paraId="512456C1" w14:textId="77777777" w:rsidTr="00B76B06">
        <w:trPr>
          <w:cantSplit/>
        </w:trPr>
        <w:tc>
          <w:tcPr>
            <w:tcW w:w="2240" w:type="dxa"/>
            <w:vAlign w:val="center"/>
          </w:tcPr>
          <w:p w14:paraId="19D989F0" w14:textId="77777777" w:rsidR="00E412A9" w:rsidRPr="00D05611" w:rsidRDefault="00E412A9" w:rsidP="00320920">
            <w:pPr>
              <w:spacing w:line="240" w:lineRule="auto"/>
            </w:pPr>
            <w:r w:rsidRPr="00D05611">
              <w:t>Ancillary Services</w:t>
            </w:r>
          </w:p>
        </w:tc>
        <w:tc>
          <w:tcPr>
            <w:tcW w:w="7110" w:type="dxa"/>
            <w:vAlign w:val="center"/>
          </w:tcPr>
          <w:p w14:paraId="498D69E5" w14:textId="77777777" w:rsidR="00E412A9" w:rsidRPr="00D05611" w:rsidRDefault="00E412A9" w:rsidP="00F26268">
            <w:pPr>
              <w:spacing w:before="120" w:after="120" w:line="240" w:lineRule="auto"/>
            </w:pPr>
            <w:r w:rsidRPr="00D05611">
              <w:t>The marginal costs of providing system operations and reserves for electricity grid reliability</w:t>
            </w:r>
          </w:p>
        </w:tc>
      </w:tr>
      <w:tr w:rsidR="00E412A9" w:rsidRPr="00D05611" w14:paraId="4493C46D" w14:textId="77777777" w:rsidTr="00B76B06">
        <w:trPr>
          <w:cantSplit/>
        </w:trPr>
        <w:tc>
          <w:tcPr>
            <w:tcW w:w="2240" w:type="dxa"/>
            <w:vAlign w:val="center"/>
          </w:tcPr>
          <w:p w14:paraId="7A2110FD" w14:textId="77777777" w:rsidR="00E412A9" w:rsidRPr="00D05611" w:rsidRDefault="00E412A9" w:rsidP="00320920">
            <w:pPr>
              <w:spacing w:line="240" w:lineRule="auto"/>
            </w:pPr>
            <w:r w:rsidRPr="00D05611">
              <w:t>T&amp;D Capacity</w:t>
            </w:r>
          </w:p>
        </w:tc>
        <w:tc>
          <w:tcPr>
            <w:tcW w:w="7110" w:type="dxa"/>
            <w:vAlign w:val="center"/>
          </w:tcPr>
          <w:p w14:paraId="6195A2CF" w14:textId="77777777" w:rsidR="00E412A9" w:rsidRPr="00D05611" w:rsidRDefault="00E412A9" w:rsidP="00F26268">
            <w:pPr>
              <w:spacing w:before="120" w:after="120" w:line="240" w:lineRule="auto"/>
            </w:pPr>
            <w:r w:rsidRPr="00D05611">
              <w:t>The costs of expanding transmission and distribution capacity to meet peak loads</w:t>
            </w:r>
          </w:p>
        </w:tc>
      </w:tr>
      <w:tr w:rsidR="00E412A9" w:rsidRPr="00D05611" w14:paraId="062D47B2" w14:textId="77777777" w:rsidTr="00B76B06">
        <w:trPr>
          <w:cantSplit/>
        </w:trPr>
        <w:tc>
          <w:tcPr>
            <w:tcW w:w="2240" w:type="dxa"/>
            <w:vAlign w:val="center"/>
          </w:tcPr>
          <w:p w14:paraId="73E372A5" w14:textId="4DE7F092" w:rsidR="00E412A9" w:rsidRPr="00D05611" w:rsidRDefault="00595784" w:rsidP="00320920">
            <w:pPr>
              <w:spacing w:line="240" w:lineRule="auto"/>
            </w:pPr>
            <w:r>
              <w:t>C</w:t>
            </w:r>
            <w:r w:rsidR="00FD431B">
              <w:t xml:space="preserve">ap and </w:t>
            </w:r>
            <w:r>
              <w:t>T</w:t>
            </w:r>
            <w:r w:rsidR="00FD431B">
              <w:t>rade</w:t>
            </w:r>
            <w:r w:rsidR="00B5421C">
              <w:t xml:space="preserve"> Costs</w:t>
            </w:r>
          </w:p>
        </w:tc>
        <w:tc>
          <w:tcPr>
            <w:tcW w:w="7110" w:type="dxa"/>
            <w:vAlign w:val="center"/>
          </w:tcPr>
          <w:p w14:paraId="77B2171A" w14:textId="1FDA286D" w:rsidR="00E412A9" w:rsidRPr="00D05611" w:rsidRDefault="00E412A9" w:rsidP="00F26268">
            <w:pPr>
              <w:spacing w:before="120" w:after="120" w:line="240" w:lineRule="auto"/>
            </w:pPr>
            <w:r w:rsidRPr="00D05611">
              <w:t xml:space="preserve">The cost of </w:t>
            </w:r>
            <w:r w:rsidR="00852A9A">
              <w:t xml:space="preserve">Cap and Trade allowance permits for </w:t>
            </w:r>
            <w:r w:rsidRPr="00D05611">
              <w:t>carbon dioxide emissions</w:t>
            </w:r>
            <w:r>
              <w:t xml:space="preserve"> </w:t>
            </w:r>
            <w:r w:rsidRPr="00D05611">
              <w:t>associated with the marginal generating resource</w:t>
            </w:r>
            <w:r w:rsidR="00B5421C">
              <w:t>; i.e., the carbon value explicitly included as a cost in electricity generation</w:t>
            </w:r>
          </w:p>
        </w:tc>
      </w:tr>
      <w:tr w:rsidR="00DA20DB" w:rsidRPr="00D05611" w14:paraId="24BE8526" w14:textId="77777777" w:rsidTr="00DA20DB">
        <w:trPr>
          <w:cantSplit/>
        </w:trPr>
        <w:tc>
          <w:tcPr>
            <w:tcW w:w="2240" w:type="dxa"/>
            <w:vAlign w:val="center"/>
          </w:tcPr>
          <w:p w14:paraId="03DADDD7" w14:textId="1A9B5872" w:rsidR="00DA20DB" w:rsidRPr="00D05611" w:rsidRDefault="00DA20DB" w:rsidP="00DA20DB">
            <w:pPr>
              <w:spacing w:line="240" w:lineRule="auto"/>
            </w:pPr>
            <w:r>
              <w:t xml:space="preserve">GHG </w:t>
            </w:r>
            <w:r w:rsidR="006B768B">
              <w:t>A</w:t>
            </w:r>
            <w:r>
              <w:t>dder</w:t>
            </w:r>
          </w:p>
        </w:tc>
        <w:tc>
          <w:tcPr>
            <w:tcW w:w="7110" w:type="dxa"/>
            <w:vAlign w:val="center"/>
          </w:tcPr>
          <w:p w14:paraId="7E7D3746" w14:textId="0F4D9832" w:rsidR="00DA20DB" w:rsidRPr="00565B50" w:rsidRDefault="00DA20DB" w:rsidP="00852A9A">
            <w:pPr>
              <w:spacing w:before="120" w:after="120" w:line="240" w:lineRule="auto"/>
            </w:pPr>
            <w:r>
              <w:t>The difference between the CPUC</w:t>
            </w:r>
            <w:r w:rsidR="00852A9A">
              <w:t>-</w:t>
            </w:r>
            <w:r>
              <w:t xml:space="preserve">adopted </w:t>
            </w:r>
            <w:r w:rsidR="00DD6B5D">
              <w:t>total value of</w:t>
            </w:r>
            <w:r>
              <w:t xml:space="preserve"> CO</w:t>
            </w:r>
            <w:r w:rsidRPr="00E7231F">
              <w:rPr>
                <w:vertAlign w:val="subscript"/>
              </w:rPr>
              <w:t>2</w:t>
            </w:r>
            <w:r>
              <w:t xml:space="preserve"> and the </w:t>
            </w:r>
            <w:r w:rsidR="00DD6B5D">
              <w:t>Cap and Trade value of CO</w:t>
            </w:r>
            <w:r w:rsidR="00DD6B5D" w:rsidRPr="00E7231F">
              <w:rPr>
                <w:vertAlign w:val="subscript"/>
              </w:rPr>
              <w:t>2</w:t>
            </w:r>
            <w:r w:rsidR="00565B50" w:rsidRPr="00565B50">
              <w:t xml:space="preserve">; </w:t>
            </w:r>
            <w:r w:rsidR="00565B50">
              <w:t>i.e., the incremental value of GHG abatement, above</w:t>
            </w:r>
            <w:r w:rsidR="00B5421C">
              <w:t xml:space="preserve"> the Cap and Trade price</w:t>
            </w:r>
          </w:p>
        </w:tc>
      </w:tr>
      <w:tr w:rsidR="00E412A9" w:rsidRPr="00D05611" w14:paraId="04AF0BCC" w14:textId="77777777" w:rsidTr="00B76B06">
        <w:trPr>
          <w:cantSplit/>
        </w:trPr>
        <w:tc>
          <w:tcPr>
            <w:tcW w:w="2240" w:type="dxa"/>
            <w:vAlign w:val="center"/>
          </w:tcPr>
          <w:p w14:paraId="122425E6" w14:textId="77777777" w:rsidR="00E412A9" w:rsidRPr="00D05611" w:rsidRDefault="00E412A9" w:rsidP="00320920">
            <w:pPr>
              <w:spacing w:line="240" w:lineRule="auto"/>
            </w:pPr>
            <w:r w:rsidRPr="00D05611">
              <w:t>Avoided RPS</w:t>
            </w:r>
          </w:p>
        </w:tc>
        <w:tc>
          <w:tcPr>
            <w:tcW w:w="7110" w:type="dxa"/>
            <w:vAlign w:val="center"/>
          </w:tcPr>
          <w:p w14:paraId="0FCE9ECE" w14:textId="56381C72" w:rsidR="00E412A9" w:rsidRPr="00D05611" w:rsidRDefault="00C97154" w:rsidP="00F26268">
            <w:pPr>
              <w:spacing w:before="120" w:after="120" w:line="240" w:lineRule="auto"/>
            </w:pPr>
            <w:r>
              <w:t>This component has been set to zero</w:t>
            </w:r>
          </w:p>
        </w:tc>
      </w:tr>
    </w:tbl>
    <w:p w14:paraId="4A64451C" w14:textId="3BB5F71B" w:rsidR="000145D0" w:rsidRDefault="00E412A9" w:rsidP="000145D0">
      <w:r>
        <w:lastRenderedPageBreak/>
        <w:br/>
      </w:r>
      <w:r w:rsidR="00CC6E82">
        <w:t>Each of these avoided cost</w:t>
      </w:r>
      <w:r w:rsidR="007C5207">
        <w:t xml:space="preserve"> component</w:t>
      </w:r>
      <w:r w:rsidR="00CC6E82">
        <w:t>s is determined for every hour of the year</w:t>
      </w:r>
      <w:r w:rsidR="00B5421C">
        <w:t>, for a period of 31 years starting in 2019</w:t>
      </w:r>
      <w:r w:rsidR="005C385F">
        <w:t xml:space="preserve">. </w:t>
      </w:r>
      <w:r>
        <w:t>The hourly granularity is obtained by shaping forecasts of the average value of each component with historical day-ahead and real-time energy prices and actual system loads</w:t>
      </w:r>
      <w:r w:rsidR="009C2C5C">
        <w:t>.</w:t>
      </w:r>
      <w:r>
        <w:t xml:space="preserve"> </w:t>
      </w:r>
      <w:r>
        <w:fldChar w:fldCharType="begin"/>
      </w:r>
      <w:r>
        <w:instrText xml:space="preserve"> REF _Ref273363944 \h </w:instrText>
      </w:r>
      <w:r w:rsidR="000145D0">
        <w:instrText xml:space="preserve"> \* MERGEFORMAT </w:instrText>
      </w:r>
      <w:r>
        <w:fldChar w:fldCharType="separate"/>
      </w:r>
      <w:r w:rsidR="0097492A">
        <w:t xml:space="preserve">Table </w:t>
      </w:r>
      <w:r w:rsidR="0097492A">
        <w:rPr>
          <w:noProof/>
        </w:rPr>
        <w:t>2</w:t>
      </w:r>
      <w:r>
        <w:fldChar w:fldCharType="end"/>
      </w:r>
      <w:r>
        <w:t xml:space="preserve"> summarizes the methodology applied to each component to develop this level of granularity.</w:t>
      </w:r>
    </w:p>
    <w:p w14:paraId="03BC1F43" w14:textId="32D09C1D" w:rsidR="00E412A9" w:rsidRDefault="00E412A9" w:rsidP="00087461">
      <w:pPr>
        <w:pStyle w:val="Caption"/>
      </w:pPr>
      <w:bookmarkStart w:id="22" w:name="_Ref273363944"/>
      <w:r>
        <w:t xml:space="preserve">Table </w:t>
      </w:r>
      <w:r w:rsidR="00D22C95">
        <w:rPr>
          <w:noProof/>
        </w:rPr>
        <w:fldChar w:fldCharType="begin"/>
      </w:r>
      <w:r w:rsidR="00D22C95">
        <w:rPr>
          <w:noProof/>
        </w:rPr>
        <w:instrText xml:space="preserve"> SEQ Table \* ARABIC </w:instrText>
      </w:r>
      <w:r w:rsidR="00D22C95">
        <w:rPr>
          <w:noProof/>
        </w:rPr>
        <w:fldChar w:fldCharType="separate"/>
      </w:r>
      <w:r w:rsidR="0097492A">
        <w:rPr>
          <w:noProof/>
        </w:rPr>
        <w:t>2</w:t>
      </w:r>
      <w:r w:rsidR="00D22C95">
        <w:rPr>
          <w:noProof/>
        </w:rPr>
        <w:fldChar w:fldCharType="end"/>
      </w:r>
      <w:bookmarkEnd w:id="22"/>
      <w:r>
        <w:t xml:space="preserve">. Summary of </w:t>
      </w:r>
      <w:r w:rsidR="003A3FEA">
        <w:t>M</w:t>
      </w:r>
      <w:r>
        <w:t>ethodology for</w:t>
      </w:r>
      <w:r w:rsidR="000514E9">
        <w:t xml:space="preserve"> </w:t>
      </w:r>
      <w:r w:rsidR="003A3FEA">
        <w:t>E</w:t>
      </w:r>
      <w:r w:rsidR="000514E9">
        <w:t>lectricity</w:t>
      </w:r>
      <w:r>
        <w:t xml:space="preserve"> </w:t>
      </w:r>
      <w:r w:rsidR="003A3FEA">
        <w:t>A</w:t>
      </w:r>
      <w:r>
        <w:t xml:space="preserve">voided </w:t>
      </w:r>
      <w:r w:rsidR="003A3FEA">
        <w:t>C</w:t>
      </w:r>
      <w:r>
        <w:t xml:space="preserve">ost </w:t>
      </w:r>
      <w:r w:rsidR="003A3FEA">
        <w:t>C</w:t>
      </w:r>
      <w:r>
        <w:t xml:space="preserve">omponent </w:t>
      </w:r>
      <w:r w:rsidR="003A3FEA">
        <w:t>F</w:t>
      </w:r>
      <w:r>
        <w:t>orecasts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3475"/>
        <w:gridCol w:w="3471"/>
      </w:tblGrid>
      <w:tr w:rsidR="00E412A9" w:rsidRPr="00D05611" w14:paraId="0D4D7038" w14:textId="77777777" w:rsidTr="25ED4B98">
        <w:tc>
          <w:tcPr>
            <w:tcW w:w="2448" w:type="dxa"/>
            <w:shd w:val="clear" w:color="auto" w:fill="CCCCCC"/>
          </w:tcPr>
          <w:p w14:paraId="630809E1" w14:textId="77777777" w:rsidR="00E412A9" w:rsidRPr="00D05611" w:rsidRDefault="00E412A9" w:rsidP="000145D0">
            <w:r w:rsidRPr="00D05611">
              <w:t>Component</w:t>
            </w:r>
          </w:p>
        </w:tc>
        <w:tc>
          <w:tcPr>
            <w:tcW w:w="3566" w:type="dxa"/>
            <w:shd w:val="clear" w:color="auto" w:fill="CCCCCC"/>
          </w:tcPr>
          <w:p w14:paraId="466FF3F3" w14:textId="77777777" w:rsidR="00E412A9" w:rsidRPr="00D05611" w:rsidRDefault="00E412A9" w:rsidP="000145D0">
            <w:r w:rsidRPr="00D05611">
              <w:t>Basis of Annual Forecast</w:t>
            </w:r>
          </w:p>
        </w:tc>
        <w:tc>
          <w:tcPr>
            <w:tcW w:w="3562" w:type="dxa"/>
            <w:shd w:val="clear" w:color="auto" w:fill="CCCCCC"/>
          </w:tcPr>
          <w:p w14:paraId="4FEE8ABE" w14:textId="5EB4BFC9" w:rsidR="00E412A9" w:rsidRPr="00D05611" w:rsidRDefault="00E412A9" w:rsidP="000145D0">
            <w:r w:rsidRPr="00D05611">
              <w:t xml:space="preserve">Basis of Hourly </w:t>
            </w:r>
            <w:r w:rsidR="00371BBC">
              <w:t>Allocation</w:t>
            </w:r>
          </w:p>
        </w:tc>
      </w:tr>
      <w:tr w:rsidR="00E412A9" w:rsidRPr="00D05611" w14:paraId="4DC4591E" w14:textId="77777777" w:rsidTr="008A6BDD">
        <w:tc>
          <w:tcPr>
            <w:tcW w:w="2448" w:type="dxa"/>
            <w:tcBorders>
              <w:top w:val="single" w:sz="4" w:space="0" w:color="auto"/>
              <w:left w:val="single" w:sz="4" w:space="0" w:color="auto"/>
              <w:bottom w:val="single" w:sz="4" w:space="0" w:color="auto"/>
              <w:right w:val="single" w:sz="4" w:space="0" w:color="auto"/>
            </w:tcBorders>
            <w:vAlign w:val="center"/>
          </w:tcPr>
          <w:p w14:paraId="6ED6DBF9" w14:textId="77777777" w:rsidR="00E412A9" w:rsidRPr="00D05611" w:rsidRDefault="00E412A9" w:rsidP="000145D0">
            <w:pPr>
              <w:pStyle w:val="Table"/>
            </w:pPr>
            <w:r w:rsidRPr="00D05611">
              <w:t>Generation Energy</w:t>
            </w:r>
          </w:p>
        </w:tc>
        <w:tc>
          <w:tcPr>
            <w:tcW w:w="3566" w:type="dxa"/>
            <w:tcBorders>
              <w:top w:val="single" w:sz="4" w:space="0" w:color="auto"/>
              <w:left w:val="single" w:sz="4" w:space="0" w:color="auto"/>
              <w:bottom w:val="single" w:sz="4" w:space="0" w:color="auto"/>
              <w:right w:val="single" w:sz="4" w:space="0" w:color="auto"/>
            </w:tcBorders>
            <w:vAlign w:val="center"/>
          </w:tcPr>
          <w:p w14:paraId="43C1D22C" w14:textId="4777CE67" w:rsidR="00E412A9" w:rsidRPr="00D05611" w:rsidRDefault="00BD1BAD" w:rsidP="008D6145">
            <w:pPr>
              <w:pStyle w:val="Table"/>
            </w:pPr>
            <w:r>
              <w:t>Forward market prices and the</w:t>
            </w:r>
            <w:r w:rsidR="008D6145">
              <w:t xml:space="preserve"> $/kWh fixed and variable operating costs of a CCGT</w:t>
            </w:r>
          </w:p>
        </w:tc>
        <w:tc>
          <w:tcPr>
            <w:tcW w:w="3562" w:type="dxa"/>
            <w:tcBorders>
              <w:top w:val="single" w:sz="4" w:space="0" w:color="auto"/>
              <w:left w:val="single" w:sz="4" w:space="0" w:color="auto"/>
              <w:bottom w:val="single" w:sz="4" w:space="0" w:color="auto"/>
              <w:right w:val="single" w:sz="4" w:space="0" w:color="auto"/>
            </w:tcBorders>
            <w:vAlign w:val="center"/>
          </w:tcPr>
          <w:p w14:paraId="7DA8BF6B" w14:textId="0608F173" w:rsidR="00E412A9" w:rsidRPr="00D05611" w:rsidRDefault="00E412A9" w:rsidP="000145D0">
            <w:pPr>
              <w:pStyle w:val="Table"/>
            </w:pPr>
            <w:r w:rsidRPr="00D05611">
              <w:t xml:space="preserve">Historical hourly day-ahead market price shapes from </w:t>
            </w:r>
            <w:r w:rsidR="00371BBC">
              <w:t>CAISO</w:t>
            </w:r>
            <w:r w:rsidRPr="00D05611">
              <w:t xml:space="preserve"> OASIS</w:t>
            </w:r>
          </w:p>
        </w:tc>
      </w:tr>
      <w:tr w:rsidR="00E412A9" w:rsidRPr="00D05611" w14:paraId="72B002DF" w14:textId="77777777" w:rsidTr="008A6BDD">
        <w:tc>
          <w:tcPr>
            <w:tcW w:w="2448" w:type="dxa"/>
            <w:tcBorders>
              <w:top w:val="single" w:sz="4" w:space="0" w:color="auto"/>
              <w:left w:val="single" w:sz="4" w:space="0" w:color="auto"/>
              <w:bottom w:val="single" w:sz="4" w:space="0" w:color="auto"/>
              <w:right w:val="single" w:sz="4" w:space="0" w:color="auto"/>
            </w:tcBorders>
            <w:vAlign w:val="center"/>
          </w:tcPr>
          <w:p w14:paraId="009BA773" w14:textId="77777777" w:rsidR="00E412A9" w:rsidRPr="00D05611" w:rsidRDefault="007770E0" w:rsidP="000145D0">
            <w:pPr>
              <w:pStyle w:val="Table"/>
            </w:pPr>
            <w:r>
              <w:t>Generation</w:t>
            </w:r>
            <w:r w:rsidR="00E412A9" w:rsidRPr="00D05611">
              <w:t xml:space="preserve"> Capacity</w:t>
            </w:r>
          </w:p>
        </w:tc>
        <w:tc>
          <w:tcPr>
            <w:tcW w:w="3566" w:type="dxa"/>
            <w:tcBorders>
              <w:top w:val="single" w:sz="4" w:space="0" w:color="auto"/>
              <w:left w:val="single" w:sz="4" w:space="0" w:color="auto"/>
              <w:bottom w:val="single" w:sz="4" w:space="0" w:color="auto"/>
              <w:right w:val="single" w:sz="4" w:space="0" w:color="auto"/>
            </w:tcBorders>
            <w:vAlign w:val="center"/>
          </w:tcPr>
          <w:p w14:paraId="6E738831" w14:textId="77777777" w:rsidR="00E412A9" w:rsidRPr="00D05611" w:rsidRDefault="008D6145" w:rsidP="008D6145">
            <w:pPr>
              <w:pStyle w:val="Table"/>
            </w:pPr>
            <w:r>
              <w:t>Residual capacity value</w:t>
            </w:r>
            <w:r w:rsidR="00E412A9" w:rsidRPr="00D05611">
              <w:t xml:space="preserve"> a new simple-cycle combustion turbine</w:t>
            </w:r>
          </w:p>
        </w:tc>
        <w:tc>
          <w:tcPr>
            <w:tcW w:w="3562" w:type="dxa"/>
            <w:tcBorders>
              <w:top w:val="single" w:sz="4" w:space="0" w:color="auto"/>
              <w:left w:val="single" w:sz="4" w:space="0" w:color="auto"/>
              <w:bottom w:val="single" w:sz="4" w:space="0" w:color="auto"/>
              <w:right w:val="single" w:sz="4" w:space="0" w:color="auto"/>
            </w:tcBorders>
            <w:vAlign w:val="center"/>
          </w:tcPr>
          <w:p w14:paraId="613CC074" w14:textId="2E323365" w:rsidR="00E412A9" w:rsidRPr="00D05611" w:rsidRDefault="00E4311E" w:rsidP="008D6145">
            <w:pPr>
              <w:pStyle w:val="Table"/>
            </w:pPr>
            <w:r>
              <w:t xml:space="preserve">RECAP model that generates outage probabilities by </w:t>
            </w:r>
            <w:r w:rsidR="00652ADA">
              <w:t>mont</w:t>
            </w:r>
            <w:r w:rsidR="007072E1">
              <w:t>h</w:t>
            </w:r>
            <w:r w:rsidR="007072E1" w:rsidRPr="25ED4B98">
              <w:t>/</w:t>
            </w:r>
            <w:r w:rsidR="001C3D63">
              <w:t>hour and</w:t>
            </w:r>
            <w:r>
              <w:t xml:space="preserve"> allocates the probabili</w:t>
            </w:r>
            <w:r w:rsidR="007072E1">
              <w:t xml:space="preserve">ties within each month/hour based on </w:t>
            </w:r>
            <w:r w:rsidR="00F93E35">
              <w:t>201</w:t>
            </w:r>
            <w:r w:rsidR="00FE2400">
              <w:t>8</w:t>
            </w:r>
            <w:r w:rsidR="00F93E35">
              <w:t xml:space="preserve"> </w:t>
            </w:r>
            <w:r w:rsidR="007072E1">
              <w:t>weather</w:t>
            </w:r>
          </w:p>
        </w:tc>
      </w:tr>
      <w:tr w:rsidR="00E412A9" w:rsidRPr="00D05611" w14:paraId="539D3D58" w14:textId="77777777" w:rsidTr="008A6BDD">
        <w:tc>
          <w:tcPr>
            <w:tcW w:w="2448" w:type="dxa"/>
            <w:tcBorders>
              <w:top w:val="single" w:sz="4" w:space="0" w:color="auto"/>
              <w:left w:val="single" w:sz="4" w:space="0" w:color="auto"/>
              <w:bottom w:val="single" w:sz="4" w:space="0" w:color="auto"/>
              <w:right w:val="single" w:sz="4" w:space="0" w:color="auto"/>
            </w:tcBorders>
            <w:vAlign w:val="center"/>
          </w:tcPr>
          <w:p w14:paraId="656B11F5" w14:textId="77777777" w:rsidR="00E412A9" w:rsidRPr="00D05611" w:rsidRDefault="00E412A9" w:rsidP="000145D0">
            <w:pPr>
              <w:pStyle w:val="Table"/>
            </w:pPr>
            <w:r w:rsidRPr="00D05611">
              <w:t>Ancillary Services</w:t>
            </w:r>
          </w:p>
        </w:tc>
        <w:tc>
          <w:tcPr>
            <w:tcW w:w="3566" w:type="dxa"/>
            <w:tcBorders>
              <w:top w:val="single" w:sz="4" w:space="0" w:color="auto"/>
              <w:left w:val="single" w:sz="4" w:space="0" w:color="auto"/>
              <w:bottom w:val="single" w:sz="4" w:space="0" w:color="auto"/>
              <w:right w:val="single" w:sz="4" w:space="0" w:color="auto"/>
            </w:tcBorders>
            <w:vAlign w:val="center"/>
          </w:tcPr>
          <w:p w14:paraId="579CC20A" w14:textId="77777777" w:rsidR="00E412A9" w:rsidRPr="00D05611" w:rsidRDefault="008D6145" w:rsidP="008D6145">
            <w:pPr>
              <w:pStyle w:val="Table"/>
            </w:pPr>
            <w:r>
              <w:t xml:space="preserve">Percentage of Generation Energy value </w:t>
            </w:r>
          </w:p>
        </w:tc>
        <w:tc>
          <w:tcPr>
            <w:tcW w:w="3562" w:type="dxa"/>
            <w:tcBorders>
              <w:top w:val="single" w:sz="4" w:space="0" w:color="auto"/>
              <w:left w:val="single" w:sz="4" w:space="0" w:color="auto"/>
              <w:bottom w:val="single" w:sz="4" w:space="0" w:color="auto"/>
              <w:right w:val="single" w:sz="4" w:space="0" w:color="auto"/>
            </w:tcBorders>
            <w:vAlign w:val="center"/>
          </w:tcPr>
          <w:p w14:paraId="33CCD1E6" w14:textId="13074A72" w:rsidR="00E412A9" w:rsidRPr="00D05611" w:rsidRDefault="00E412A9" w:rsidP="000145D0">
            <w:pPr>
              <w:pStyle w:val="Table"/>
            </w:pPr>
            <w:r w:rsidRPr="00D05611">
              <w:t xml:space="preserve">Directly linked with </w:t>
            </w:r>
            <w:r w:rsidR="00371BBC">
              <w:t xml:space="preserve">hourly </w:t>
            </w:r>
            <w:r w:rsidRPr="00D05611">
              <w:t xml:space="preserve">energy </w:t>
            </w:r>
            <w:r w:rsidR="00371BBC">
              <w:t>allocation</w:t>
            </w:r>
          </w:p>
        </w:tc>
      </w:tr>
      <w:tr w:rsidR="00E412A9" w:rsidRPr="00D05611" w14:paraId="42231AFD" w14:textId="77777777" w:rsidTr="008A6BDD">
        <w:tc>
          <w:tcPr>
            <w:tcW w:w="2448" w:type="dxa"/>
            <w:tcBorders>
              <w:top w:val="single" w:sz="4" w:space="0" w:color="auto"/>
              <w:left w:val="single" w:sz="4" w:space="0" w:color="auto"/>
              <w:bottom w:val="single" w:sz="4" w:space="0" w:color="auto"/>
              <w:right w:val="single" w:sz="4" w:space="0" w:color="auto"/>
            </w:tcBorders>
            <w:vAlign w:val="center"/>
          </w:tcPr>
          <w:p w14:paraId="52473C2C" w14:textId="77777777" w:rsidR="00E412A9" w:rsidRPr="00D05611" w:rsidRDefault="00E412A9" w:rsidP="000145D0">
            <w:pPr>
              <w:pStyle w:val="Table"/>
            </w:pPr>
            <w:r w:rsidRPr="00D05611">
              <w:t>T&amp;D Capacity</w:t>
            </w:r>
          </w:p>
        </w:tc>
        <w:tc>
          <w:tcPr>
            <w:tcW w:w="3566" w:type="dxa"/>
            <w:tcBorders>
              <w:top w:val="single" w:sz="4" w:space="0" w:color="auto"/>
              <w:left w:val="single" w:sz="4" w:space="0" w:color="auto"/>
              <w:bottom w:val="single" w:sz="4" w:space="0" w:color="auto"/>
              <w:right w:val="single" w:sz="4" w:space="0" w:color="auto"/>
            </w:tcBorders>
            <w:vAlign w:val="center"/>
          </w:tcPr>
          <w:p w14:paraId="11DC50B5" w14:textId="166A7D08" w:rsidR="00E412A9" w:rsidRPr="00D05611" w:rsidRDefault="008D6145" w:rsidP="008D6145">
            <w:pPr>
              <w:pStyle w:val="Table"/>
            </w:pPr>
            <w:r>
              <w:t>Marginal t</w:t>
            </w:r>
            <w:r w:rsidR="00E412A9" w:rsidRPr="00D05611">
              <w:t xml:space="preserve">ransmission and distribution </w:t>
            </w:r>
            <w:r w:rsidR="00003F5F">
              <w:t>costs from utility ratemaking filings</w:t>
            </w:r>
          </w:p>
        </w:tc>
        <w:tc>
          <w:tcPr>
            <w:tcW w:w="3562" w:type="dxa"/>
            <w:tcBorders>
              <w:top w:val="single" w:sz="4" w:space="0" w:color="auto"/>
              <w:left w:val="single" w:sz="4" w:space="0" w:color="auto"/>
              <w:bottom w:val="single" w:sz="4" w:space="0" w:color="auto"/>
              <w:right w:val="single" w:sz="4" w:space="0" w:color="auto"/>
            </w:tcBorders>
            <w:vAlign w:val="center"/>
          </w:tcPr>
          <w:p w14:paraId="4C10F8BC" w14:textId="7D75AEA3" w:rsidR="00E412A9" w:rsidRPr="00D05611" w:rsidRDefault="008D6145" w:rsidP="008D6145">
            <w:pPr>
              <w:pStyle w:val="Table"/>
            </w:pPr>
            <w:r>
              <w:t>H</w:t>
            </w:r>
            <w:r w:rsidR="007072E1">
              <w:t xml:space="preserve">ourly </w:t>
            </w:r>
            <w:r w:rsidR="00F93E35">
              <w:t>201</w:t>
            </w:r>
            <w:r w:rsidR="00892C50">
              <w:t>8</w:t>
            </w:r>
            <w:r w:rsidR="00F93E35">
              <w:t xml:space="preserve"> </w:t>
            </w:r>
            <w:r w:rsidR="007072E1">
              <w:t>temperature data</w:t>
            </w:r>
            <w:r w:rsidR="00F93E35">
              <w:t xml:space="preserve"> by climate zone</w:t>
            </w:r>
          </w:p>
        </w:tc>
      </w:tr>
      <w:tr w:rsidR="00E412A9" w:rsidRPr="00D05611" w14:paraId="479CA8C6" w14:textId="77777777" w:rsidTr="008A6BDD">
        <w:tc>
          <w:tcPr>
            <w:tcW w:w="2448" w:type="dxa"/>
            <w:tcBorders>
              <w:top w:val="single" w:sz="4" w:space="0" w:color="auto"/>
              <w:left w:val="single" w:sz="4" w:space="0" w:color="auto"/>
              <w:bottom w:val="single" w:sz="4" w:space="0" w:color="auto"/>
              <w:right w:val="single" w:sz="4" w:space="0" w:color="auto"/>
            </w:tcBorders>
            <w:vAlign w:val="center"/>
          </w:tcPr>
          <w:p w14:paraId="57CF3BD1" w14:textId="39EB1F42" w:rsidR="00E412A9" w:rsidRPr="00D05611" w:rsidRDefault="006B768B" w:rsidP="000145D0">
            <w:pPr>
              <w:pStyle w:val="Table"/>
            </w:pPr>
            <w:r>
              <w:t>C</w:t>
            </w:r>
            <w:r w:rsidR="00FD431B">
              <w:t xml:space="preserve">ap and </w:t>
            </w:r>
            <w:r>
              <w:t>T</w:t>
            </w:r>
            <w:r w:rsidR="00FD431B">
              <w:t>rade</w:t>
            </w:r>
            <w:r w:rsidR="00B5421C">
              <w:t xml:space="preserve"> Costs</w:t>
            </w:r>
          </w:p>
        </w:tc>
        <w:tc>
          <w:tcPr>
            <w:tcW w:w="3566" w:type="dxa"/>
            <w:tcBorders>
              <w:top w:val="single" w:sz="4" w:space="0" w:color="auto"/>
              <w:left w:val="single" w:sz="4" w:space="0" w:color="auto"/>
              <w:bottom w:val="single" w:sz="4" w:space="0" w:color="auto"/>
              <w:right w:val="single" w:sz="4" w:space="0" w:color="auto"/>
            </w:tcBorders>
            <w:vAlign w:val="center"/>
          </w:tcPr>
          <w:p w14:paraId="4436ADF2" w14:textId="392F8385" w:rsidR="00E412A9" w:rsidRPr="00D05611" w:rsidRDefault="007072E1" w:rsidP="000145D0">
            <w:pPr>
              <w:pStyle w:val="Table"/>
            </w:pPr>
            <w:r>
              <w:t>CO</w:t>
            </w:r>
            <w:r w:rsidRPr="00E7231F">
              <w:rPr>
                <w:vertAlign w:val="subscript"/>
              </w:rPr>
              <w:t>2</w:t>
            </w:r>
            <w:r>
              <w:t xml:space="preserve"> cost forecast from </w:t>
            </w:r>
            <w:r w:rsidR="00F93E35">
              <w:t>revised 201</w:t>
            </w:r>
            <w:r w:rsidR="00806B5C">
              <w:t>9</w:t>
            </w:r>
            <w:r w:rsidR="00F93E35" w:rsidRPr="008A6BDD">
              <w:t xml:space="preserve"> </w:t>
            </w:r>
            <w:r w:rsidRPr="008A6BDD">
              <w:t>IEPR mid-demand forecast</w:t>
            </w:r>
            <w:r w:rsidR="001A3909">
              <w:t xml:space="preserve">, </w:t>
            </w:r>
            <w:r w:rsidR="001A3909" w:rsidRPr="00FB4B8A">
              <w:t>escalated at inflation beyond 2030</w:t>
            </w:r>
          </w:p>
        </w:tc>
        <w:tc>
          <w:tcPr>
            <w:tcW w:w="3562" w:type="dxa"/>
            <w:tcBorders>
              <w:top w:val="single" w:sz="4" w:space="0" w:color="auto"/>
              <w:left w:val="single" w:sz="4" w:space="0" w:color="auto"/>
              <w:bottom w:val="single" w:sz="4" w:space="0" w:color="auto"/>
              <w:right w:val="single" w:sz="4" w:space="0" w:color="auto"/>
            </w:tcBorders>
            <w:vAlign w:val="center"/>
          </w:tcPr>
          <w:p w14:paraId="00BC01C6" w14:textId="77777777" w:rsidR="00E412A9" w:rsidRPr="00D05611" w:rsidRDefault="00E412A9" w:rsidP="008D6145">
            <w:pPr>
              <w:pStyle w:val="Table"/>
            </w:pPr>
            <w:r w:rsidRPr="00D05611">
              <w:t>Directly linked with energy shape with bounds on the maximum and minimum hourly value</w:t>
            </w:r>
          </w:p>
        </w:tc>
      </w:tr>
      <w:tr w:rsidR="00F93E35" w:rsidRPr="00D05611" w14:paraId="362255B9" w14:textId="77777777" w:rsidTr="008A6BDD">
        <w:tc>
          <w:tcPr>
            <w:tcW w:w="2448" w:type="dxa"/>
            <w:tcBorders>
              <w:top w:val="single" w:sz="4" w:space="0" w:color="auto"/>
              <w:left w:val="single" w:sz="4" w:space="0" w:color="auto"/>
              <w:bottom w:val="single" w:sz="4" w:space="0" w:color="auto"/>
              <w:right w:val="single" w:sz="4" w:space="0" w:color="auto"/>
            </w:tcBorders>
            <w:vAlign w:val="center"/>
          </w:tcPr>
          <w:p w14:paraId="0BF1FA08" w14:textId="5BAE480C" w:rsidR="00F93E35" w:rsidRPr="00D05611" w:rsidRDefault="00F93E35" w:rsidP="000145D0">
            <w:pPr>
              <w:pStyle w:val="Table"/>
            </w:pPr>
            <w:r>
              <w:t>GHG Adder</w:t>
            </w:r>
          </w:p>
        </w:tc>
        <w:tc>
          <w:tcPr>
            <w:tcW w:w="3566" w:type="dxa"/>
            <w:tcBorders>
              <w:top w:val="single" w:sz="4" w:space="0" w:color="auto"/>
              <w:left w:val="single" w:sz="4" w:space="0" w:color="auto"/>
              <w:bottom w:val="single" w:sz="4" w:space="0" w:color="auto"/>
              <w:right w:val="single" w:sz="4" w:space="0" w:color="auto"/>
            </w:tcBorders>
            <w:vAlign w:val="center"/>
          </w:tcPr>
          <w:p w14:paraId="5D11B456" w14:textId="62BEAAD3" w:rsidR="00F93E35" w:rsidRPr="00D05611" w:rsidRDefault="00F7796B" w:rsidP="000145D0">
            <w:pPr>
              <w:pStyle w:val="Table"/>
            </w:pPr>
            <w:r>
              <w:t>Difference</w:t>
            </w:r>
            <w:r w:rsidR="00F93E35">
              <w:t xml:space="preserve"> between </w:t>
            </w:r>
            <w:r w:rsidR="00DD6B5D">
              <w:t>total value of</w:t>
            </w:r>
            <w:r>
              <w:t xml:space="preserve"> </w:t>
            </w:r>
            <w:r w:rsidR="00DD6B5D">
              <w:t>CO</w:t>
            </w:r>
            <w:r w:rsidR="00DD6B5D" w:rsidRPr="00E7231F">
              <w:rPr>
                <w:vertAlign w:val="subscript"/>
              </w:rPr>
              <w:t>2</w:t>
            </w:r>
            <w:r>
              <w:t xml:space="preserve"> and </w:t>
            </w:r>
            <w:r w:rsidR="00F93E35">
              <w:t xml:space="preserve">monetized </w:t>
            </w:r>
            <w:r>
              <w:t>c</w:t>
            </w:r>
            <w:r w:rsidR="00F93E35">
              <w:t>arbon cost</w:t>
            </w:r>
            <w:r w:rsidR="00DD6B5D">
              <w:t xml:space="preserve"> in the energy market prices</w:t>
            </w:r>
            <w:r>
              <w:t>.</w:t>
            </w:r>
          </w:p>
        </w:tc>
        <w:tc>
          <w:tcPr>
            <w:tcW w:w="3562" w:type="dxa"/>
            <w:tcBorders>
              <w:top w:val="single" w:sz="4" w:space="0" w:color="auto"/>
              <w:left w:val="single" w:sz="4" w:space="0" w:color="auto"/>
              <w:bottom w:val="single" w:sz="4" w:space="0" w:color="auto"/>
              <w:right w:val="single" w:sz="4" w:space="0" w:color="auto"/>
            </w:tcBorders>
            <w:vAlign w:val="center"/>
          </w:tcPr>
          <w:p w14:paraId="0B402043" w14:textId="6B3C4547" w:rsidR="00F93E35" w:rsidRPr="00D05611" w:rsidRDefault="00F7796B" w:rsidP="007072E1">
            <w:pPr>
              <w:pStyle w:val="Table"/>
            </w:pPr>
            <w:r>
              <w:t xml:space="preserve">Same as </w:t>
            </w:r>
            <w:r w:rsidR="00B5421C">
              <w:t xml:space="preserve">Cap and Trade </w:t>
            </w:r>
            <w:r w:rsidR="00371BBC">
              <w:t>c</w:t>
            </w:r>
            <w:r w:rsidR="00B5421C">
              <w:t>osts</w:t>
            </w:r>
          </w:p>
        </w:tc>
      </w:tr>
      <w:tr w:rsidR="00E412A9" w:rsidRPr="00D05611" w14:paraId="4790D633" w14:textId="77777777" w:rsidTr="008A6BDD">
        <w:tc>
          <w:tcPr>
            <w:tcW w:w="2448" w:type="dxa"/>
            <w:tcBorders>
              <w:top w:val="single" w:sz="4" w:space="0" w:color="auto"/>
              <w:left w:val="single" w:sz="4" w:space="0" w:color="auto"/>
              <w:bottom w:val="single" w:sz="4" w:space="0" w:color="auto"/>
              <w:right w:val="single" w:sz="4" w:space="0" w:color="auto"/>
            </w:tcBorders>
            <w:vAlign w:val="center"/>
          </w:tcPr>
          <w:p w14:paraId="60039556" w14:textId="77777777" w:rsidR="00E412A9" w:rsidRPr="00D05611" w:rsidRDefault="00E412A9" w:rsidP="000145D0">
            <w:pPr>
              <w:pStyle w:val="Table"/>
            </w:pPr>
            <w:r w:rsidRPr="00D05611">
              <w:t>Avoided RPS</w:t>
            </w:r>
          </w:p>
        </w:tc>
        <w:tc>
          <w:tcPr>
            <w:tcW w:w="3566" w:type="dxa"/>
            <w:tcBorders>
              <w:top w:val="single" w:sz="4" w:space="0" w:color="auto"/>
              <w:left w:val="single" w:sz="4" w:space="0" w:color="auto"/>
              <w:bottom w:val="single" w:sz="4" w:space="0" w:color="auto"/>
              <w:right w:val="single" w:sz="4" w:space="0" w:color="auto"/>
            </w:tcBorders>
            <w:vAlign w:val="center"/>
          </w:tcPr>
          <w:p w14:paraId="0484EEA5" w14:textId="6ED55C15" w:rsidR="00E412A9" w:rsidRPr="00D05611" w:rsidRDefault="00C97154" w:rsidP="000145D0">
            <w:pPr>
              <w:pStyle w:val="Table"/>
            </w:pPr>
            <w:r>
              <w:t>Set to zero to be consistent with GHG adder</w:t>
            </w:r>
          </w:p>
        </w:tc>
        <w:tc>
          <w:tcPr>
            <w:tcW w:w="3562" w:type="dxa"/>
            <w:tcBorders>
              <w:top w:val="single" w:sz="4" w:space="0" w:color="auto"/>
              <w:left w:val="single" w:sz="4" w:space="0" w:color="auto"/>
              <w:bottom w:val="single" w:sz="4" w:space="0" w:color="auto"/>
              <w:right w:val="single" w:sz="4" w:space="0" w:color="auto"/>
            </w:tcBorders>
            <w:vAlign w:val="center"/>
          </w:tcPr>
          <w:p w14:paraId="7AC3E0B7" w14:textId="1F23BDBA" w:rsidR="00E412A9" w:rsidRPr="00D05611" w:rsidRDefault="00C97154" w:rsidP="007072E1">
            <w:pPr>
              <w:pStyle w:val="Table"/>
            </w:pPr>
            <w:r>
              <w:t>NA</w:t>
            </w:r>
          </w:p>
        </w:tc>
      </w:tr>
    </w:tbl>
    <w:p w14:paraId="1A7636F9" w14:textId="77777777" w:rsidR="000145D0" w:rsidRDefault="000145D0" w:rsidP="000145D0"/>
    <w:p w14:paraId="4427BD22" w14:textId="6ABA0F52" w:rsidR="00E412A9" w:rsidRDefault="00E412A9" w:rsidP="000145D0">
      <w:r>
        <w:lastRenderedPageBreak/>
        <w:fldChar w:fldCharType="begin"/>
      </w:r>
      <w:r>
        <w:instrText xml:space="preserve"> REF _Ref248225677 \h </w:instrText>
      </w:r>
      <w:r>
        <w:fldChar w:fldCharType="separate"/>
      </w:r>
      <w:r w:rsidR="0097492A" w:rsidRPr="000B055C">
        <w:t xml:space="preserve">Figure </w:t>
      </w:r>
      <w:r w:rsidR="0097492A">
        <w:rPr>
          <w:noProof/>
        </w:rPr>
        <w:t>9</w:t>
      </w:r>
      <w:r>
        <w:fldChar w:fldCharType="end"/>
      </w:r>
      <w:r>
        <w:t>, below, shows a three-day snapshot of the avoided costs, broken out by component,</w:t>
      </w:r>
      <w:r w:rsidR="00C03B4C">
        <w:t xml:space="preserve"> in Climate Zone 4</w:t>
      </w:r>
      <w:r>
        <w:t xml:space="preserve">. As shown, the cost of </w:t>
      </w:r>
      <w:r w:rsidRPr="000145D0">
        <w:t>providing</w:t>
      </w:r>
      <w:r>
        <w:t xml:space="preserve"> an additional unit of electricity is significantly higher in the summer a</w:t>
      </w:r>
      <w:r w:rsidRPr="000145D0">
        <w:t>f</w:t>
      </w:r>
      <w:r>
        <w:t>ternoons than in the very early morning hours</w:t>
      </w:r>
      <w:r w:rsidR="005C385F">
        <w:t xml:space="preserve">. </w:t>
      </w:r>
      <w:r>
        <w:t>This chart also shows the relative magnitude of different components in this region in the summer for these days</w:t>
      </w:r>
      <w:r w:rsidR="005C385F">
        <w:t xml:space="preserve">. </w:t>
      </w:r>
      <w:r>
        <w:t xml:space="preserve">The highest peaks of total cost shown in </w:t>
      </w:r>
      <w:r>
        <w:fldChar w:fldCharType="begin"/>
      </w:r>
      <w:r>
        <w:instrText xml:space="preserve"> REF _Ref248225677 \h </w:instrText>
      </w:r>
      <w:r>
        <w:fldChar w:fldCharType="separate"/>
      </w:r>
      <w:r w:rsidR="0097492A" w:rsidRPr="000B055C">
        <w:t xml:space="preserve">Figure </w:t>
      </w:r>
      <w:r w:rsidR="0097492A">
        <w:rPr>
          <w:noProof/>
        </w:rPr>
        <w:t>9</w:t>
      </w:r>
      <w:r>
        <w:fldChar w:fldCharType="end"/>
      </w:r>
      <w:r>
        <w:t xml:space="preserve"> of over </w:t>
      </w:r>
      <w:r w:rsidRPr="008A6BDD">
        <w:t>$</w:t>
      </w:r>
      <w:r w:rsidR="00E14211">
        <w:t>7</w:t>
      </w:r>
      <w:r w:rsidR="001C712F" w:rsidRPr="008A6BDD">
        <w:t>,</w:t>
      </w:r>
      <w:r w:rsidR="00E14211">
        <w:t>5</w:t>
      </w:r>
      <w:r w:rsidR="001C712F" w:rsidRPr="008A6BDD">
        <w:t>00</w:t>
      </w:r>
      <w:r w:rsidRPr="008A6BDD">
        <w:t>/MWh</w:t>
      </w:r>
      <w:r>
        <w:t xml:space="preserve"> are driven primarily by the allocation of T&amp;D capacity to the </w:t>
      </w:r>
      <w:r w:rsidR="001C712F">
        <w:t>peak</w:t>
      </w:r>
      <w:r>
        <w:t xml:space="preserve"> hours</w:t>
      </w:r>
      <w:r w:rsidR="00BB533C">
        <w:t xml:space="preserve"> (because of high demand in those hours)</w:t>
      </w:r>
      <w:r>
        <w:t xml:space="preserve">, but also by higher energy </w:t>
      </w:r>
      <w:r w:rsidR="001C712F">
        <w:t xml:space="preserve">market </w:t>
      </w:r>
      <w:r>
        <w:t xml:space="preserve">prices during the </w:t>
      </w:r>
      <w:r w:rsidR="00AA20F8">
        <w:t>late afternoon</w:t>
      </w:r>
      <w:r w:rsidR="009743C4">
        <w:t xml:space="preserve"> and</w:t>
      </w:r>
      <w:r w:rsidR="00AA20F8">
        <w:t xml:space="preserve"> early evening</w:t>
      </w:r>
      <w:r>
        <w:t>.</w:t>
      </w:r>
    </w:p>
    <w:p w14:paraId="45E7DDAE" w14:textId="1A291094" w:rsidR="00012643" w:rsidRDefault="00E412A9" w:rsidP="00C00E06">
      <w:pPr>
        <w:pStyle w:val="Caption"/>
      </w:pPr>
      <w:bookmarkStart w:id="23" w:name="_Ref248225677"/>
      <w:r w:rsidRPr="000B055C">
        <w:t xml:space="preserve">Figure </w:t>
      </w:r>
      <w:r w:rsidR="00E8092E" w:rsidRPr="00DA20DB">
        <w:fldChar w:fldCharType="begin"/>
      </w:r>
      <w:r w:rsidR="00E8092E" w:rsidRPr="000B055C">
        <w:instrText xml:space="preserve"> SEQ Figure \* ARABIC </w:instrText>
      </w:r>
      <w:r w:rsidR="00E8092E" w:rsidRPr="00DA20DB">
        <w:fldChar w:fldCharType="separate"/>
      </w:r>
      <w:r w:rsidR="0097492A">
        <w:rPr>
          <w:noProof/>
        </w:rPr>
        <w:t>9</w:t>
      </w:r>
      <w:r w:rsidR="00E8092E" w:rsidRPr="00DA20DB">
        <w:rPr>
          <w:noProof/>
        </w:rPr>
        <w:fldChar w:fldCharType="end"/>
      </w:r>
      <w:bookmarkEnd w:id="23"/>
      <w:r w:rsidRPr="000B055C">
        <w:t xml:space="preserve">. Three-day </w:t>
      </w:r>
      <w:r w:rsidR="003A3FEA">
        <w:t>S</w:t>
      </w:r>
      <w:r w:rsidR="00652ADA" w:rsidRPr="000B055C">
        <w:t xml:space="preserve">napshot of </w:t>
      </w:r>
      <w:r w:rsidR="003A3FEA">
        <w:t>E</w:t>
      </w:r>
      <w:r w:rsidR="00652ADA" w:rsidRPr="000B055C">
        <w:t xml:space="preserve">nergy </w:t>
      </w:r>
      <w:r w:rsidR="003A3FEA">
        <w:t>V</w:t>
      </w:r>
      <w:r w:rsidR="00652ADA" w:rsidRPr="000B055C">
        <w:t>alues in CZ4</w:t>
      </w:r>
      <w:r w:rsidR="001C712F" w:rsidRPr="000B055C">
        <w:t xml:space="preserve"> in 201</w:t>
      </w:r>
      <w:r w:rsidR="001E780D">
        <w:t>9</w:t>
      </w:r>
      <w:r w:rsidR="00AA20F8" w:rsidRPr="00B76B06">
        <w:t xml:space="preserve"> (Pacific Standard Time)</w:t>
      </w:r>
    </w:p>
    <w:p w14:paraId="0A722801" w14:textId="1CD24C50" w:rsidR="00C00E06" w:rsidRDefault="00C00E06" w:rsidP="00B101C4">
      <w:pPr>
        <w:jc w:val="center"/>
      </w:pPr>
      <w:r>
        <w:rPr>
          <w:noProof/>
        </w:rPr>
        <w:drawing>
          <wp:inline distT="0" distB="0" distL="0" distR="0" wp14:anchorId="2507F673" wp14:editId="6E219C82">
            <wp:extent cx="5889251" cy="3009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0610" cy="3020816"/>
                    </a:xfrm>
                    <a:prstGeom prst="rect">
                      <a:avLst/>
                    </a:prstGeom>
                    <a:noFill/>
                  </pic:spPr>
                </pic:pic>
              </a:graphicData>
            </a:graphic>
          </wp:inline>
        </w:drawing>
      </w:r>
    </w:p>
    <w:p w14:paraId="7AA8D6DE" w14:textId="7C583E0A" w:rsidR="00E412A9" w:rsidRDefault="00F162F5" w:rsidP="000145D0">
      <w:r>
        <w:fldChar w:fldCharType="begin"/>
      </w:r>
      <w:r>
        <w:instrText xml:space="preserve"> REF _Ref452465814 \h </w:instrText>
      </w:r>
      <w:r>
        <w:fldChar w:fldCharType="separate"/>
      </w:r>
      <w:r w:rsidR="0097492A">
        <w:t xml:space="preserve">Figure </w:t>
      </w:r>
      <w:r w:rsidR="0097492A">
        <w:rPr>
          <w:noProof/>
        </w:rPr>
        <w:t>10</w:t>
      </w:r>
      <w:r>
        <w:fldChar w:fldCharType="end"/>
      </w:r>
      <w:r>
        <w:t xml:space="preserve"> </w:t>
      </w:r>
      <w:r w:rsidR="00E412A9">
        <w:t xml:space="preserve">shows average monthly value of </w:t>
      </w:r>
      <w:r w:rsidR="001C712F">
        <w:t>electricity</w:t>
      </w:r>
      <w:r w:rsidR="00E412A9">
        <w:t xml:space="preserve"> reductions, revealing the seasonal characteristics of the avoided costs</w:t>
      </w:r>
      <w:r w:rsidR="005C385F">
        <w:t xml:space="preserve">. </w:t>
      </w:r>
      <w:r w:rsidR="00E412A9">
        <w:t xml:space="preserve">The energy component dips in the spring, reflecting </w:t>
      </w:r>
      <w:r w:rsidR="00BB533C">
        <w:t xml:space="preserve">low energy prices due to </w:t>
      </w:r>
      <w:r w:rsidR="00E412A9">
        <w:t>increased hydro supplies and imports from the Northwest; and peaks in the summer months when demand for electricity is highest</w:t>
      </w:r>
      <w:r w:rsidR="005C385F">
        <w:t xml:space="preserve">. </w:t>
      </w:r>
      <w:r w:rsidR="00E412A9">
        <w:t>The value of capacity—both generation and T&amp;D—is concentrated in the summer months and results in significantly more value on average in these months</w:t>
      </w:r>
      <w:r w:rsidR="005C385F">
        <w:t xml:space="preserve">. </w:t>
      </w:r>
    </w:p>
    <w:p w14:paraId="1B6973A4" w14:textId="3396F9B9" w:rsidR="00EC66BE" w:rsidRDefault="00F162F5" w:rsidP="00C00E06">
      <w:pPr>
        <w:pStyle w:val="Caption"/>
      </w:pPr>
      <w:bookmarkStart w:id="24" w:name="_Ref452465814"/>
      <w:r>
        <w:lastRenderedPageBreak/>
        <w:t xml:space="preserve">Figure </w:t>
      </w:r>
      <w:r w:rsidR="00D22C95">
        <w:rPr>
          <w:noProof/>
        </w:rPr>
        <w:fldChar w:fldCharType="begin"/>
      </w:r>
      <w:r w:rsidR="00D22C95">
        <w:rPr>
          <w:noProof/>
        </w:rPr>
        <w:instrText xml:space="preserve"> SEQ Figure \* ARABIC </w:instrText>
      </w:r>
      <w:r w:rsidR="00D22C95">
        <w:rPr>
          <w:noProof/>
        </w:rPr>
        <w:fldChar w:fldCharType="separate"/>
      </w:r>
      <w:r w:rsidR="0097492A">
        <w:rPr>
          <w:noProof/>
        </w:rPr>
        <w:t>10</w:t>
      </w:r>
      <w:r w:rsidR="00D22C95">
        <w:rPr>
          <w:noProof/>
        </w:rPr>
        <w:fldChar w:fldCharType="end"/>
      </w:r>
      <w:bookmarkEnd w:id="24"/>
      <w:r>
        <w:t xml:space="preserve">: </w:t>
      </w:r>
      <w:r w:rsidR="18005959">
        <w:t xml:space="preserve">Average </w:t>
      </w:r>
      <w:r w:rsidR="003A3FEA">
        <w:t>M</w:t>
      </w:r>
      <w:r w:rsidR="18005959">
        <w:t xml:space="preserve">onthly </w:t>
      </w:r>
      <w:r w:rsidR="003A3FEA">
        <w:t>A</w:t>
      </w:r>
      <w:r w:rsidR="18005959">
        <w:t xml:space="preserve">voided </w:t>
      </w:r>
      <w:r w:rsidR="003A3FEA">
        <w:t>C</w:t>
      </w:r>
      <w:r w:rsidR="18005959">
        <w:t xml:space="preserve">ost in </w:t>
      </w:r>
      <w:r w:rsidR="00AA20F8">
        <w:t xml:space="preserve">CZ4 </w:t>
      </w:r>
      <w:r w:rsidR="18005959">
        <w:t xml:space="preserve">in </w:t>
      </w:r>
      <w:r w:rsidR="00AA20F8">
        <w:t>201</w:t>
      </w:r>
      <w:r w:rsidR="00AE59EC">
        <w:t>9</w:t>
      </w:r>
    </w:p>
    <w:p w14:paraId="6FD3514C" w14:textId="0F821677" w:rsidR="00C00E06" w:rsidRDefault="00C00E06" w:rsidP="00EC66BE">
      <w:pPr>
        <w:spacing w:after="0"/>
        <w:jc w:val="center"/>
      </w:pPr>
      <w:r>
        <w:rPr>
          <w:noProof/>
        </w:rPr>
        <w:drawing>
          <wp:inline distT="0" distB="0" distL="0" distR="0" wp14:anchorId="4C63DC12" wp14:editId="116063C6">
            <wp:extent cx="5911613" cy="3181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3511" cy="3193135"/>
                    </a:xfrm>
                    <a:prstGeom prst="rect">
                      <a:avLst/>
                    </a:prstGeom>
                    <a:noFill/>
                  </pic:spPr>
                </pic:pic>
              </a:graphicData>
            </a:graphic>
          </wp:inline>
        </w:drawing>
      </w:r>
    </w:p>
    <w:p w14:paraId="738EEEA7" w14:textId="2A3F4076" w:rsidR="00651409" w:rsidRDefault="00651409" w:rsidP="00C00E06">
      <w:pPr>
        <w:pStyle w:val="Caption"/>
      </w:pPr>
      <w:r>
        <w:t xml:space="preserve">Figure </w:t>
      </w:r>
      <w:r w:rsidR="00D22C95">
        <w:rPr>
          <w:noProof/>
        </w:rPr>
        <w:fldChar w:fldCharType="begin"/>
      </w:r>
      <w:r w:rsidR="00D22C95">
        <w:rPr>
          <w:noProof/>
        </w:rPr>
        <w:instrText xml:space="preserve"> SEQ Figure \* ARABIC </w:instrText>
      </w:r>
      <w:r w:rsidR="00D22C95">
        <w:rPr>
          <w:noProof/>
        </w:rPr>
        <w:fldChar w:fldCharType="separate"/>
      </w:r>
      <w:r w:rsidR="0097492A">
        <w:rPr>
          <w:noProof/>
        </w:rPr>
        <w:t>11</w:t>
      </w:r>
      <w:r w:rsidR="00D22C95">
        <w:rPr>
          <w:noProof/>
        </w:rPr>
        <w:fldChar w:fldCharType="end"/>
      </w:r>
      <w:r>
        <w:t xml:space="preserve">: Average </w:t>
      </w:r>
      <w:r w:rsidR="003A3FEA">
        <w:t>M</w:t>
      </w:r>
      <w:r>
        <w:t xml:space="preserve">onthly </w:t>
      </w:r>
      <w:r w:rsidR="003A3FEA">
        <w:t>A</w:t>
      </w:r>
      <w:r>
        <w:t xml:space="preserve">voided </w:t>
      </w:r>
      <w:r w:rsidR="003A3FEA">
        <w:t>C</w:t>
      </w:r>
      <w:r>
        <w:t xml:space="preserve">ost in CZ4 by </w:t>
      </w:r>
      <w:r w:rsidR="003A3FEA">
        <w:t>H</w:t>
      </w:r>
      <w:r>
        <w:t xml:space="preserve">our of the </w:t>
      </w:r>
      <w:r w:rsidR="003A3FEA">
        <w:t>D</w:t>
      </w:r>
      <w:r>
        <w:t>ay in 201</w:t>
      </w:r>
      <w:r w:rsidR="00AE59EC">
        <w:t>9</w:t>
      </w:r>
    </w:p>
    <w:p w14:paraId="46D75AB6" w14:textId="20971C51" w:rsidR="00C00E06" w:rsidRDefault="00C00E06" w:rsidP="00DD780C">
      <w:pPr>
        <w:spacing w:after="0"/>
        <w:jc w:val="center"/>
      </w:pPr>
      <w:r>
        <w:rPr>
          <w:noProof/>
        </w:rPr>
        <w:drawing>
          <wp:inline distT="0" distB="0" distL="0" distR="0" wp14:anchorId="30061441" wp14:editId="1A6F7AB0">
            <wp:extent cx="5724525" cy="3002648"/>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5081" cy="3013430"/>
                    </a:xfrm>
                    <a:prstGeom prst="rect">
                      <a:avLst/>
                    </a:prstGeom>
                    <a:noFill/>
                  </pic:spPr>
                </pic:pic>
              </a:graphicData>
            </a:graphic>
          </wp:inline>
        </w:drawing>
      </w:r>
    </w:p>
    <w:p w14:paraId="1124CA6B" w14:textId="673ADA02" w:rsidR="00E412A9" w:rsidRDefault="00E412A9" w:rsidP="000145D0">
      <w:r>
        <w:fldChar w:fldCharType="begin"/>
      </w:r>
      <w:r>
        <w:instrText xml:space="preserve"> REF _Ref248225655 \h </w:instrText>
      </w:r>
      <w:r>
        <w:fldChar w:fldCharType="separate"/>
      </w:r>
      <w:r w:rsidR="0097492A" w:rsidRPr="37120796">
        <w:t xml:space="preserve">Figure </w:t>
      </w:r>
      <w:r w:rsidR="0097492A">
        <w:rPr>
          <w:noProof/>
        </w:rPr>
        <w:t>12</w:t>
      </w:r>
      <w:r>
        <w:fldChar w:fldCharType="end"/>
      </w:r>
      <w:r>
        <w:t xml:space="preserve"> shows the components of value for the highest value hours in sorted order of cost</w:t>
      </w:r>
      <w:r w:rsidR="005C385F">
        <w:t xml:space="preserve">. </w:t>
      </w:r>
      <w:r>
        <w:t>This chart shows the relative contribution to the highest hours of the year by component</w:t>
      </w:r>
      <w:r w:rsidR="005C385F">
        <w:t xml:space="preserve">. </w:t>
      </w:r>
      <w:r>
        <w:t xml:space="preserve">Note </w:t>
      </w:r>
      <w:r>
        <w:lastRenderedPageBreak/>
        <w:t xml:space="preserve">that most of the high cost hours occur in approximately the top </w:t>
      </w:r>
      <w:r w:rsidR="00C63ECA">
        <w:t xml:space="preserve">100 </w:t>
      </w:r>
      <w:r>
        <w:t xml:space="preserve">to </w:t>
      </w:r>
      <w:r w:rsidR="00E25346">
        <w:t>3</w:t>
      </w:r>
      <w:r>
        <w:t>00 hours—this is because most of the value associated with capacity is concentrated in a limited number of hours</w:t>
      </w:r>
      <w:r w:rsidR="005C385F">
        <w:t xml:space="preserve">. </w:t>
      </w:r>
      <w:r>
        <w:t>While the timing and magnitude of these high costs differ by climate zone, the concentration of value in the high load hours is a characteristic of the avoided costs in all of California.</w:t>
      </w:r>
    </w:p>
    <w:p w14:paraId="468CB279" w14:textId="5DA160E2" w:rsidR="00831244" w:rsidRDefault="00E412A9" w:rsidP="00DD780C">
      <w:pPr>
        <w:pStyle w:val="Caption"/>
      </w:pPr>
      <w:bookmarkStart w:id="25" w:name="_Ref248225655"/>
      <w:r w:rsidRPr="37120796">
        <w:t xml:space="preserve">Figure </w:t>
      </w:r>
      <w:r w:rsidR="00D22C95">
        <w:rPr>
          <w:noProof/>
        </w:rPr>
        <w:fldChar w:fldCharType="begin"/>
      </w:r>
      <w:r w:rsidR="00D22C95">
        <w:rPr>
          <w:noProof/>
        </w:rPr>
        <w:instrText xml:space="preserve"> SEQ Figure \* ARABIC </w:instrText>
      </w:r>
      <w:r w:rsidR="00D22C95">
        <w:rPr>
          <w:noProof/>
        </w:rPr>
        <w:fldChar w:fldCharType="separate"/>
      </w:r>
      <w:r w:rsidR="0097492A">
        <w:rPr>
          <w:noProof/>
        </w:rPr>
        <w:t>12</w:t>
      </w:r>
      <w:r w:rsidR="00D22C95">
        <w:rPr>
          <w:noProof/>
        </w:rPr>
        <w:fldChar w:fldCharType="end"/>
      </w:r>
      <w:bookmarkEnd w:id="25"/>
      <w:r w:rsidRPr="37120796">
        <w:t xml:space="preserve">. Price </w:t>
      </w:r>
      <w:r w:rsidR="00BC09CE">
        <w:t>D</w:t>
      </w:r>
      <w:r w:rsidRPr="37120796">
        <w:t xml:space="preserve">uration </w:t>
      </w:r>
      <w:r w:rsidR="00BC09CE">
        <w:t>C</w:t>
      </w:r>
      <w:r w:rsidRPr="37120796">
        <w:t xml:space="preserve">urve </w:t>
      </w:r>
      <w:r w:rsidR="00BC09CE">
        <w:t>S</w:t>
      </w:r>
      <w:r w:rsidRPr="37120796">
        <w:t xml:space="preserve">howing </w:t>
      </w:r>
      <w:r w:rsidR="00BC09CE">
        <w:t>T</w:t>
      </w:r>
      <w:r w:rsidRPr="37120796">
        <w:t xml:space="preserve">op 1,000 </w:t>
      </w:r>
      <w:r w:rsidR="00BC09CE">
        <w:t>H</w:t>
      </w:r>
      <w:r w:rsidRPr="37120796">
        <w:t xml:space="preserve">ours for </w:t>
      </w:r>
      <w:r w:rsidR="00C63ECA" w:rsidRPr="37120796">
        <w:t>CZ</w:t>
      </w:r>
      <w:r w:rsidR="00C63ECA">
        <w:t xml:space="preserve">4 </w:t>
      </w:r>
      <w:r w:rsidR="001359AF" w:rsidRPr="37120796">
        <w:t xml:space="preserve">in </w:t>
      </w:r>
      <w:r w:rsidR="00C63ECA" w:rsidRPr="37120796">
        <w:t>201</w:t>
      </w:r>
      <w:r w:rsidR="00AE59EC">
        <w:t>9</w:t>
      </w:r>
    </w:p>
    <w:p w14:paraId="270210C2" w14:textId="5539193F" w:rsidR="00DD780C" w:rsidRDefault="00DD780C" w:rsidP="00831244">
      <w:pPr>
        <w:jc w:val="center"/>
      </w:pPr>
      <w:r>
        <w:rPr>
          <w:noProof/>
        </w:rPr>
        <w:drawing>
          <wp:inline distT="0" distB="0" distL="0" distR="0" wp14:anchorId="1E8EBFB7" wp14:editId="3352221D">
            <wp:extent cx="5725537" cy="285750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2399" cy="2870906"/>
                    </a:xfrm>
                    <a:prstGeom prst="rect">
                      <a:avLst/>
                    </a:prstGeom>
                    <a:noFill/>
                  </pic:spPr>
                </pic:pic>
              </a:graphicData>
            </a:graphic>
          </wp:inline>
        </w:drawing>
      </w:r>
    </w:p>
    <w:p w14:paraId="5D93F67A" w14:textId="6EAD24A2" w:rsidR="009B3AC1" w:rsidRDefault="009B3AC1" w:rsidP="00DC0C9F"/>
    <w:p w14:paraId="4E656B8F" w14:textId="143B2245" w:rsidR="00AE63A1" w:rsidRDefault="00046DA9" w:rsidP="00874FBC">
      <w:pPr>
        <w:pStyle w:val="Heading1"/>
      </w:pPr>
      <w:bookmarkStart w:id="26" w:name="_Ref12443689"/>
      <w:bookmarkStart w:id="27" w:name="_Toc12445831"/>
      <w:r>
        <w:t xml:space="preserve">Avoided Cost </w:t>
      </w:r>
      <w:r w:rsidR="00CC5EF2">
        <w:t>Methodology</w:t>
      </w:r>
      <w:bookmarkEnd w:id="26"/>
      <w:bookmarkEnd w:id="27"/>
    </w:p>
    <w:p w14:paraId="165D9AD1" w14:textId="6DE71E47" w:rsidR="00D26754" w:rsidRDefault="00A055DD" w:rsidP="00A055DD">
      <w:pPr>
        <w:pStyle w:val="Heading2"/>
      </w:pPr>
      <w:bookmarkStart w:id="28" w:name="_Toc12445832"/>
      <w:r>
        <w:t>Natural Gas</w:t>
      </w:r>
      <w:bookmarkEnd w:id="28"/>
    </w:p>
    <w:p w14:paraId="0EF6ACE4" w14:textId="77777777" w:rsidR="002C2278" w:rsidRDefault="002C2278" w:rsidP="004A720E">
      <w:pPr>
        <w:pStyle w:val="Heading3"/>
      </w:pPr>
      <w:bookmarkStart w:id="29" w:name="_Toc12445833"/>
      <w:r>
        <w:t>Continental natural gas market</w:t>
      </w:r>
      <w:bookmarkEnd w:id="29"/>
    </w:p>
    <w:p w14:paraId="28534DB8" w14:textId="5FB57DA3" w:rsidR="002C2278" w:rsidRDefault="002C2278" w:rsidP="002C2278">
      <w:r>
        <w:t>Natural gas delivered to California consumers is traded in an aggregate wholesale market that spans most of North America</w:t>
      </w:r>
      <w:r w:rsidR="008565B2">
        <w:t xml:space="preserve">. </w:t>
      </w:r>
      <w:r>
        <w:t xml:space="preserve">Natural gas is produced at many locations, the most important of which are the Gulf of Mexico, southern Great Plains, </w:t>
      </w:r>
      <w:smartTag w:uri="urn:schemas-microsoft-com:office:smarttags" w:element="PlaceName">
        <w:r>
          <w:t>Western</w:t>
        </w:r>
      </w:smartTag>
      <w:r>
        <w:t xml:space="preserve"> </w:t>
      </w:r>
      <w:smartTag w:uri="urn:schemas-microsoft-com:office:smarttags" w:element="PlaceName">
        <w:r>
          <w:t>Canadian</w:t>
        </w:r>
      </w:smartTag>
      <w:r>
        <w:t xml:space="preserve"> </w:t>
      </w:r>
      <w:smartTag w:uri="urn:schemas-microsoft-com:office:smarttags" w:element="PlaceName">
        <w:r>
          <w:t>Sedimentary</w:t>
        </w:r>
      </w:smartTag>
      <w:r>
        <w:t xml:space="preserve"> </w:t>
      </w:r>
      <w:smartTag w:uri="urn:schemas-microsoft-com:office:smarttags" w:element="PlaceType">
        <w:r>
          <w:t>Basin</w:t>
        </w:r>
      </w:smartTag>
      <w:r>
        <w:t xml:space="preserve">, and the </w:t>
      </w:r>
      <w:smartTag w:uri="urn:schemas-microsoft-com:office:smarttags" w:element="place">
        <w:r>
          <w:t>Rocky Mountains</w:t>
        </w:r>
      </w:smartTag>
      <w:r>
        <w:t xml:space="preserve"> regions</w:t>
      </w:r>
      <w:r w:rsidR="008565B2">
        <w:t xml:space="preserve">. </w:t>
      </w:r>
      <w:r>
        <w:t xml:space="preserve">Interstate natural gas pipelines transport the gas from the </w:t>
      </w:r>
      <w:r>
        <w:lastRenderedPageBreak/>
        <w:t xml:space="preserve">wellhead to wholesale market centers or “pricing points”, where buyers include marketers, large retail customers, electric generators, and </w:t>
      </w:r>
      <w:r w:rsidR="00727019">
        <w:t>local distribution companies (</w:t>
      </w:r>
      <w:r>
        <w:t>LDCs</w:t>
      </w:r>
      <w:r w:rsidR="00727019">
        <w:t>)</w:t>
      </w:r>
      <w:r>
        <w:t xml:space="preserve"> that purchase gas on behalf of small retail customers</w:t>
      </w:r>
      <w:r w:rsidR="008565B2">
        <w:t xml:space="preserve">. </w:t>
      </w:r>
      <w:r>
        <w:t>These points are typically intersections of major pipelines, where buyers and sellers from different regions interact to form a spot market</w:t>
      </w:r>
      <w:r w:rsidR="008565B2">
        <w:t xml:space="preserve">. </w:t>
      </w:r>
    </w:p>
    <w:p w14:paraId="1ED949BD" w14:textId="77777777" w:rsidR="002C2278" w:rsidRDefault="002C2278" w:rsidP="004A720E">
      <w:pPr>
        <w:pStyle w:val="Header4"/>
      </w:pPr>
      <w:r>
        <w:t>Spot gas trading</w:t>
      </w:r>
    </w:p>
    <w:p w14:paraId="10EE8C7D" w14:textId="1AC2B2FF" w:rsidR="002C2278" w:rsidRDefault="002C2278" w:rsidP="002C2278">
      <w:r>
        <w:t>Spot gas is traded in monthly and daily packages</w:t>
      </w:r>
      <w:r w:rsidR="008565B2">
        <w:t xml:space="preserve">. </w:t>
      </w:r>
      <w:r>
        <w:t>Monthly deals are made during the last week of each month (“bid week”) for delivery the following month</w:t>
      </w:r>
      <w:r w:rsidR="008565B2">
        <w:t xml:space="preserve">. </w:t>
      </w:r>
      <w:r>
        <w:t>Daily trading is generally for delivery the following day</w:t>
      </w:r>
      <w:r w:rsidR="008565B2">
        <w:t xml:space="preserve">. </w:t>
      </w:r>
      <w:r>
        <w:t>Spot gas trading is overwhelmingly bilateral, with buyers and sellers trading standard contracts by telephone or on electronic bulletin boards</w:t>
      </w:r>
      <w:r w:rsidR="008565B2">
        <w:t xml:space="preserve">. </w:t>
      </w:r>
      <w:r>
        <w:t xml:space="preserve">Gas traders voluntarily report price and volume information to publishers such as Platts, which in turn report indexes based on representative prices for dozens of pricing points throughout the </w:t>
      </w:r>
      <w:smartTag w:uri="urn:schemas-microsoft-com:office:smarttags" w:element="country-region">
        <w:r>
          <w:t>United States</w:t>
        </w:r>
      </w:smartTag>
      <w:r>
        <w:t xml:space="preserve"> and </w:t>
      </w:r>
      <w:smartTag w:uri="urn:schemas-microsoft-com:office:smarttags" w:element="place">
        <w:smartTag w:uri="urn:schemas-microsoft-com:office:smarttags" w:element="country-region">
          <w:r>
            <w:t>Canada</w:t>
          </w:r>
        </w:smartTag>
      </w:smartTag>
      <w:r>
        <w:t>.</w:t>
      </w:r>
    </w:p>
    <w:p w14:paraId="2A904D0F" w14:textId="661EFC96" w:rsidR="002C2278" w:rsidRDefault="002C2278" w:rsidP="002C2278">
      <w:r>
        <w:t xml:space="preserve">Two locations have emerged as particularly important trading hubs:  AECO, in </w:t>
      </w:r>
      <w:smartTag w:uri="urn:schemas-microsoft-com:office:smarttags" w:element="State">
        <w:r>
          <w:t>Alberta</w:t>
        </w:r>
      </w:smartTag>
      <w:r>
        <w:t xml:space="preserve">, </w:t>
      </w:r>
      <w:smartTag w:uri="urn:schemas-microsoft-com:office:smarttags" w:element="country-region">
        <w:r>
          <w:t>Canada</w:t>
        </w:r>
      </w:smartTag>
      <w:r>
        <w:t xml:space="preserve"> and Henry Hub, in Louisiana</w:t>
      </w:r>
      <w:r w:rsidR="008565B2">
        <w:t xml:space="preserve">. </w:t>
      </w:r>
      <w:r>
        <w:t xml:space="preserve">These trading hubs are located near major producing regions in the Western Canadian Sedimentary Basin and </w:t>
      </w:r>
      <w:r w:rsidR="000A7ECD">
        <w:t xml:space="preserve">the </w:t>
      </w:r>
      <w:r>
        <w:t>Gulf of Mexico, respectively</w:t>
      </w:r>
      <w:r w:rsidR="008565B2">
        <w:t xml:space="preserve">. </w:t>
      </w:r>
      <w:r>
        <w:t>Henry Hub, the delivery location for the NYMEX futures contracts, serves as a benchmark for the continental natural gas market.</w:t>
      </w:r>
    </w:p>
    <w:p w14:paraId="7CE91462" w14:textId="77777777" w:rsidR="002C2278" w:rsidRDefault="002C2278" w:rsidP="004A720E">
      <w:pPr>
        <w:pStyle w:val="Header4"/>
      </w:pPr>
      <w:r>
        <w:t>NYMEX futures contracts</w:t>
      </w:r>
    </w:p>
    <w:p w14:paraId="223E2011" w14:textId="318DD188" w:rsidR="002C2278" w:rsidRDefault="002C2278" w:rsidP="002C2278">
      <w:r>
        <w:t xml:space="preserve">The New York Mercantile Exchange </w:t>
      </w:r>
      <w:r w:rsidR="000A7ECD">
        <w:t xml:space="preserve">(NYMEX) </w:t>
      </w:r>
      <w:r>
        <w:t>offers trading in natural gas futures contracts</w:t>
      </w:r>
      <w:r w:rsidR="008565B2">
        <w:t xml:space="preserve">. </w:t>
      </w:r>
      <w:r>
        <w:t xml:space="preserve">A NYMEX contract is for 10,000 </w:t>
      </w:r>
      <w:r w:rsidR="007361A6">
        <w:t>MMBtu</w:t>
      </w:r>
      <w:r>
        <w:t xml:space="preserve"> delivered uniformly across a calendar month to Henry Hub</w:t>
      </w:r>
      <w:r w:rsidR="008565B2">
        <w:t xml:space="preserve">. </w:t>
      </w:r>
      <w:r>
        <w:t xml:space="preserve">Prices are quoted in dollars per </w:t>
      </w:r>
      <w:r w:rsidR="007361A6">
        <w:t>MMBtu</w:t>
      </w:r>
      <w:r w:rsidR="008565B2">
        <w:t xml:space="preserve">. </w:t>
      </w:r>
      <w:r>
        <w:t>At any given time, 72 consecutive monthly contracts are open for trading, beginning with the next calendar month</w:t>
      </w:r>
      <w:r w:rsidR="008565B2">
        <w:t xml:space="preserve">. </w:t>
      </w:r>
      <w:r>
        <w:t>NYMEX futures contracts are settled daily on a mark-to-market basis; all traders holding “open” positions either pay or receive funds (“margins”) each day depending on the change in the settlement price from the previous day.</w:t>
      </w:r>
    </w:p>
    <w:p w14:paraId="4B36F323" w14:textId="15684459" w:rsidR="002C2278" w:rsidRDefault="002C2278" w:rsidP="002C2278">
      <w:r>
        <w:lastRenderedPageBreak/>
        <w:t>NYMEX futures trading is extremely liquid, especially in the early months, and the gas futures contract has become a closely watched barometer of market expectations for future price movements</w:t>
      </w:r>
      <w:r w:rsidR="008565B2">
        <w:t xml:space="preserve">. </w:t>
      </w:r>
      <w:r>
        <w:t>NYMEX gas futures prices help discover the spot gas prices in a future delivery period via trading activities of futures buyers and sellers</w:t>
      </w:r>
      <w:r w:rsidR="008565B2">
        <w:t xml:space="preserve">. </w:t>
      </w:r>
    </w:p>
    <w:p w14:paraId="161A579D" w14:textId="77777777" w:rsidR="002C2278" w:rsidRDefault="002C2278" w:rsidP="004A720E">
      <w:pPr>
        <w:pStyle w:val="Header4"/>
      </w:pPr>
      <w:r>
        <w:t>Basis trading</w:t>
      </w:r>
    </w:p>
    <w:p w14:paraId="0B9FE9F8" w14:textId="3A024C5E" w:rsidR="002C2278" w:rsidRDefault="002C2278" w:rsidP="002C2278">
      <w:r>
        <w:t>Traders typically link prices at different locations through “basis differentials.”  A basis differential is the difference in the market value of natural gas at two separate physical locations at the same point in time</w:t>
      </w:r>
      <w:r w:rsidR="008565B2">
        <w:t xml:space="preserve">. </w:t>
      </w:r>
      <w:r>
        <w:t>Basis differentials respond to temporary events such as localized shortages or surpluses of natural gas supply or reductions in pipeline capacity</w:t>
      </w:r>
      <w:r w:rsidR="008565B2">
        <w:t xml:space="preserve">. </w:t>
      </w:r>
      <w:r>
        <w:t>They can also vary over time with the introduction of new pipeline or storage capacity, changes in production costs at various locations, or permanent demand shifts.</w:t>
      </w:r>
    </w:p>
    <w:p w14:paraId="183B0C9D" w14:textId="1894D9E3" w:rsidR="002C2278" w:rsidRDefault="002C2278" w:rsidP="002C2278">
      <w:r>
        <w:t>Forward basis differentials are traded as financial derivatives known as “basis swaps</w:t>
      </w:r>
      <w:r w:rsidR="00410678">
        <w:t>.</w:t>
      </w:r>
      <w:r>
        <w:t>”</w:t>
      </w:r>
      <w:r w:rsidR="008565B2">
        <w:t xml:space="preserve"> </w:t>
      </w:r>
      <w:r>
        <w:t>The holder of one side of a basis swap agrees to pay the counterparty the difference between the spot prices at the two specified locations at the designated time</w:t>
      </w:r>
      <w:r w:rsidR="008565B2">
        <w:t xml:space="preserve">. </w:t>
      </w:r>
      <w:r>
        <w:t xml:space="preserve">NYMEX offers clearing services and calculates settlement prices for forward natural gas basis swaps contracts between Henry Hub and a number of pricing points, including two California locations: PG&amp;E </w:t>
      </w:r>
      <w:r w:rsidR="00833E23">
        <w:t>Citygate</w:t>
      </w:r>
      <w:r>
        <w:t xml:space="preserve"> and </w:t>
      </w:r>
      <w:r w:rsidR="00D216FA">
        <w:t>SoCal</w:t>
      </w:r>
      <w:r w:rsidR="00313975">
        <w:t xml:space="preserve"> Border</w:t>
      </w:r>
      <w:r w:rsidR="008565B2">
        <w:t xml:space="preserve">. </w:t>
      </w:r>
      <w:r>
        <w:t xml:space="preserve">NYMEX forward basis swaps contracts are for 2,500 </w:t>
      </w:r>
      <w:r w:rsidR="007361A6">
        <w:t>MMBtu</w:t>
      </w:r>
      <w:r>
        <w:t xml:space="preserve">, and are settled as the monthly </w:t>
      </w:r>
      <w:r>
        <w:rPr>
          <w:snapToGrid w:val="0"/>
        </w:rPr>
        <w:t xml:space="preserve">bidweek </w:t>
      </w:r>
      <w:r>
        <w:t xml:space="preserve">spot price (as defined by a particular price index such as </w:t>
      </w:r>
      <w:r>
        <w:rPr>
          <w:i/>
        </w:rPr>
        <w:t>Natural Gas Intelligence</w:t>
      </w:r>
      <w:r>
        <w:t>) minus the final settlement price of a Henry Hub futures contract for the corresponding month.</w:t>
      </w:r>
      <w:r>
        <w:rPr>
          <w:rStyle w:val="FootnoteReference"/>
        </w:rPr>
        <w:footnoteReference w:id="5"/>
      </w:r>
      <w:r>
        <w:t xml:space="preserve">  NYMEX will clear trades for basis swaps up to 36 months out in time, although settlement prices are only calculated for those months in which traders hold open positions. </w:t>
      </w:r>
    </w:p>
    <w:p w14:paraId="5B0806BA" w14:textId="4E7E5E3A" w:rsidR="002C2278" w:rsidRDefault="008056D4" w:rsidP="004A720E">
      <w:pPr>
        <w:pStyle w:val="Heading3"/>
      </w:pPr>
      <w:bookmarkStart w:id="30" w:name="_Toc56396753"/>
      <w:bookmarkStart w:id="31" w:name="_Toc86487847"/>
      <w:bookmarkStart w:id="32" w:name="_Toc86548963"/>
      <w:bookmarkStart w:id="33" w:name="_Toc86549064"/>
      <w:bookmarkStart w:id="34" w:name="_Toc86635793"/>
      <w:bookmarkStart w:id="35" w:name="_Toc12445834"/>
      <w:r>
        <w:lastRenderedPageBreak/>
        <w:t>N</w:t>
      </w:r>
      <w:r w:rsidR="002C2278">
        <w:t>atural gas commodity</w:t>
      </w:r>
      <w:bookmarkEnd w:id="30"/>
      <w:bookmarkEnd w:id="31"/>
      <w:bookmarkEnd w:id="32"/>
      <w:bookmarkEnd w:id="33"/>
      <w:bookmarkEnd w:id="34"/>
      <w:bookmarkEnd w:id="35"/>
    </w:p>
    <w:p w14:paraId="5DF6FDA9" w14:textId="762A5181" w:rsidR="002C2278" w:rsidRDefault="002C2278" w:rsidP="002C2278">
      <w:r>
        <w:t>E3’s approach divides the forecast time frame into three periods, defined by the availability of market data</w:t>
      </w:r>
      <w:r w:rsidR="008565B2">
        <w:t xml:space="preserve">. </w:t>
      </w:r>
      <w:r w:rsidR="00952EF1">
        <w:t>This hybrid approach combines a market-based forecast for the near-term, when futures contracts are traded, and a model-based forecast for the long-term when there is no futures trading</w:t>
      </w:r>
      <w:r w:rsidR="008565B2">
        <w:t xml:space="preserve">. </w:t>
      </w:r>
    </w:p>
    <w:p w14:paraId="676E3268" w14:textId="712F5C0F" w:rsidR="002C2278" w:rsidRDefault="00C90463" w:rsidP="002C2278">
      <w:pPr>
        <w:numPr>
          <w:ilvl w:val="0"/>
          <w:numId w:val="18"/>
        </w:numPr>
        <w:spacing w:before="240" w:after="120"/>
      </w:pPr>
      <w:r>
        <w:rPr>
          <w:b/>
        </w:rPr>
        <w:t>Market Period</w:t>
      </w:r>
      <w:r w:rsidR="00C0678A">
        <w:rPr>
          <w:b/>
        </w:rPr>
        <w:t xml:space="preserve"> (2019-20</w:t>
      </w:r>
      <w:r w:rsidR="00CF1CE5">
        <w:rPr>
          <w:b/>
        </w:rPr>
        <w:t>24)</w:t>
      </w:r>
      <w:r w:rsidR="008565B2">
        <w:rPr>
          <w:b/>
        </w:rPr>
        <w:t xml:space="preserve">. </w:t>
      </w:r>
      <w:r w:rsidR="002C2278">
        <w:t>During this period,</w:t>
      </w:r>
      <w:r w:rsidR="00297750">
        <w:t xml:space="preserve"> the average </w:t>
      </w:r>
      <w:r w:rsidR="004935B7">
        <w:t xml:space="preserve">future contract prices are used for </w:t>
      </w:r>
      <w:r w:rsidR="00E530BA">
        <w:t xml:space="preserve">the </w:t>
      </w:r>
      <w:r w:rsidR="00D216FA">
        <w:t>SoCal</w:t>
      </w:r>
      <w:r w:rsidR="00E530BA">
        <w:t xml:space="preserve"> Border and PG&amp;E </w:t>
      </w:r>
      <w:r w:rsidR="00833E23">
        <w:t>Citygate</w:t>
      </w:r>
      <w:r w:rsidR="00E530BA">
        <w:t xml:space="preserve"> </w:t>
      </w:r>
      <w:r w:rsidR="001A026D">
        <w:t xml:space="preserve">hubs </w:t>
      </w:r>
      <w:r w:rsidR="00E530BA">
        <w:t>from NYMEX</w:t>
      </w:r>
      <w:r w:rsidR="008565B2">
        <w:t xml:space="preserve">. </w:t>
      </w:r>
      <w:r w:rsidR="00E530BA">
        <w:t xml:space="preserve">The average is over the </w:t>
      </w:r>
      <w:r w:rsidR="00862ABC">
        <w:t>year and</w:t>
      </w:r>
      <w:r w:rsidR="00E530BA">
        <w:t xml:space="preserve"> </w:t>
      </w:r>
      <w:r w:rsidR="00862ABC">
        <w:t xml:space="preserve">is </w:t>
      </w:r>
      <w:r w:rsidR="00E530BA">
        <w:t xml:space="preserve">based on the </w:t>
      </w:r>
      <w:r w:rsidR="00A57A84">
        <w:t>22 most recent trading day prices</w:t>
      </w:r>
      <w:r w:rsidR="00CA38E6">
        <w:t xml:space="preserve"> available at the time of update (</w:t>
      </w:r>
      <w:r w:rsidR="00352AA7">
        <w:t>4/2</w:t>
      </w:r>
      <w:r w:rsidR="00247786">
        <w:t>2</w:t>
      </w:r>
      <w:r w:rsidR="00352AA7">
        <w:t>/2019 through 5/21/2019</w:t>
      </w:r>
      <w:r w:rsidR="00862ABC">
        <w:t xml:space="preserve"> for this </w:t>
      </w:r>
      <w:r w:rsidR="003E71C1">
        <w:t>version</w:t>
      </w:r>
      <w:r w:rsidR="00352AA7">
        <w:t>)</w:t>
      </w:r>
      <w:r w:rsidR="008565B2">
        <w:t>.</w:t>
      </w:r>
      <w:r w:rsidR="00715CA7">
        <w:t xml:space="preserve"> For the months </w:t>
      </w:r>
      <w:r w:rsidR="007F3AD8">
        <w:t>Jan-Ma</w:t>
      </w:r>
      <w:r w:rsidR="00D216FA">
        <w:t>r</w:t>
      </w:r>
      <w:r w:rsidR="007F3AD8">
        <w:t xml:space="preserve"> </w:t>
      </w:r>
      <w:r w:rsidR="00465F0B">
        <w:t>in 2019, NYMEX actual values are used.</w:t>
      </w:r>
    </w:p>
    <w:p w14:paraId="09909CD9" w14:textId="00FE6988" w:rsidR="002C2278" w:rsidRDefault="00051097" w:rsidP="002C2278">
      <w:pPr>
        <w:numPr>
          <w:ilvl w:val="0"/>
          <w:numId w:val="18"/>
        </w:numPr>
        <w:spacing w:before="240" w:after="120"/>
      </w:pPr>
      <w:r>
        <w:rPr>
          <w:b/>
        </w:rPr>
        <w:t>Transition (</w:t>
      </w:r>
      <w:r w:rsidR="007F494C">
        <w:rPr>
          <w:b/>
        </w:rPr>
        <w:t>202</w:t>
      </w:r>
      <w:r w:rsidR="0092215D">
        <w:rPr>
          <w:b/>
        </w:rPr>
        <w:t>5</w:t>
      </w:r>
      <w:r w:rsidR="007F494C">
        <w:rPr>
          <w:b/>
        </w:rPr>
        <w:t>-202</w:t>
      </w:r>
      <w:r w:rsidR="009D4C6E">
        <w:rPr>
          <w:b/>
        </w:rPr>
        <w:t>8)</w:t>
      </w:r>
      <w:r w:rsidR="008565B2">
        <w:rPr>
          <w:b/>
        </w:rPr>
        <w:t xml:space="preserve">. </w:t>
      </w:r>
      <w:r w:rsidR="00247786">
        <w:t>Three-year</w:t>
      </w:r>
      <w:r w:rsidR="001E1022">
        <w:t xml:space="preserve"> transition period that is the linear interpolation between the </w:t>
      </w:r>
      <w:r w:rsidR="00C63CAF">
        <w:t>202</w:t>
      </w:r>
      <w:r w:rsidR="0092215D">
        <w:t>5</w:t>
      </w:r>
      <w:r w:rsidR="00C63CAF">
        <w:t xml:space="preserve"> and 202</w:t>
      </w:r>
      <w:r w:rsidR="0092215D">
        <w:t>8</w:t>
      </w:r>
      <w:r w:rsidR="00C63CAF">
        <w:t xml:space="preserve"> price forecasts.</w:t>
      </w:r>
    </w:p>
    <w:p w14:paraId="3FAD758C" w14:textId="533D45F8" w:rsidR="00A519EE" w:rsidRDefault="0092401B" w:rsidP="002C2278">
      <w:pPr>
        <w:numPr>
          <w:ilvl w:val="0"/>
          <w:numId w:val="18"/>
        </w:numPr>
        <w:spacing w:before="240" w:after="120"/>
      </w:pPr>
      <w:r>
        <w:rPr>
          <w:b/>
        </w:rPr>
        <w:t>Model Period</w:t>
      </w:r>
      <w:r w:rsidR="00D216FA">
        <w:rPr>
          <w:b/>
        </w:rPr>
        <w:t xml:space="preserve"> (</w:t>
      </w:r>
      <w:r w:rsidR="009E0A0E">
        <w:rPr>
          <w:b/>
        </w:rPr>
        <w:t xml:space="preserve">2029 </w:t>
      </w:r>
      <w:r w:rsidR="002C2278">
        <w:rPr>
          <w:b/>
        </w:rPr>
        <w:t>and beyond</w:t>
      </w:r>
      <w:r w:rsidR="00D216FA">
        <w:rPr>
          <w:b/>
        </w:rPr>
        <w:t>)</w:t>
      </w:r>
      <w:r w:rsidR="008565B2">
        <w:rPr>
          <w:b/>
        </w:rPr>
        <w:t xml:space="preserve">. </w:t>
      </w:r>
      <w:r w:rsidR="002C2278">
        <w:t>No futures contracts are traded for this period</w:t>
      </w:r>
      <w:r w:rsidR="008565B2">
        <w:t xml:space="preserve">. </w:t>
      </w:r>
      <w:r w:rsidR="002C2278">
        <w:t xml:space="preserve">Hence, E3 relies on forecasts of long-term natural gas prices from the </w:t>
      </w:r>
      <w:r w:rsidR="00A519EE">
        <w:t>U</w:t>
      </w:r>
      <w:r w:rsidR="00824253">
        <w:t>.</w:t>
      </w:r>
      <w:r w:rsidR="00A519EE">
        <w:t>S</w:t>
      </w:r>
      <w:r w:rsidR="00824253">
        <w:t>.</w:t>
      </w:r>
      <w:r w:rsidR="00A519EE">
        <w:t xml:space="preserve"> DOE EIA Annual Energy outlook Forecast for Henry Hub</w:t>
      </w:r>
      <w:r w:rsidR="008565B2">
        <w:t xml:space="preserve">. </w:t>
      </w:r>
      <w:r w:rsidR="009E6FD7">
        <w:t>The</w:t>
      </w:r>
      <w:r w:rsidR="00EB38EA">
        <w:t xml:space="preserve"> Henry Hub </w:t>
      </w:r>
      <w:r w:rsidR="009E6FD7">
        <w:t xml:space="preserve">prices are converted to </w:t>
      </w:r>
      <w:r w:rsidR="00D216FA">
        <w:t>SoCal</w:t>
      </w:r>
      <w:r w:rsidR="009E6FD7">
        <w:t xml:space="preserve"> Border and PG&amp;E </w:t>
      </w:r>
      <w:r w:rsidR="00833E23">
        <w:t>Citygate</w:t>
      </w:r>
      <w:r w:rsidR="009E6FD7">
        <w:t xml:space="preserve"> prices </w:t>
      </w:r>
      <w:r w:rsidR="00EB38EA">
        <w:t>by adding</w:t>
      </w:r>
      <w:r w:rsidR="009E6FD7">
        <w:t xml:space="preserve"> the average basis price differential from </w:t>
      </w:r>
      <w:r w:rsidR="00A8484E">
        <w:t xml:space="preserve">2019 through </w:t>
      </w:r>
      <w:r w:rsidR="00EF3A8C">
        <w:t>202</w:t>
      </w:r>
      <w:r w:rsidR="00195133">
        <w:t>5</w:t>
      </w:r>
      <w:r w:rsidR="004C411C">
        <w:t xml:space="preserve"> based on the NYMEX future</w:t>
      </w:r>
      <w:r w:rsidR="00642EB2">
        <w:t xml:space="preserve">s data </w:t>
      </w:r>
      <w:r w:rsidR="007636D0">
        <w:t>described in the Market Period above</w:t>
      </w:r>
      <w:r w:rsidR="008565B2">
        <w:t xml:space="preserve">. </w:t>
      </w:r>
      <w:r w:rsidR="005124C7">
        <w:t>Th</w:t>
      </w:r>
      <w:r w:rsidR="00824253">
        <w:t>ese</w:t>
      </w:r>
      <w:r w:rsidR="005124C7">
        <w:t xml:space="preserve"> basis </w:t>
      </w:r>
      <w:r w:rsidR="00F05A9B">
        <w:t>differentials</w:t>
      </w:r>
      <w:r w:rsidR="005124C7">
        <w:t xml:space="preserve"> are held constant for </w:t>
      </w:r>
      <w:r w:rsidR="00F05A9B">
        <w:t xml:space="preserve">all years of the </w:t>
      </w:r>
      <w:r w:rsidR="00105FB7">
        <w:t>Model Period</w:t>
      </w:r>
      <w:r w:rsidR="00F05A9B">
        <w:t xml:space="preserve"> forecast</w:t>
      </w:r>
      <w:r w:rsidR="008565B2">
        <w:t xml:space="preserve">. </w:t>
      </w:r>
      <w:r w:rsidR="00F56244">
        <w:t xml:space="preserve">For the 2026 basis spread, </w:t>
      </w:r>
      <w:r w:rsidR="00AC0873">
        <w:t xml:space="preserve">the </w:t>
      </w:r>
      <w:r w:rsidR="00AB1A1B" w:rsidRPr="000C7769">
        <w:t>20</w:t>
      </w:r>
      <w:r w:rsidR="000C7769" w:rsidRPr="004A720E">
        <w:t>2</w:t>
      </w:r>
      <w:r w:rsidR="00AB1A1B" w:rsidRPr="000C7769">
        <w:t>6</w:t>
      </w:r>
      <w:r w:rsidR="00AB1A1B">
        <w:t xml:space="preserve"> </w:t>
      </w:r>
      <w:r w:rsidR="00D0785E">
        <w:t>H</w:t>
      </w:r>
      <w:r w:rsidR="00AB1A1B">
        <w:t xml:space="preserve">enry Hub NYMEX price is compared to the </w:t>
      </w:r>
      <w:r w:rsidR="002527AB">
        <w:t>trend</w:t>
      </w:r>
      <w:r w:rsidR="00AB1A1B">
        <w:t xml:space="preserve"> of the </w:t>
      </w:r>
      <w:r w:rsidR="00D216FA">
        <w:t>SoCal</w:t>
      </w:r>
      <w:r w:rsidR="00113609">
        <w:t xml:space="preserve"> Border and PG&amp;E </w:t>
      </w:r>
      <w:r w:rsidR="00833E23">
        <w:t>Citygate</w:t>
      </w:r>
      <w:r w:rsidR="00113609">
        <w:t xml:space="preserve"> </w:t>
      </w:r>
      <w:r w:rsidR="00866F49">
        <w:t>NYMEX futures prices</w:t>
      </w:r>
      <w:r w:rsidR="002527AB">
        <w:t xml:space="preserve"> from the </w:t>
      </w:r>
      <w:r w:rsidR="00FB3C69">
        <w:t>prior five years.</w:t>
      </w:r>
    </w:p>
    <w:p w14:paraId="0BDDD4E0" w14:textId="755876EE" w:rsidR="002C2278" w:rsidRDefault="002C2278" w:rsidP="004A720E">
      <w:pPr>
        <w:spacing w:before="240" w:after="120"/>
      </w:pPr>
      <w:r>
        <w:t xml:space="preserve">E3 translates </w:t>
      </w:r>
      <w:r w:rsidR="00EB120F">
        <w:t>the annual forecast values</w:t>
      </w:r>
      <w:r>
        <w:t xml:space="preserve"> into monthly values using multipliers derived from the last year of NYMEX</w:t>
      </w:r>
      <w:r w:rsidR="00A63FBC">
        <w:t xml:space="preserve"> actual and</w:t>
      </w:r>
      <w:r>
        <w:t xml:space="preserve"> futures trading</w:t>
      </w:r>
      <w:r w:rsidR="008565B2">
        <w:t xml:space="preserve">. </w:t>
      </w:r>
    </w:p>
    <w:p w14:paraId="56F34CF9" w14:textId="77777777" w:rsidR="002C2278" w:rsidRDefault="002C2278" w:rsidP="004A720E">
      <w:pPr>
        <w:pStyle w:val="Heading3"/>
      </w:pPr>
      <w:bookmarkStart w:id="36" w:name="_Toc56396755"/>
      <w:bookmarkStart w:id="37" w:name="_Toc12445835"/>
      <w:r>
        <w:lastRenderedPageBreak/>
        <w:t>Avoidable marginal distribution costs for core customers</w:t>
      </w:r>
      <w:bookmarkEnd w:id="36"/>
      <w:bookmarkEnd w:id="37"/>
    </w:p>
    <w:p w14:paraId="2FB1C83E" w14:textId="49541547" w:rsidR="00052F61" w:rsidRDefault="002C2278" w:rsidP="004A720E">
      <w:r>
        <w:t>Avoided distribution costs reflect avoided or deferred upgrades to the distribution systems of each of the three major LDCs in California</w:t>
      </w:r>
      <w:r w:rsidR="008565B2">
        <w:t xml:space="preserve">. </w:t>
      </w:r>
      <w:r w:rsidR="00371BBC">
        <w:t>Unlike with electricity, h</w:t>
      </w:r>
      <w:r w:rsidR="00052F61">
        <w:t>ourly allocations are not necessary because of the ability of utilities to “pack the pipe</w:t>
      </w:r>
      <w:r w:rsidR="00371BBC">
        <w:t>,</w:t>
      </w:r>
      <w:r w:rsidR="00052F61">
        <w:t>” mak</w:t>
      </w:r>
      <w:r w:rsidR="00371BBC">
        <w:t>ing</w:t>
      </w:r>
      <w:r w:rsidR="00052F61">
        <w:t xml:space="preserve"> use of the natural storage capacity of gas pipelines</w:t>
      </w:r>
      <w:r w:rsidR="008565B2">
        <w:t xml:space="preserve">. </w:t>
      </w:r>
      <w:r w:rsidR="00052F61">
        <w:t>Costs are allocated to winter peak months, however, to reflect the winter-peak driven capacity costs (especially for distribution pipe serving core customers)</w:t>
      </w:r>
      <w:r w:rsidR="008565B2">
        <w:t xml:space="preserve">. </w:t>
      </w:r>
      <w:r w:rsidR="00ED36E4">
        <w:t xml:space="preserve"> The avoided costs are from the Original 2005 </w:t>
      </w:r>
      <w:r w:rsidR="009C0020">
        <w:t>Avoided Cost Report, and have only been updated for inflation.</w:t>
      </w:r>
    </w:p>
    <w:p w14:paraId="370078F5" w14:textId="58747C12" w:rsidR="00BC09CE" w:rsidRDefault="00BC09CE" w:rsidP="00BC09CE">
      <w:pPr>
        <w:pStyle w:val="Caption"/>
        <w:spacing w:line="360" w:lineRule="auto"/>
      </w:pPr>
      <w:r>
        <w:t xml:space="preserve">Figure </w:t>
      </w:r>
      <w:fldSimple w:instr=" SEQ Figure \* ARABIC ">
        <w:r w:rsidR="0097492A">
          <w:rPr>
            <w:noProof/>
          </w:rPr>
          <w:t>13</w:t>
        </w:r>
      </w:fldSimple>
      <w:r>
        <w:t>: Natural Gas T&amp;D Avoided Costs by Utility</w:t>
      </w:r>
    </w:p>
    <w:p w14:paraId="26238450" w14:textId="1356DD19" w:rsidR="00052F61" w:rsidRDefault="00052F61" w:rsidP="004A720E">
      <w:pPr>
        <w:keepNext/>
        <w:keepLines/>
        <w:spacing w:after="0"/>
        <w:jc w:val="center"/>
      </w:pPr>
      <w:r>
        <w:rPr>
          <w:noProof/>
        </w:rPr>
        <w:drawing>
          <wp:inline distT="0" distB="0" distL="0" distR="0" wp14:anchorId="425AC7DA" wp14:editId="785FEEBE">
            <wp:extent cx="4600575" cy="2667000"/>
            <wp:effectExtent l="0" t="0" r="0" b="0"/>
            <wp:docPr id="1321859137" name="Picture 132185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0575" cy="2667000"/>
                    </a:xfrm>
                    <a:prstGeom prst="rect">
                      <a:avLst/>
                    </a:prstGeom>
                    <a:noFill/>
                    <a:ln>
                      <a:noFill/>
                    </a:ln>
                  </pic:spPr>
                </pic:pic>
              </a:graphicData>
            </a:graphic>
          </wp:inline>
        </w:drawing>
      </w:r>
    </w:p>
    <w:p w14:paraId="772E32AB" w14:textId="77777777" w:rsidR="00052F61" w:rsidRDefault="00052F61" w:rsidP="002C2278"/>
    <w:p w14:paraId="083711B2" w14:textId="77777777" w:rsidR="002C2278" w:rsidRDefault="002C2278" w:rsidP="004A720E">
      <w:pPr>
        <w:pStyle w:val="Heading3"/>
      </w:pPr>
      <w:bookmarkStart w:id="38" w:name="_Toc56396756"/>
      <w:bookmarkStart w:id="39" w:name="_Toc12445836"/>
      <w:r>
        <w:t>Transportation charges for electric generators</w:t>
      </w:r>
      <w:bookmarkEnd w:id="38"/>
      <w:bookmarkEnd w:id="39"/>
    </w:p>
    <w:p w14:paraId="0F0CEC70" w14:textId="78DD762B" w:rsidR="00E14FAD" w:rsidRDefault="002C2278" w:rsidP="00E14FAD">
      <w:pPr>
        <w:tabs>
          <w:tab w:val="num" w:pos="720"/>
        </w:tabs>
      </w:pPr>
      <w:r>
        <w:t>Avoided natural gas costs for electric generators serve as inputs to electricity avoided costs</w:t>
      </w:r>
      <w:r w:rsidR="008565B2">
        <w:t xml:space="preserve">. </w:t>
      </w:r>
      <w:r>
        <w:t xml:space="preserve">Electric generators in </w:t>
      </w:r>
      <w:smartTag w:uri="urn:schemas-microsoft-com:office:smarttags" w:element="place">
        <w:smartTag w:uri="urn:schemas-microsoft-com:office:smarttags" w:element="State">
          <w:r>
            <w:t>California</w:t>
          </w:r>
        </w:smartTag>
      </w:smartTag>
      <w:r>
        <w:t xml:space="preserve"> purchase natural gas directly from the wholesale market, paying only transportation charges to LDCs</w:t>
      </w:r>
      <w:r w:rsidR="008565B2">
        <w:t xml:space="preserve">. </w:t>
      </w:r>
      <w:r>
        <w:t>Because generators are not core customers, the appropriate measure of avoidable transportation charges is the applicable LDC tariff rate</w:t>
      </w:r>
      <w:r w:rsidR="008565B2">
        <w:t xml:space="preserve">. </w:t>
      </w:r>
      <w:r>
        <w:t xml:space="preserve">The </w:t>
      </w:r>
      <w:r>
        <w:lastRenderedPageBreak/>
        <w:t xml:space="preserve">rates we used in our analysis are </w:t>
      </w:r>
      <w:r w:rsidR="00C41F5D">
        <w:t xml:space="preserve">from </w:t>
      </w:r>
      <w:r w:rsidR="00D850DC">
        <w:t>recent</w:t>
      </w:r>
      <w:r w:rsidR="006000A9">
        <w:t xml:space="preserve"> SoCal Gas and PG&amp;E tariff sheets, effective as of April 1, 2019.</w:t>
      </w:r>
      <w:r w:rsidR="000F536C">
        <w:rPr>
          <w:rStyle w:val="FootnoteReference"/>
        </w:rPr>
        <w:footnoteReference w:id="6"/>
      </w:r>
    </w:p>
    <w:p w14:paraId="6B4D30ED" w14:textId="22FB88ED" w:rsidR="002C2278" w:rsidRDefault="002C2278" w:rsidP="00281200">
      <w:pPr>
        <w:pStyle w:val="Caption"/>
        <w:spacing w:line="360" w:lineRule="auto"/>
      </w:pPr>
      <w:bookmarkStart w:id="40" w:name="_Ref56935479"/>
      <w:bookmarkStart w:id="41" w:name="_Toc86488458"/>
      <w:bookmarkStart w:id="42" w:name="_Toc86635859"/>
      <w:r>
        <w:t xml:space="preserve">Table </w:t>
      </w:r>
      <w:fldSimple w:instr=" SEQ Table \* ARABIC ">
        <w:r w:rsidR="0097492A">
          <w:rPr>
            <w:noProof/>
          </w:rPr>
          <w:t>3</w:t>
        </w:r>
      </w:fldSimple>
      <w:bookmarkEnd w:id="40"/>
      <w:r>
        <w:t>: Gas Transportation Charges for Electric Generators</w:t>
      </w:r>
      <w:bookmarkEnd w:id="41"/>
      <w:bookmarkEnd w:id="42"/>
      <w:r w:rsidR="00274202">
        <w:t xml:space="preserve"> ($/</w:t>
      </w:r>
      <w:r w:rsidR="007361A6">
        <w:t>MMBtu</w:t>
      </w:r>
      <w:r w:rsidR="00274202">
        <w:t>)</w:t>
      </w:r>
    </w:p>
    <w:tbl>
      <w:tblPr>
        <w:tblStyle w:val="ListTable3-Accent11"/>
        <w:tblW w:w="7195" w:type="dxa"/>
        <w:jc w:val="center"/>
        <w:tblLook w:val="04A0" w:firstRow="1" w:lastRow="0" w:firstColumn="1" w:lastColumn="0" w:noHBand="0" w:noVBand="1"/>
        <w:tblCaption w:val=""/>
        <w:tblDescription w:val=""/>
      </w:tblPr>
      <w:tblGrid>
        <w:gridCol w:w="2517"/>
        <w:gridCol w:w="2331"/>
        <w:gridCol w:w="2347"/>
      </w:tblGrid>
      <w:tr w:rsidR="00281200" w:rsidRPr="002D7E26" w14:paraId="6BE65F70" w14:textId="77777777" w:rsidTr="00281200">
        <w:trPr>
          <w:cnfStyle w:val="100000000000" w:firstRow="1" w:lastRow="0" w:firstColumn="0" w:lastColumn="0" w:oddVBand="0" w:evenVBand="0" w:oddHBand="0" w:evenHBand="0" w:firstRowFirstColumn="0" w:firstRowLastColumn="0" w:lastRowFirstColumn="0" w:lastRowLastColumn="0"/>
          <w:cantSplit/>
          <w:trHeight w:val="525"/>
          <w:jc w:val="center"/>
        </w:trPr>
        <w:tc>
          <w:tcPr>
            <w:cnfStyle w:val="001000000100" w:firstRow="0" w:lastRow="0" w:firstColumn="1" w:lastColumn="0" w:oddVBand="0" w:evenVBand="0" w:oddHBand="0" w:evenHBand="0" w:firstRowFirstColumn="1" w:firstRowLastColumn="0" w:lastRowFirstColumn="0" w:lastRowLastColumn="0"/>
            <w:tcW w:w="2517" w:type="dxa"/>
            <w:noWrap/>
          </w:tcPr>
          <w:p w14:paraId="4ED9256B" w14:textId="4FC8B6D3" w:rsidR="00281200" w:rsidRPr="00281200" w:rsidRDefault="00D216FA" w:rsidP="00281200">
            <w:pPr>
              <w:keepNext/>
              <w:keepLines/>
              <w:spacing w:before="0" w:after="0" w:line="240" w:lineRule="auto"/>
              <w:jc w:val="center"/>
              <w:rPr>
                <w:rFonts w:cs="Times New Roman"/>
                <w:color w:val="000000"/>
              </w:rPr>
            </w:pPr>
            <w:r>
              <w:t>SoCal</w:t>
            </w:r>
            <w:r w:rsidR="00281200" w:rsidRPr="00281200">
              <w:t xml:space="preserve"> Transportation Rate</w:t>
            </w:r>
          </w:p>
        </w:tc>
        <w:tc>
          <w:tcPr>
            <w:tcW w:w="2331" w:type="dxa"/>
          </w:tcPr>
          <w:p w14:paraId="7B7D69BA" w14:textId="12AFEA1B" w:rsidR="00281200" w:rsidRPr="00281200" w:rsidRDefault="00281200" w:rsidP="00281200">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rPr>
            </w:pPr>
            <w:r w:rsidRPr="00281200">
              <w:t>PG&amp;E BB Transportation Rate</w:t>
            </w:r>
          </w:p>
        </w:tc>
        <w:tc>
          <w:tcPr>
            <w:tcW w:w="2347" w:type="dxa"/>
          </w:tcPr>
          <w:p w14:paraId="154DFCC2" w14:textId="38751C32" w:rsidR="00281200" w:rsidRPr="00281200" w:rsidRDefault="00281200" w:rsidP="00281200">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rPr>
            </w:pPr>
            <w:r w:rsidRPr="00281200">
              <w:t>PG&amp;E LT Transportation Rate</w:t>
            </w:r>
          </w:p>
        </w:tc>
      </w:tr>
      <w:tr w:rsidR="00281200" w:rsidRPr="002D7E26" w14:paraId="007D84FA" w14:textId="77777777" w:rsidTr="00281200">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2517" w:type="dxa"/>
            <w:noWrap/>
          </w:tcPr>
          <w:p w14:paraId="7FE83808" w14:textId="5DA54093" w:rsidR="00281200" w:rsidRPr="00281200" w:rsidRDefault="00281200" w:rsidP="00281200">
            <w:pPr>
              <w:keepNext/>
              <w:keepLines/>
              <w:spacing w:before="0" w:after="0" w:line="240" w:lineRule="auto"/>
              <w:jc w:val="center"/>
              <w:rPr>
                <w:rFonts w:cs="Times New Roman"/>
                <w:b w:val="0"/>
                <w:bCs w:val="0"/>
                <w:color w:val="000000"/>
              </w:rPr>
            </w:pPr>
            <w:r w:rsidRPr="00281200">
              <w:rPr>
                <w:rFonts w:asciiTheme="minorHAnsi" w:eastAsiaTheme="minorEastAsia" w:hAnsiTheme="minorHAnsi" w:cstheme="minorBidi"/>
                <w:b w:val="0"/>
                <w:bCs w:val="0"/>
                <w:color w:val="000000"/>
              </w:rPr>
              <w:t>$</w:t>
            </w:r>
            <w:r w:rsidR="00FA3379">
              <w:rPr>
                <w:rFonts w:asciiTheme="minorHAnsi" w:eastAsiaTheme="minorEastAsia" w:hAnsiTheme="minorHAnsi" w:cstheme="minorBidi"/>
                <w:b w:val="0"/>
                <w:bCs w:val="0"/>
                <w:color w:val="000000"/>
              </w:rPr>
              <w:t>1.363</w:t>
            </w:r>
          </w:p>
        </w:tc>
        <w:tc>
          <w:tcPr>
            <w:tcW w:w="2331" w:type="dxa"/>
            <w:noWrap/>
          </w:tcPr>
          <w:p w14:paraId="0ABA7DED" w14:textId="0FAFD796" w:rsidR="00281200" w:rsidRPr="00281200" w:rsidRDefault="00281200" w:rsidP="0028120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81200">
              <w:rPr>
                <w:rFonts w:asciiTheme="minorHAnsi" w:eastAsiaTheme="minorEastAsia" w:hAnsiTheme="minorHAnsi" w:cstheme="minorBidi"/>
                <w:color w:val="000000"/>
              </w:rPr>
              <w:t>$0.</w:t>
            </w:r>
            <w:r w:rsidR="00FA3379">
              <w:rPr>
                <w:rFonts w:asciiTheme="minorHAnsi" w:eastAsiaTheme="minorEastAsia" w:hAnsiTheme="minorHAnsi" w:cstheme="minorBidi"/>
                <w:color w:val="000000"/>
              </w:rPr>
              <w:t>680</w:t>
            </w:r>
          </w:p>
        </w:tc>
        <w:tc>
          <w:tcPr>
            <w:tcW w:w="2347" w:type="dxa"/>
            <w:noWrap/>
          </w:tcPr>
          <w:p w14:paraId="2F7D99AE" w14:textId="7E22C3F6" w:rsidR="00281200" w:rsidRPr="00281200" w:rsidRDefault="00281200" w:rsidP="0028120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81200">
              <w:rPr>
                <w:rFonts w:asciiTheme="minorHAnsi" w:eastAsiaTheme="minorEastAsia" w:hAnsiTheme="minorHAnsi" w:cstheme="minorBidi"/>
                <w:color w:val="000000"/>
              </w:rPr>
              <w:t>$1.</w:t>
            </w:r>
            <w:r w:rsidR="00FA3379">
              <w:rPr>
                <w:rFonts w:asciiTheme="minorHAnsi" w:eastAsiaTheme="minorEastAsia" w:hAnsiTheme="minorHAnsi" w:cstheme="minorBidi"/>
                <w:color w:val="000000"/>
              </w:rPr>
              <w:t>697</w:t>
            </w:r>
          </w:p>
        </w:tc>
      </w:tr>
    </w:tbl>
    <w:p w14:paraId="72982A21" w14:textId="40E1B573" w:rsidR="005D45FD" w:rsidRDefault="005D45FD" w:rsidP="00281200">
      <w:pPr>
        <w:spacing w:before="0"/>
        <w:jc w:val="center"/>
      </w:pPr>
    </w:p>
    <w:p w14:paraId="4FFE9641" w14:textId="6D9BAEC5" w:rsidR="00DD6C5C" w:rsidRPr="00DD6C5C" w:rsidRDefault="002F7AB5" w:rsidP="00046323">
      <w:pPr>
        <w:spacing w:before="0"/>
      </w:pPr>
      <w:r>
        <w:t>In addition to the t</w:t>
      </w:r>
      <w:r w:rsidR="003925BB">
        <w:t>ransportation rates</w:t>
      </w:r>
      <w:r w:rsidR="00325A5D">
        <w:t xml:space="preserve">, the natural gas price </w:t>
      </w:r>
      <w:r w:rsidR="00BD3FDF">
        <w:t xml:space="preserve">forecast includes </w:t>
      </w:r>
      <w:r w:rsidR="006B2843">
        <w:t>adjustment</w:t>
      </w:r>
      <w:r w:rsidR="006E51B1">
        <w:t xml:space="preserve">s </w:t>
      </w:r>
      <w:r w:rsidR="00325A5D">
        <w:t xml:space="preserve">for </w:t>
      </w:r>
      <w:r w:rsidR="00471004">
        <w:t>franchise fees and hedging costs</w:t>
      </w:r>
      <w:r w:rsidR="008565B2">
        <w:t xml:space="preserve">. </w:t>
      </w:r>
      <w:r w:rsidR="0036156C">
        <w:t xml:space="preserve">The hedging cost is </w:t>
      </w:r>
      <w:r w:rsidR="007D1CF2">
        <w:t>$0.082/</w:t>
      </w:r>
      <w:r w:rsidR="007361A6">
        <w:t>MMBTU</w:t>
      </w:r>
      <w:r w:rsidR="007D1CF2">
        <w:t>, from D.04-06-015 (p.</w:t>
      </w:r>
      <w:r w:rsidR="00120C40">
        <w:t xml:space="preserve"> </w:t>
      </w:r>
      <w:r w:rsidR="007D1CF2">
        <w:t>26)</w:t>
      </w:r>
      <w:r w:rsidR="008565B2">
        <w:t xml:space="preserve">. </w:t>
      </w:r>
      <w:r w:rsidR="00FF1C40">
        <w:t>The franchise fee is calculated a</w:t>
      </w:r>
      <w:r w:rsidR="00245B89">
        <w:t xml:space="preserve">s the average of the </w:t>
      </w:r>
      <w:r w:rsidR="00D216FA">
        <w:t>SoCal</w:t>
      </w:r>
      <w:r w:rsidR="00127448">
        <w:t xml:space="preserve"> Border and PG&amp;E </w:t>
      </w:r>
      <w:r w:rsidR="00833E23">
        <w:t>Citygate</w:t>
      </w:r>
      <w:r w:rsidR="00127448">
        <w:t xml:space="preserve"> </w:t>
      </w:r>
      <w:r w:rsidR="00B0231D">
        <w:t xml:space="preserve">forecasts </w:t>
      </w:r>
      <w:r w:rsidR="00184A03">
        <w:t xml:space="preserve">multiplied by </w:t>
      </w:r>
      <w:r w:rsidR="008F0FF9">
        <w:t>1.18%</w:t>
      </w:r>
      <w:r w:rsidR="007361A6">
        <w:t>.</w:t>
      </w:r>
      <w:r w:rsidR="007361A6">
        <w:rPr>
          <w:rStyle w:val="FootnoteReference"/>
        </w:rPr>
        <w:footnoteReference w:id="7"/>
      </w:r>
    </w:p>
    <w:p w14:paraId="23DC31E1" w14:textId="77777777" w:rsidR="005F3B80" w:rsidRDefault="005F3B80" w:rsidP="008A6BDD">
      <w:pPr>
        <w:pStyle w:val="Heading2"/>
      </w:pPr>
      <w:bookmarkStart w:id="43" w:name="_Toc12445837"/>
      <w:r>
        <w:t xml:space="preserve">Generation </w:t>
      </w:r>
      <w:r w:rsidR="00CC5EF2">
        <w:t>Energy</w:t>
      </w:r>
      <w:bookmarkEnd w:id="43"/>
    </w:p>
    <w:p w14:paraId="517251EA" w14:textId="2F6352B1" w:rsidR="005F3B80" w:rsidRPr="005F3B80" w:rsidRDefault="004D1CFA" w:rsidP="005F3B80">
      <w:r>
        <w:t xml:space="preserve">The </w:t>
      </w:r>
      <w:r w:rsidR="00C9731C">
        <w:t xml:space="preserve">avoided cost </w:t>
      </w:r>
      <w:r>
        <w:t>methodology starts with market prices that include CO</w:t>
      </w:r>
      <w:r w:rsidRPr="00E71A17">
        <w:rPr>
          <w:vertAlign w:val="subscript"/>
        </w:rPr>
        <w:t>2</w:t>
      </w:r>
      <w:r>
        <w:t xml:space="preserve"> costs, and decomposes the market price into an energy component and a CO</w:t>
      </w:r>
      <w:r w:rsidRPr="00E71A17">
        <w:rPr>
          <w:vertAlign w:val="subscript"/>
        </w:rPr>
        <w:t>2</w:t>
      </w:r>
      <w:r>
        <w:t xml:space="preserve"> component based on the </w:t>
      </w:r>
      <w:r w:rsidR="00DB268A">
        <w:t xml:space="preserve">most recent </w:t>
      </w:r>
      <w:r>
        <w:t>IEPR CO</w:t>
      </w:r>
      <w:r w:rsidRPr="00E71A17">
        <w:rPr>
          <w:vertAlign w:val="subscript"/>
        </w:rPr>
        <w:t>2</w:t>
      </w:r>
      <w:r>
        <w:t xml:space="preserve"> prices and the </w:t>
      </w:r>
      <w:r w:rsidR="00044C5A">
        <w:t>implied</w:t>
      </w:r>
      <w:r>
        <w:t xml:space="preserve"> market heat rates</w:t>
      </w:r>
      <w:r w:rsidR="005C385F">
        <w:t xml:space="preserve">. </w:t>
      </w:r>
      <w:r w:rsidR="004074FF">
        <w:t>The market prices are also adjusted by projected changes in the daily profile of market prices due to increased penetration of solar resources</w:t>
      </w:r>
      <w:r w:rsidR="00803C1D">
        <w:t xml:space="preserve"> on the system</w:t>
      </w:r>
      <w:r w:rsidR="005C385F">
        <w:t xml:space="preserve">. </w:t>
      </w:r>
    </w:p>
    <w:p w14:paraId="6DEAE29C" w14:textId="0DC8BBC3" w:rsidR="0007763F" w:rsidRPr="00C62D91" w:rsidRDefault="004B417D" w:rsidP="0007763F">
      <w:pPr>
        <w:numPr>
          <w:ilvl w:val="0"/>
          <w:numId w:val="9"/>
        </w:numPr>
      </w:pPr>
      <w:r>
        <w:t>Capital costs</w:t>
      </w:r>
      <w:r w:rsidR="00F7796B">
        <w:t xml:space="preserve"> </w:t>
      </w:r>
      <w:r w:rsidR="00E754D2">
        <w:t xml:space="preserve">and performance information </w:t>
      </w:r>
      <w:r>
        <w:t xml:space="preserve">for a </w:t>
      </w:r>
      <w:r w:rsidR="00371BBC">
        <w:t>combustion turbine (</w:t>
      </w:r>
      <w:r>
        <w:t>CT</w:t>
      </w:r>
      <w:r w:rsidR="00371BBC">
        <w:t>)</w:t>
      </w:r>
      <w:r>
        <w:t xml:space="preserve"> </w:t>
      </w:r>
      <w:r w:rsidR="00F7796B">
        <w:t>and</w:t>
      </w:r>
      <w:r w:rsidR="00371BBC">
        <w:t xml:space="preserve"> combined cycle gas turbine</w:t>
      </w:r>
      <w:r w:rsidR="00F7796B">
        <w:t xml:space="preserve"> </w:t>
      </w:r>
      <w:r w:rsidR="00371BBC">
        <w:t>(</w:t>
      </w:r>
      <w:r w:rsidR="00F7796B">
        <w:t>CCGT</w:t>
      </w:r>
      <w:r w:rsidR="00371BBC">
        <w:t>)</w:t>
      </w:r>
      <w:r w:rsidR="00F7796B">
        <w:t xml:space="preserve"> are from the 2017 I</w:t>
      </w:r>
      <w:r w:rsidR="00DE0011">
        <w:t>R</w:t>
      </w:r>
      <w:r w:rsidR="00F7796B">
        <w:t>P assumptions</w:t>
      </w:r>
      <w:r w:rsidR="005C385F">
        <w:t xml:space="preserve">. </w:t>
      </w:r>
      <w:r w:rsidR="00F7796B" w:rsidRPr="00C62D91">
        <w:t>As with the prior avoided cost update, a book life of 20 years is assumed for both the CT and CCGT</w:t>
      </w:r>
      <w:r w:rsidR="005C385F">
        <w:t xml:space="preserve">. </w:t>
      </w:r>
      <w:r w:rsidR="00A52C6A">
        <w:t xml:space="preserve">In the 2019 ACC, </w:t>
      </w:r>
      <w:r w:rsidR="00A52C6A">
        <w:lastRenderedPageBreak/>
        <w:t>f</w:t>
      </w:r>
      <w:r w:rsidR="00F7796B">
        <w:t xml:space="preserve">inancing assumptions have </w:t>
      </w:r>
      <w:r w:rsidR="00A52C6A">
        <w:t xml:space="preserve">been updated </w:t>
      </w:r>
      <w:r w:rsidR="004E2A9E">
        <w:t xml:space="preserve">based on the </w:t>
      </w:r>
      <w:r w:rsidR="00E521AA" w:rsidRPr="00E521AA">
        <w:t>CEC</w:t>
      </w:r>
      <w:r w:rsidR="00E521AA">
        <w:t xml:space="preserve">’s </w:t>
      </w:r>
      <w:r w:rsidR="00E521AA" w:rsidRPr="001A0DD1">
        <w:rPr>
          <w:i/>
        </w:rPr>
        <w:t>Estimated Cost of New Utility-Scale Generation in California: 2018 Update</w:t>
      </w:r>
      <w:r w:rsidR="00E521AA" w:rsidRPr="001A0DD1">
        <w:t>.</w:t>
      </w:r>
    </w:p>
    <w:p w14:paraId="7D93D2AD" w14:textId="1495CAD2" w:rsidR="0007763F" w:rsidRPr="00C62D91" w:rsidRDefault="0007763F" w:rsidP="00E754D2">
      <w:pPr>
        <w:numPr>
          <w:ilvl w:val="0"/>
          <w:numId w:val="9"/>
        </w:numPr>
      </w:pPr>
      <w:r w:rsidRPr="00C62D91">
        <w:t xml:space="preserve">The </w:t>
      </w:r>
      <w:r w:rsidR="008B44B8">
        <w:t>day-ahead</w:t>
      </w:r>
      <w:r w:rsidR="46B53AD0" w:rsidRPr="00C62D91">
        <w:t xml:space="preserve"> market price shapes are updated using </w:t>
      </w:r>
      <w:r w:rsidR="003033A3">
        <w:t xml:space="preserve">2018 </w:t>
      </w:r>
      <w:r w:rsidR="7E3A6006" w:rsidRPr="00C62D91">
        <w:t xml:space="preserve">day-ahead hourly price data </w:t>
      </w:r>
      <w:r w:rsidR="005B34C5">
        <w:t xml:space="preserve">taken directly from the CAISO OASIS </w:t>
      </w:r>
      <w:r w:rsidR="00575669">
        <w:t>database</w:t>
      </w:r>
      <w:r w:rsidR="5AD56FFE" w:rsidRPr="00C62D91">
        <w:t xml:space="preserve">. </w:t>
      </w:r>
      <w:r w:rsidR="2BCC55FA" w:rsidRPr="00C62D91">
        <w:t xml:space="preserve">The real-time market price shapes </w:t>
      </w:r>
      <w:r w:rsidR="005B34C5">
        <w:t xml:space="preserve">(also from CAISO OASIS) </w:t>
      </w:r>
      <w:r w:rsidR="2BCC55FA" w:rsidRPr="00C62D91">
        <w:t xml:space="preserve">are </w:t>
      </w:r>
      <w:r w:rsidR="003A7F90">
        <w:t>also updated using 2018 prices</w:t>
      </w:r>
      <w:r w:rsidR="00260E6F">
        <w:t>,</w:t>
      </w:r>
      <w:r w:rsidR="003A7F90">
        <w:t xml:space="preserve"> average</w:t>
      </w:r>
      <w:r w:rsidR="00841CA7">
        <w:t>d</w:t>
      </w:r>
      <w:r w:rsidR="003A7F90">
        <w:t xml:space="preserve"> </w:t>
      </w:r>
      <w:r w:rsidR="007241EC">
        <w:t>across the twelve 5-minute intervals in each hour</w:t>
      </w:r>
      <w:r w:rsidR="0E316727" w:rsidRPr="00C62D91">
        <w:t>.</w:t>
      </w:r>
      <w:r w:rsidR="00356390" w:rsidRPr="00C62D91">
        <w:t xml:space="preserve"> </w:t>
      </w:r>
    </w:p>
    <w:p w14:paraId="7DE7C238" w14:textId="42A088BA" w:rsidR="00F214CF" w:rsidRPr="00C62D91" w:rsidRDefault="00F214CF" w:rsidP="00F214CF">
      <w:pPr>
        <w:pStyle w:val="Heading3"/>
      </w:pPr>
      <w:bookmarkStart w:id="44" w:name="_Toc12445838"/>
      <w:r w:rsidRPr="00C62D91">
        <w:t xml:space="preserve">Determination of </w:t>
      </w:r>
      <w:r w:rsidR="00EA4F73" w:rsidRPr="00C62D91">
        <w:t>e</w:t>
      </w:r>
      <w:r w:rsidRPr="00C62D91">
        <w:t xml:space="preserve">nergy </w:t>
      </w:r>
      <w:r w:rsidR="00EA4F73" w:rsidRPr="00C62D91">
        <w:t>m</w:t>
      </w:r>
      <w:r w:rsidRPr="00C62D91">
        <w:t xml:space="preserve">arket </w:t>
      </w:r>
      <w:r w:rsidR="00EA4F73" w:rsidRPr="00C62D91">
        <w:t>v</w:t>
      </w:r>
      <w:r w:rsidRPr="00C62D91">
        <w:t>alues</w:t>
      </w:r>
      <w:bookmarkEnd w:id="44"/>
    </w:p>
    <w:p w14:paraId="3F12E42B" w14:textId="57DB9951" w:rsidR="00F214CF" w:rsidRDefault="0007763F" w:rsidP="00F214CF">
      <w:r w:rsidRPr="00C62D91">
        <w:t>The</w:t>
      </w:r>
      <w:r w:rsidR="00F214CF" w:rsidRPr="00C62D91">
        <w:t xml:space="preserve"> average energy</w:t>
      </w:r>
      <w:r w:rsidR="00F214CF">
        <w:t xml:space="preserve"> cost </w:t>
      </w:r>
      <w:r>
        <w:t xml:space="preserve">in the near term </w:t>
      </w:r>
      <w:r w:rsidR="00F214CF">
        <w:t xml:space="preserve">is based on </w:t>
      </w:r>
      <w:r w:rsidR="00F214CF" w:rsidRPr="00F7796B">
        <w:t xml:space="preserve">the </w:t>
      </w:r>
      <w:r w:rsidR="00045E93" w:rsidRPr="00B76B06">
        <w:t>latest 22 trading day average</w:t>
      </w:r>
      <w:r w:rsidR="001A3909">
        <w:t xml:space="preserve"> on-peak and off-peak </w:t>
      </w:r>
      <w:r w:rsidR="00F214CF">
        <w:t>market price forecast</w:t>
      </w:r>
      <w:r w:rsidR="001A3909">
        <w:t>s for NP-15 and SP-15</w:t>
      </w:r>
      <w:r w:rsidR="006E704E">
        <w:t xml:space="preserve">, </w:t>
      </w:r>
      <w:r w:rsidR="006E7455">
        <w:t xml:space="preserve">which are then </w:t>
      </w:r>
      <w:r w:rsidR="006E704E">
        <w:t>averaged to calculate the system value</w:t>
      </w:r>
      <w:r w:rsidR="001A3909" w:rsidRPr="0B29B844">
        <w:t xml:space="preserve"> </w:t>
      </w:r>
      <w:r w:rsidR="00F214CF" w:rsidRPr="008A6BDD">
        <w:t xml:space="preserve">(available through </w:t>
      </w:r>
      <w:r w:rsidR="00307FEE" w:rsidRPr="008A6BDD">
        <w:t>202</w:t>
      </w:r>
      <w:r w:rsidR="00307FEE">
        <w:t>5</w:t>
      </w:r>
      <w:r w:rsidR="00307FEE" w:rsidRPr="008A6BDD">
        <w:t xml:space="preserve"> </w:t>
      </w:r>
      <w:r w:rsidR="00F214CF" w:rsidRPr="008A6BDD">
        <w:t xml:space="preserve">for the update in </w:t>
      </w:r>
      <w:r w:rsidR="00307FEE" w:rsidRPr="008A6BDD">
        <w:t>201</w:t>
      </w:r>
      <w:r w:rsidR="00E71A17">
        <w:t>9</w:t>
      </w:r>
      <w:r w:rsidR="00F214CF" w:rsidRPr="008A6BDD">
        <w:t>)</w:t>
      </w:r>
      <w:r w:rsidR="005C385F">
        <w:t xml:space="preserve">. </w:t>
      </w:r>
      <w:r w:rsidR="00F26268">
        <w:t>For the period after the available forward market prices</w:t>
      </w:r>
      <w:r w:rsidR="00F214CF">
        <w:t xml:space="preserve">, the method interpolates between the last available </w:t>
      </w:r>
      <w:r w:rsidR="002B1036">
        <w:t xml:space="preserve">futures </w:t>
      </w:r>
      <w:r w:rsidR="00F214CF">
        <w:t>market price and the long-run energy market price.</w:t>
      </w:r>
    </w:p>
    <w:p w14:paraId="69F6539B" w14:textId="6ACB763E" w:rsidR="0007763F" w:rsidRDefault="00F214CF" w:rsidP="00F214CF">
      <w:r>
        <w:t xml:space="preserve">The annual long-run energy market price is set so that the CCGT’s energy market revenues plus the capacity market payment equal the fixed and variable costs </w:t>
      </w:r>
      <w:r w:rsidR="0007763F">
        <w:t xml:space="preserve">plus carbon costs </w:t>
      </w:r>
      <w:r>
        <w:t>of the CCGT (i.e.</w:t>
      </w:r>
      <w:r w:rsidR="00852A9A">
        <w:t>,</w:t>
      </w:r>
      <w:r>
        <w:t xml:space="preserve"> the CCGT is made whole)</w:t>
      </w:r>
      <w:r w:rsidR="005C385F">
        <w:t xml:space="preserve">. </w:t>
      </w:r>
    </w:p>
    <w:p w14:paraId="52C808FB" w14:textId="171479A6" w:rsidR="00F214CF" w:rsidRDefault="00F214CF" w:rsidP="00F214CF">
      <w:r>
        <w:t xml:space="preserve">The long-run energy market price begins with the </w:t>
      </w:r>
      <w:r w:rsidR="302F6643">
        <w:t xml:space="preserve">implied heat rate in the last year that electricity market forwards are available. This implied heat rate is then </w:t>
      </w:r>
      <w:r w:rsidR="25219DA9">
        <w:t>held constant for all subsequent years. The market energy price i</w:t>
      </w:r>
      <w:r w:rsidR="2A0B41D1">
        <w:t xml:space="preserve">s calculated using the corresponding gas and carbon prices in each subsequent year along with variable O&amp;M costs. </w:t>
      </w:r>
      <w:r>
        <w:t>Th</w:t>
      </w:r>
      <w:r w:rsidR="011804CA">
        <w:t>is market energy</w:t>
      </w:r>
      <w:r>
        <w:t xml:space="preserve"> price is then increased or decreased with an energy market calibration factor so that the CCGT is made whole</w:t>
      </w:r>
      <w:r w:rsidR="005C385F">
        <w:t xml:space="preserve">. </w:t>
      </w:r>
      <w:r>
        <w:t>The energy market calibration factor is applied to both 1) the real-time market prices used to determine CT energy revenues and the value of capacity, and 2) the day-ahead energy market used to determine CCGT energy revenues</w:t>
      </w:r>
      <w:r w:rsidR="005C385F">
        <w:t xml:space="preserve">. </w:t>
      </w:r>
      <w:r>
        <w:t>This creates a feedback effect between the energy and capacity avoided costs</w:t>
      </w:r>
      <w:r w:rsidR="005C385F">
        <w:t xml:space="preserve">. </w:t>
      </w:r>
      <w:r>
        <w:t>The feedback effect is illustrated with the following example.</w:t>
      </w:r>
    </w:p>
    <w:p w14:paraId="5F0D6A56" w14:textId="0938906B" w:rsidR="00F214CF" w:rsidRPr="00A00333" w:rsidRDefault="00F214CF" w:rsidP="00F214CF">
      <w:pPr>
        <w:ind w:left="720"/>
        <w:rPr>
          <w:i/>
        </w:rPr>
      </w:pPr>
      <w:r w:rsidRPr="25ED4B98">
        <w:rPr>
          <w:i/>
          <w:iCs/>
        </w:rPr>
        <w:lastRenderedPageBreak/>
        <w:t>Assume that the CCGT would collect more revenue through the capacity and energy markets than is needed to cover its costs</w:t>
      </w:r>
      <w:r w:rsidR="005C385F">
        <w:rPr>
          <w:i/>
          <w:iCs/>
        </w:rPr>
        <w:t xml:space="preserve">. </w:t>
      </w:r>
      <w:r w:rsidRPr="25ED4B98">
        <w:rPr>
          <w:i/>
          <w:iCs/>
        </w:rPr>
        <w:t>The methodology decreases the calibration factor to decrease the day-ahead energy market prices and market revenues to make the CCGT whole</w:t>
      </w:r>
      <w:r w:rsidR="005C385F">
        <w:rPr>
          <w:i/>
          <w:iCs/>
        </w:rPr>
        <w:t xml:space="preserve">. </w:t>
      </w:r>
      <w:r w:rsidRPr="25ED4B98">
        <w:rPr>
          <w:i/>
          <w:iCs/>
        </w:rPr>
        <w:t>To keep the real-time and day-ahead markets in sync, the methodology also would decrease the real-time energy market prices by the calibration factor</w:t>
      </w:r>
      <w:r w:rsidR="005C385F">
        <w:rPr>
          <w:i/>
          <w:iCs/>
        </w:rPr>
        <w:t xml:space="preserve">. </w:t>
      </w:r>
      <w:r w:rsidRPr="25ED4B98">
        <w:rPr>
          <w:i/>
          <w:iCs/>
        </w:rPr>
        <w:t xml:space="preserve">The decrease in real-time energy market prices would result in lower net revenues for a CT, and therefore raise the value of capacity (as higher capacity payment revenue is needed to incent a new CT to </w:t>
      </w:r>
      <w:r w:rsidR="00F41513">
        <w:rPr>
          <w:i/>
          <w:iCs/>
        </w:rPr>
        <w:t xml:space="preserve">be </w:t>
      </w:r>
      <w:r w:rsidRPr="25ED4B98">
        <w:rPr>
          <w:i/>
          <w:iCs/>
        </w:rPr>
        <w:t>buil</w:t>
      </w:r>
      <w:r w:rsidR="00F41513">
        <w:rPr>
          <w:i/>
          <w:iCs/>
        </w:rPr>
        <w:t>t</w:t>
      </w:r>
      <w:r w:rsidRPr="25ED4B98">
        <w:rPr>
          <w:i/>
          <w:iCs/>
        </w:rPr>
        <w:t>)</w:t>
      </w:r>
      <w:r w:rsidR="005C385F">
        <w:rPr>
          <w:i/>
          <w:iCs/>
        </w:rPr>
        <w:t xml:space="preserve">. </w:t>
      </w:r>
      <w:r w:rsidRPr="25ED4B98">
        <w:rPr>
          <w:i/>
          <w:iCs/>
        </w:rPr>
        <w:t>When we re-e</w:t>
      </w:r>
      <w:r w:rsidRPr="00C97CE1">
        <w:rPr>
          <w:i/>
          <w:iCs/>
        </w:rPr>
        <w:t>xamine the CCGT, the raised value of capacity results in the CCGT collecting excess revenues, so the calibration factor needs to be decreased more, and the process repeats</w:t>
      </w:r>
      <w:r w:rsidR="00D216FA">
        <w:rPr>
          <w:i/>
          <w:iCs/>
        </w:rPr>
        <w:t>.</w:t>
      </w:r>
      <w:r w:rsidRPr="25ED4B98">
        <w:rPr>
          <w:rStyle w:val="FootnoteReference"/>
          <w:i/>
          <w:iCs/>
        </w:rPr>
        <w:footnoteReference w:id="8"/>
      </w:r>
    </w:p>
    <w:p w14:paraId="405B844E" w14:textId="30B1E3C2" w:rsidR="00D84A9D" w:rsidRPr="00DD780C" w:rsidRDefault="00F214CF" w:rsidP="00DD780C">
      <w:pPr>
        <w:pStyle w:val="Caption"/>
        <w:keepLines w:val="0"/>
        <w:rPr>
          <w:b w:val="0"/>
          <w:bCs w:val="0"/>
          <w:noProof/>
        </w:rPr>
      </w:pPr>
      <w:r w:rsidRPr="485CB662">
        <w:lastRenderedPageBreak/>
        <w:t xml:space="preserve">Figure </w:t>
      </w:r>
      <w:r w:rsidR="00D22C95">
        <w:rPr>
          <w:noProof/>
        </w:rPr>
        <w:fldChar w:fldCharType="begin"/>
      </w:r>
      <w:r w:rsidR="00D22C95">
        <w:rPr>
          <w:noProof/>
        </w:rPr>
        <w:instrText xml:space="preserve"> SEQ Figure \* ARABIC </w:instrText>
      </w:r>
      <w:r w:rsidR="00D22C95">
        <w:rPr>
          <w:noProof/>
        </w:rPr>
        <w:fldChar w:fldCharType="separate"/>
      </w:r>
      <w:r w:rsidR="0097492A">
        <w:rPr>
          <w:noProof/>
        </w:rPr>
        <w:t>14</w:t>
      </w:r>
      <w:r w:rsidR="00D22C95">
        <w:rPr>
          <w:noProof/>
        </w:rPr>
        <w:fldChar w:fldCharType="end"/>
      </w:r>
      <w:r w:rsidRPr="485CB662">
        <w:t>:  Annual Average Energy Avoided Costs</w:t>
      </w:r>
      <w:r>
        <w:rPr>
          <w:b w:val="0"/>
          <w:bCs w:val="0"/>
        </w:rPr>
        <w:t xml:space="preserve"> </w:t>
      </w:r>
    </w:p>
    <w:p w14:paraId="6C1CD423" w14:textId="65808151" w:rsidR="00DD780C" w:rsidRPr="00EF5886" w:rsidRDefault="00DD780C" w:rsidP="00D84A9D">
      <w:pPr>
        <w:jc w:val="center"/>
      </w:pPr>
      <w:r>
        <w:rPr>
          <w:noProof/>
        </w:rPr>
        <w:drawing>
          <wp:inline distT="0" distB="0" distL="0" distR="0" wp14:anchorId="50F42542" wp14:editId="0F6A87DB">
            <wp:extent cx="5848350" cy="251473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2805" cy="2520946"/>
                    </a:xfrm>
                    <a:prstGeom prst="rect">
                      <a:avLst/>
                    </a:prstGeom>
                    <a:noFill/>
                  </pic:spPr>
                </pic:pic>
              </a:graphicData>
            </a:graphic>
          </wp:inline>
        </w:drawing>
      </w:r>
    </w:p>
    <w:p w14:paraId="78195550" w14:textId="18C226A6" w:rsidR="00F214CF" w:rsidRDefault="00F214CF" w:rsidP="0083579C">
      <w:pPr>
        <w:pStyle w:val="Heading3"/>
      </w:pPr>
      <w:bookmarkStart w:id="45" w:name="_Toc12445839"/>
      <w:r>
        <w:t xml:space="preserve">Hourly </w:t>
      </w:r>
      <w:r w:rsidR="00371BBC">
        <w:t>Allocation</w:t>
      </w:r>
      <w:r>
        <w:t xml:space="preserve"> of Energy Costs</w:t>
      </w:r>
      <w:bookmarkEnd w:id="45"/>
    </w:p>
    <w:p w14:paraId="081CE58C" w14:textId="42DDECC1" w:rsidR="00311B77" w:rsidRDefault="005927B2" w:rsidP="00F214CF">
      <w:r>
        <w:t>The</w:t>
      </w:r>
      <w:r w:rsidR="00F214CF">
        <w:t xml:space="preserve"> annual energy avoided costs are converted to hourly values by multiplying the annual value by 8760 hourly market shapes</w:t>
      </w:r>
      <w:r w:rsidR="005C385F">
        <w:t xml:space="preserve">. </w:t>
      </w:r>
      <w:r>
        <w:t xml:space="preserve">The </w:t>
      </w:r>
      <w:r w:rsidR="00F214CF">
        <w:t xml:space="preserve">hourly shape is derived from </w:t>
      </w:r>
      <w:r w:rsidR="00FB7FDD">
        <w:t xml:space="preserve">2018 </w:t>
      </w:r>
      <w:r w:rsidR="00F214CF">
        <w:t>day-ahead</w:t>
      </w:r>
      <w:r w:rsidR="00245402">
        <w:t xml:space="preserve"> locational marginal prices (</w:t>
      </w:r>
      <w:r w:rsidR="00F214CF">
        <w:t>LMPs</w:t>
      </w:r>
      <w:r w:rsidR="00245402">
        <w:t>)</w:t>
      </w:r>
      <w:r w:rsidR="00F214CF">
        <w:t xml:space="preserve"> at </w:t>
      </w:r>
      <w:r w:rsidR="00795BDE">
        <w:t xml:space="preserve">NP-15 and SP-15, </w:t>
      </w:r>
      <w:r w:rsidR="00F214CF">
        <w:t xml:space="preserve">load-aggregation points in </w:t>
      </w:r>
      <w:r w:rsidR="00245402">
        <w:t>N</w:t>
      </w:r>
      <w:r w:rsidR="00F214CF">
        <w:t xml:space="preserve">orthern and </w:t>
      </w:r>
      <w:r w:rsidR="00245402">
        <w:t>S</w:t>
      </w:r>
      <w:r w:rsidR="00F214CF">
        <w:t>outhern California</w:t>
      </w:r>
      <w:r w:rsidR="00795BDE">
        <w:t>, respectively,</w:t>
      </w:r>
      <w:r w:rsidR="00F214CF">
        <w:t xml:space="preserve"> obtained </w:t>
      </w:r>
      <w:r w:rsidR="00FB7FDD">
        <w:t xml:space="preserve">directly </w:t>
      </w:r>
      <w:r w:rsidR="00F214CF">
        <w:t xml:space="preserve">from the </w:t>
      </w:r>
      <w:r w:rsidR="00FB7FDD">
        <w:t>CAISO OASIS database</w:t>
      </w:r>
      <w:r w:rsidR="00F214CF" w:rsidRPr="00F7796B">
        <w:t>.</w:t>
      </w:r>
      <w:r w:rsidR="00F214CF">
        <w:t xml:space="preserve"> </w:t>
      </w:r>
      <w:r w:rsidR="001C3D63">
        <w:t>To</w:t>
      </w:r>
      <w:r w:rsidR="00F214CF">
        <w:t xml:space="preserve"> account for the effects of historical volatility in the spot market for natural gas, the hourly market prices are adjusted by the average daily gas price in California</w:t>
      </w:r>
      <w:r w:rsidR="7B87B3F9">
        <w:t>, the cost of carbon, and variable O&amp;M</w:t>
      </w:r>
      <w:r w:rsidR="00F214CF" w:rsidRPr="06E2600E">
        <w:t xml:space="preserve">. </w:t>
      </w:r>
      <w:r w:rsidR="006B6DB5">
        <w:t xml:space="preserve">The resulting hourly </w:t>
      </w:r>
      <w:r w:rsidR="00512634">
        <w:t>implied heat</w:t>
      </w:r>
      <w:r w:rsidR="006B6DB5">
        <w:t xml:space="preserve"> rates are then adjusted for forecasted changes in </w:t>
      </w:r>
      <w:r w:rsidR="003D6B24">
        <w:t xml:space="preserve">market clearing heat rates based on the RPS Calculator </w:t>
      </w:r>
      <w:r w:rsidR="004C38BE">
        <w:t xml:space="preserve">used in 2017 </w:t>
      </w:r>
      <w:r w:rsidR="002A38F3">
        <w:t xml:space="preserve">updated with a renewable build consistent with the CPUC 2017 IRP modeling </w:t>
      </w:r>
      <w:r w:rsidR="004C38BE">
        <w:t xml:space="preserve">that was used to determine the GHG adder </w:t>
      </w:r>
      <w:r w:rsidR="005C2E3E">
        <w:t>(</w:t>
      </w:r>
      <w:bookmarkStart w:id="46" w:name="_Hlk513819437"/>
      <w:r w:rsidR="005C2E3E">
        <w:t>RPSCalculator</w:t>
      </w:r>
      <w:bookmarkEnd w:id="46"/>
      <w:r w:rsidR="002A38F3">
        <w:t>IRP</w:t>
      </w:r>
      <w:r w:rsidR="005C2E3E">
        <w:t>.xlsm</w:t>
      </w:r>
      <w:r w:rsidR="0048482A">
        <w:rPr>
          <w:rStyle w:val="FootnoteReference"/>
        </w:rPr>
        <w:footnoteReference w:id="9"/>
      </w:r>
      <w:r w:rsidR="005C2E3E">
        <w:t>)</w:t>
      </w:r>
      <w:r w:rsidR="005C385F">
        <w:t xml:space="preserve">. </w:t>
      </w:r>
      <w:r w:rsidR="005C2E3E">
        <w:t xml:space="preserve">The RPS calculator estimated monthly average prices by hour </w:t>
      </w:r>
      <w:r w:rsidR="004D68D1">
        <w:t>of the day (1-24)</w:t>
      </w:r>
      <w:r w:rsidR="00097618">
        <w:t xml:space="preserve"> through 2046</w:t>
      </w:r>
      <w:r w:rsidR="004D68D1">
        <w:t xml:space="preserve">, and the changes in the marginal heat rates </w:t>
      </w:r>
      <w:r w:rsidR="00097618">
        <w:t xml:space="preserve">relative to the base year </w:t>
      </w:r>
      <w:r w:rsidR="00097618">
        <w:lastRenderedPageBreak/>
        <w:t xml:space="preserve">(2017) </w:t>
      </w:r>
      <w:r w:rsidR="004D68D1">
        <w:t xml:space="preserve">are </w:t>
      </w:r>
      <w:r w:rsidR="002424AB">
        <w:t xml:space="preserve">added to or subtracted from the </w:t>
      </w:r>
      <w:r w:rsidR="00044C5A">
        <w:t>implied</w:t>
      </w:r>
      <w:r w:rsidR="009D4A1C">
        <w:t xml:space="preserve"> 201</w:t>
      </w:r>
      <w:r w:rsidR="00FB7FDD">
        <w:t>8</w:t>
      </w:r>
      <w:r w:rsidR="009D4A1C">
        <w:t xml:space="preserve"> heat rates to reflect expected changes in market price profiles.</w:t>
      </w:r>
    </w:p>
    <w:p w14:paraId="7EEACC6E" w14:textId="698400BB" w:rsidR="00F214CF" w:rsidRDefault="00F214CF" w:rsidP="00F214CF">
      <w:r w:rsidRPr="008A6BDD">
        <w:t>The resulting hourly market heat rate curve is integrated into the avoided cost calculator, where, in combination with a monthly natural gas price forecast,</w:t>
      </w:r>
      <w:r w:rsidR="7B87B3F9" w:rsidRPr="008A6BDD">
        <w:t xml:space="preserve"> fore</w:t>
      </w:r>
      <w:r w:rsidR="10D2FEA0" w:rsidRPr="008A6BDD">
        <w:t>casted carbon prices, and variable O&amp;M</w:t>
      </w:r>
      <w:r w:rsidR="7B87B3F9" w:rsidRPr="008A6BDD">
        <w:t>,</w:t>
      </w:r>
      <w:r w:rsidRPr="008A6BDD">
        <w:t xml:space="preserve"> it yields an hourly shape for wholesale market energy prices in California.</w:t>
      </w:r>
    </w:p>
    <w:p w14:paraId="10B1873C" w14:textId="467504CA" w:rsidR="00F214CF" w:rsidRDefault="00F214CF" w:rsidP="00F214CF">
      <w:r>
        <w:t xml:space="preserve">Total energy avoided costs are shown </w:t>
      </w:r>
      <w:r w:rsidR="008A562A">
        <w:t xml:space="preserve">in </w:t>
      </w:r>
      <w:r w:rsidR="008A562A">
        <w:fldChar w:fldCharType="begin"/>
      </w:r>
      <w:r w:rsidR="008A562A">
        <w:instrText xml:space="preserve"> REF _Ref315352285 \h </w:instrText>
      </w:r>
      <w:r w:rsidR="008A562A">
        <w:fldChar w:fldCharType="separate"/>
      </w:r>
      <w:r w:rsidR="0097492A" w:rsidRPr="71D322B1">
        <w:t xml:space="preserve">Figure </w:t>
      </w:r>
      <w:r w:rsidR="0097492A">
        <w:rPr>
          <w:noProof/>
        </w:rPr>
        <w:t>15</w:t>
      </w:r>
      <w:r w:rsidR="008A562A">
        <w:fldChar w:fldCharType="end"/>
      </w:r>
      <w:r w:rsidR="008A562A" w:rsidRPr="71D322B1">
        <w:t xml:space="preserve">. </w:t>
      </w:r>
      <w:r>
        <w:t xml:space="preserve">The </w:t>
      </w:r>
      <w:r w:rsidR="00E65EAE">
        <w:t xml:space="preserve">energy </w:t>
      </w:r>
      <w:r>
        <w:t>avoided costs are shown in descending order</w:t>
      </w:r>
      <w:r w:rsidR="71D322B1">
        <w:t xml:space="preserve"> </w:t>
      </w:r>
      <w:r w:rsidR="00E65EAE">
        <w:t xml:space="preserve">of total avoided costs </w:t>
      </w:r>
      <w:r w:rsidR="71D322B1">
        <w:t>for all 8760 hours of the year</w:t>
      </w:r>
      <w:r w:rsidR="005C385F">
        <w:t xml:space="preserve">. </w:t>
      </w:r>
    </w:p>
    <w:p w14:paraId="117FCE20" w14:textId="04AB2666" w:rsidR="06E2600E" w:rsidRDefault="00F214CF" w:rsidP="000158CA">
      <w:pPr>
        <w:pStyle w:val="Caption"/>
      </w:pPr>
      <w:bookmarkStart w:id="47" w:name="_Ref315352285"/>
      <w:r w:rsidRPr="71D322B1">
        <w:t xml:space="preserve">Figure </w:t>
      </w:r>
      <w:r w:rsidR="00D22C95">
        <w:rPr>
          <w:noProof/>
        </w:rPr>
        <w:fldChar w:fldCharType="begin"/>
      </w:r>
      <w:r w:rsidR="00D22C95">
        <w:rPr>
          <w:noProof/>
        </w:rPr>
        <w:instrText xml:space="preserve"> SEQ Figure \* ARABIC </w:instrText>
      </w:r>
      <w:r w:rsidR="00D22C95">
        <w:rPr>
          <w:noProof/>
        </w:rPr>
        <w:fldChar w:fldCharType="separate"/>
      </w:r>
      <w:r w:rsidR="0097492A">
        <w:rPr>
          <w:noProof/>
        </w:rPr>
        <w:t>15</w:t>
      </w:r>
      <w:r w:rsidR="00D22C95">
        <w:rPr>
          <w:noProof/>
        </w:rPr>
        <w:fldChar w:fldCharType="end"/>
      </w:r>
      <w:bookmarkEnd w:id="47"/>
      <w:r w:rsidRPr="71D322B1">
        <w:t xml:space="preserve">:  Hourly </w:t>
      </w:r>
      <w:r w:rsidR="71D322B1" w:rsidRPr="71D322B1">
        <w:t>Energy</w:t>
      </w:r>
      <w:r w:rsidRPr="71D322B1">
        <w:t xml:space="preserve"> Avoided Costs for </w:t>
      </w:r>
      <w:r w:rsidR="00E65EAE" w:rsidRPr="71D322B1">
        <w:t>201</w:t>
      </w:r>
      <w:r w:rsidR="00FB7FDD">
        <w:t>9</w:t>
      </w:r>
    </w:p>
    <w:p w14:paraId="75C8453F" w14:textId="657B3A2A" w:rsidR="00DD780C" w:rsidRDefault="00DD780C" w:rsidP="00DD780C">
      <w:pPr>
        <w:jc w:val="center"/>
      </w:pPr>
      <w:r>
        <w:rPr>
          <w:noProof/>
        </w:rPr>
        <w:drawing>
          <wp:inline distT="0" distB="0" distL="0" distR="0" wp14:anchorId="172C7E1B" wp14:editId="24A5CF45">
            <wp:extent cx="5875553" cy="3409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7291" cy="3434173"/>
                    </a:xfrm>
                    <a:prstGeom prst="rect">
                      <a:avLst/>
                    </a:prstGeom>
                    <a:noFill/>
                  </pic:spPr>
                </pic:pic>
              </a:graphicData>
            </a:graphic>
          </wp:inline>
        </w:drawing>
      </w:r>
    </w:p>
    <w:p w14:paraId="69189DCB" w14:textId="0222339C" w:rsidR="00F139BD" w:rsidRDefault="00CC5EF2" w:rsidP="008A6BDD">
      <w:pPr>
        <w:pStyle w:val="Heading2"/>
      </w:pPr>
      <w:bookmarkStart w:id="48" w:name="_Toc12445840"/>
      <w:r>
        <w:t>Generation Capacity</w:t>
      </w:r>
      <w:bookmarkEnd w:id="48"/>
      <w:r>
        <w:t xml:space="preserve"> </w:t>
      </w:r>
    </w:p>
    <w:p w14:paraId="7522A3D6" w14:textId="6EFB5FFC" w:rsidR="000B0B1C" w:rsidRDefault="000B0B1C" w:rsidP="008A6BDD">
      <w:r>
        <w:t>The long-run generation capacity cost is the levelized capital cost of a new simple cycle CT unit less the margin that the</w:t>
      </w:r>
      <w:r w:rsidRPr="25ED4B98">
        <w:t xml:space="preserve"> </w:t>
      </w:r>
      <w:r>
        <w:t>CT could earn from the energy and ancillary service markets</w:t>
      </w:r>
      <w:r w:rsidR="005C385F">
        <w:t xml:space="preserve">. </w:t>
      </w:r>
      <w:r>
        <w:t>The calculation include</w:t>
      </w:r>
      <w:r w:rsidR="004C6E23">
        <w:t>s</w:t>
      </w:r>
      <w:r>
        <w:t xml:space="preserve"> carbon costs in both the bid prices for the CT and the market prices for energy</w:t>
      </w:r>
      <w:r w:rsidR="005C385F">
        <w:t>.</w:t>
      </w:r>
    </w:p>
    <w:p w14:paraId="10A4DB32" w14:textId="70FF61AD" w:rsidR="000B0B1C" w:rsidRPr="00813981" w:rsidRDefault="00A94233">
      <w:r>
        <w:lastRenderedPageBreak/>
        <w:t>Previously</w:t>
      </w:r>
      <w:r w:rsidR="000B0B1C">
        <w:t xml:space="preserve">, the generation capacity cost has transitioned from a near-term capacity cost based on Resource Adequacy costs, to the long-run capacity </w:t>
      </w:r>
      <w:r>
        <w:t>cost based on the Resource Balan</w:t>
      </w:r>
      <w:r w:rsidR="000B0B1C">
        <w:t xml:space="preserve">ce </w:t>
      </w:r>
      <w:r>
        <w:t>Year</w:t>
      </w:r>
      <w:r w:rsidR="005C385F">
        <w:t xml:space="preserve">. </w:t>
      </w:r>
      <w:r w:rsidR="005B5C9D" w:rsidRPr="005B5C9D">
        <w:t>D.16-06-007 essentially set the Resource Balance Year to zero, which resulted in the use of the long-run capacity cost for all years</w:t>
      </w:r>
      <w:r w:rsidR="005C385F">
        <w:t xml:space="preserve">. </w:t>
      </w:r>
      <w:r w:rsidR="005B5C9D" w:rsidRPr="005B5C9D">
        <w:t>That is the approach taken starting with the 2016 Avoided Cost Calculator update</w:t>
      </w:r>
      <w:r w:rsidR="005C385F">
        <w:t xml:space="preserve">. </w:t>
      </w:r>
    </w:p>
    <w:p w14:paraId="706A7266" w14:textId="77777777" w:rsidR="00563271" w:rsidRDefault="00CC5EF2" w:rsidP="00563271">
      <w:pPr>
        <w:pStyle w:val="Heading3"/>
      </w:pPr>
      <w:bookmarkStart w:id="49" w:name="_Toc12445841"/>
      <w:r w:rsidRPr="078510A7">
        <w:t>Generation resource balance y</w:t>
      </w:r>
      <w:r w:rsidR="00563271" w:rsidRPr="078510A7">
        <w:t>ear</w:t>
      </w:r>
      <w:bookmarkEnd w:id="49"/>
    </w:p>
    <w:p w14:paraId="066360FD" w14:textId="738C92F6" w:rsidR="45640DAA" w:rsidRDefault="00F7796B">
      <w:r>
        <w:t>Consistent with past Decisions on the resource balance year, we assume that the first year of the forecast is the resource balance year</w:t>
      </w:r>
      <w:r w:rsidR="00D216FA">
        <w:t>.</w:t>
      </w:r>
    </w:p>
    <w:p w14:paraId="32BB5EBA" w14:textId="77777777" w:rsidR="00563271" w:rsidRDefault="00CC5EF2" w:rsidP="00563271">
      <w:pPr>
        <w:pStyle w:val="Heading3"/>
      </w:pPr>
      <w:bookmarkStart w:id="50" w:name="_Toc12445842"/>
      <w:r>
        <w:t>CT d</w:t>
      </w:r>
      <w:r w:rsidR="00563271">
        <w:t>ispatch</w:t>
      </w:r>
      <w:bookmarkEnd w:id="50"/>
    </w:p>
    <w:p w14:paraId="592DCAF4" w14:textId="4F9C4280" w:rsidR="0074491A" w:rsidRDefault="004F7BD4" w:rsidP="0074491A">
      <w:r>
        <w:t>To determine the long-run value of capacity, the</w:t>
      </w:r>
      <w:r w:rsidR="00AE63A1" w:rsidRPr="00233ED0">
        <w:t xml:space="preserve"> avoided cost model performs an</w:t>
      </w:r>
      <w:r w:rsidR="00AE63A1">
        <w:t xml:space="preserve"> hourly dispatch of a </w:t>
      </w:r>
      <w:r w:rsidR="00B01953">
        <w:t xml:space="preserve">new </w:t>
      </w:r>
      <w:r w:rsidR="00AE63A1">
        <w:t xml:space="preserve">CT to determine energy market net revenues. </w:t>
      </w:r>
      <w:r w:rsidR="00E606BB" w:rsidDel="008E4349">
        <w:t xml:space="preserve">The CT’s net </w:t>
      </w:r>
      <w:r w:rsidR="00E606BB">
        <w:t>margin is</w:t>
      </w:r>
      <w:r w:rsidR="00E606BB" w:rsidDel="008E4349">
        <w:t xml:space="preserve"> calculated assuming that the unit dispatches at full capacity in each hour that the real-time price exceeds its operating cost (the sum of fuel costs</w:t>
      </w:r>
      <w:r w:rsidR="002522D1" w:rsidRPr="640A206A">
        <w:t xml:space="preserve">, </w:t>
      </w:r>
      <w:r w:rsidR="00E606BB" w:rsidDel="008E4349">
        <w:t>variable O&amp;M</w:t>
      </w:r>
      <w:r w:rsidR="002522D1">
        <w:t>, and carbon costs</w:t>
      </w:r>
      <w:r w:rsidR="00E606BB" w:rsidRPr="640A206A" w:rsidDel="008E4349">
        <w:t>)</w:t>
      </w:r>
      <w:r w:rsidR="005C385F">
        <w:t xml:space="preserve">. </w:t>
      </w:r>
      <w:r w:rsidR="00E606BB">
        <w:t>In each hour that it operates, the unit earns the difference between the market price and its operating costs</w:t>
      </w:r>
      <w:r w:rsidR="000637DE">
        <w:t xml:space="preserve">, plus an </w:t>
      </w:r>
      <w:r w:rsidR="000637DE" w:rsidRPr="00F409D0">
        <w:t>additional 2.74% of the market price for ancillary services</w:t>
      </w:r>
      <w:r w:rsidR="00BF1B22">
        <w:t xml:space="preserve"> (AS)</w:t>
      </w:r>
      <w:r w:rsidR="004D0912">
        <w:t>.</w:t>
      </w:r>
      <w:r w:rsidR="000637DE" w:rsidRPr="00F409D0">
        <w:rPr>
          <w:rStyle w:val="FootnoteReference"/>
        </w:rPr>
        <w:footnoteReference w:id="10"/>
      </w:r>
      <w:r w:rsidR="005C385F">
        <w:t xml:space="preserve"> </w:t>
      </w:r>
      <w:r w:rsidR="00E606BB" w:rsidDel="008E4349">
        <w:t>In each hour where the market prices are below the operating cost, the unit is assumed to shut down</w:t>
      </w:r>
      <w:r w:rsidR="005C385F">
        <w:t xml:space="preserve">. </w:t>
      </w:r>
      <w:r w:rsidR="00E606BB">
        <w:t xml:space="preserve">The dispatch uses the real-time market shape (not the day-ahead market shape), and adjusts for </w:t>
      </w:r>
      <w:r w:rsidR="00CC3913">
        <w:t xml:space="preserve">changes in natural gas prices, </w:t>
      </w:r>
      <w:r w:rsidR="00E606BB">
        <w:t xml:space="preserve">temperature performance degradation using average monthly </w:t>
      </w:r>
      <w:r w:rsidR="00E606BB">
        <w:lastRenderedPageBreak/>
        <w:t>9am – 10pm temperatures</w:t>
      </w:r>
      <w:r w:rsidR="00563271">
        <w:t xml:space="preserve"> (see </w:t>
      </w:r>
      <w:r w:rsidR="00CC3913">
        <w:t xml:space="preserve">the </w:t>
      </w:r>
      <w:r w:rsidR="00563271">
        <w:t>section</w:t>
      </w:r>
      <w:r w:rsidR="00CC3913" w:rsidRPr="640A206A">
        <w:t xml:space="preserve"> </w:t>
      </w:r>
      <w:r w:rsidR="00CC3913" w:rsidRPr="002D70BF">
        <w:fldChar w:fldCharType="begin"/>
      </w:r>
      <w:r w:rsidR="00CC3913" w:rsidRPr="008A6BDD">
        <w:rPr>
          <w:i/>
        </w:rPr>
        <w:instrText xml:space="preserve"> REF _Ref451875436 \h </w:instrText>
      </w:r>
      <w:r w:rsidR="00CC3913">
        <w:rPr>
          <w:i/>
        </w:rPr>
        <w:instrText xml:space="preserve"> \* MERGEFORMAT </w:instrText>
      </w:r>
      <w:r w:rsidR="00CC3913" w:rsidRPr="002D70BF">
        <w:rPr>
          <w:i/>
        </w:rPr>
        <w:fldChar w:fldCharType="separate"/>
      </w:r>
      <w:r w:rsidR="0097492A" w:rsidRPr="0097492A">
        <w:rPr>
          <w:i/>
          <w:iCs/>
        </w:rPr>
        <w:t>Temperature effect on unit performance</w:t>
      </w:r>
      <w:r w:rsidR="00CC3913" w:rsidRPr="002D70BF">
        <w:fldChar w:fldCharType="end"/>
      </w:r>
      <w:r w:rsidR="00CC3913">
        <w:t xml:space="preserve"> on page </w:t>
      </w:r>
      <w:r w:rsidR="00CC3913">
        <w:fldChar w:fldCharType="begin"/>
      </w:r>
      <w:r w:rsidR="00CC3913">
        <w:instrText xml:space="preserve"> PAGEREF _Ref451875439 \h </w:instrText>
      </w:r>
      <w:r w:rsidR="00CC3913">
        <w:fldChar w:fldCharType="separate"/>
      </w:r>
      <w:r w:rsidR="0097492A">
        <w:rPr>
          <w:noProof/>
        </w:rPr>
        <w:t>33</w:t>
      </w:r>
      <w:r w:rsidR="00CC3913">
        <w:fldChar w:fldCharType="end"/>
      </w:r>
      <w:r w:rsidR="00CC3913">
        <w:t>), and a market calibration factor</w:t>
      </w:r>
      <w:r w:rsidR="004D0912">
        <w:t>.</w:t>
      </w:r>
      <w:r w:rsidR="00CC3913">
        <w:rPr>
          <w:rStyle w:val="FootnoteReference"/>
        </w:rPr>
        <w:footnoteReference w:id="11"/>
      </w:r>
      <w:r w:rsidR="00CC3913" w:rsidRPr="640A206A">
        <w:t xml:space="preserve"> </w:t>
      </w:r>
    </w:p>
    <w:p w14:paraId="4CCFD41F" w14:textId="7407C506" w:rsidR="0074491A" w:rsidRDefault="00563271" w:rsidP="0074491A">
      <w:r>
        <w:t xml:space="preserve">The </w:t>
      </w:r>
      <w:r w:rsidR="0074491A">
        <w:t xml:space="preserve">market revenues earned in the energy and AS markets are subtracted from the fixed and variable costs </w:t>
      </w:r>
      <w:r w:rsidR="002522D1">
        <w:t xml:space="preserve">(including carbon </w:t>
      </w:r>
      <w:r w:rsidR="00852A9A">
        <w:t xml:space="preserve">allowance </w:t>
      </w:r>
      <w:r w:rsidR="002522D1">
        <w:t xml:space="preserve">costs) </w:t>
      </w:r>
      <w:r w:rsidR="0074491A">
        <w:t xml:space="preserve">of operating a CT to determine the residual capacity </w:t>
      </w:r>
      <w:r w:rsidR="00CC3913">
        <w:t>cost</w:t>
      </w:r>
      <w:r w:rsidR="005C385F">
        <w:t xml:space="preserve">. </w:t>
      </w:r>
      <w:r w:rsidR="00CC3913">
        <w:t xml:space="preserve">The residual capacity cost is the additional revenue that a new CT would require </w:t>
      </w:r>
      <w:r w:rsidR="001C3D63">
        <w:t>to</w:t>
      </w:r>
      <w:r w:rsidR="00CC3913">
        <w:t xml:space="preserve"> fully cover its fixed costs and return on investment, and is used as a proxy for the long-term avoided cost of generation capacity</w:t>
      </w:r>
      <w:r w:rsidR="005C385F">
        <w:t xml:space="preserve">. </w:t>
      </w:r>
      <w:r w:rsidR="0074491A">
        <w:t>The</w:t>
      </w:r>
      <w:r w:rsidR="00CC3913">
        <w:t xml:space="preserve"> generation</w:t>
      </w:r>
      <w:r w:rsidR="0074491A">
        <w:t xml:space="preserve"> capacity </w:t>
      </w:r>
      <w:r w:rsidR="00CC3913">
        <w:t xml:space="preserve">cost </w:t>
      </w:r>
      <w:r w:rsidR="0074491A">
        <w:t>calculations are performed using both Northern California and Southern California market prices and weather information</w:t>
      </w:r>
      <w:r w:rsidR="005C385F">
        <w:t xml:space="preserve">. </w:t>
      </w:r>
      <w:r w:rsidR="0074491A">
        <w:t>The cost of a new CT, however, is the same for both Northern and Southern California</w:t>
      </w:r>
      <w:r w:rsidR="005C385F">
        <w:t xml:space="preserve">. </w:t>
      </w:r>
      <w:r w:rsidR="0074491A">
        <w:t>Consistent with the methodology</w:t>
      </w:r>
      <w:r w:rsidR="002522D1">
        <w:t xml:space="preserve"> implemented in the</w:t>
      </w:r>
      <w:r w:rsidR="00672F96">
        <w:t xml:space="preserve"> 2011 </w:t>
      </w:r>
      <w:r w:rsidR="002522D1">
        <w:t>avoided cost model</w:t>
      </w:r>
      <w:r w:rsidR="0074491A">
        <w:t xml:space="preserve">, the final </w:t>
      </w:r>
      <w:r w:rsidR="00CC3913">
        <w:t xml:space="preserve">generation </w:t>
      </w:r>
      <w:r w:rsidR="0074491A">
        <w:t xml:space="preserve">capacity </w:t>
      </w:r>
      <w:r w:rsidR="00CC3913">
        <w:t xml:space="preserve">cost </w:t>
      </w:r>
      <w:r w:rsidR="0074491A">
        <w:t xml:space="preserve">for each year is the average of the results for Northern and Southern California (50% Northern and 50% Southern). </w:t>
      </w:r>
    </w:p>
    <w:p w14:paraId="13609320" w14:textId="3180BD45" w:rsidR="003F52C9" w:rsidRDefault="004C38BE" w:rsidP="004C38BE">
      <w:r>
        <w:t>Note that c</w:t>
      </w:r>
      <w:r w:rsidR="002522D1">
        <w:t xml:space="preserve">arbon </w:t>
      </w:r>
      <w:r w:rsidR="102CAC07">
        <w:t>and variable O&amp;</w:t>
      </w:r>
      <w:r w:rsidR="2FCE3C6F">
        <w:t>M costs</w:t>
      </w:r>
      <w:r w:rsidR="102CAC07" w:rsidRPr="2FCE3C6F">
        <w:t xml:space="preserve"> </w:t>
      </w:r>
      <w:r w:rsidR="002522D1">
        <w:t>are included in the CT dispatch bids and market revenue calculations because such carbon costs are recovered through the energy market</w:t>
      </w:r>
      <w:r w:rsidR="005C385F">
        <w:t xml:space="preserve">. </w:t>
      </w:r>
      <w:r>
        <w:t>Also, th</w:t>
      </w:r>
      <w:r w:rsidR="002522D1">
        <w:t>e hourly real-time market shape i</w:t>
      </w:r>
      <w:r w:rsidR="42C633DC">
        <w:t>s base</w:t>
      </w:r>
      <w:r w:rsidR="00037DDF">
        <w:t>d</w:t>
      </w:r>
      <w:r w:rsidR="42C633DC">
        <w:t xml:space="preserve"> on</w:t>
      </w:r>
      <w:r w:rsidR="002522D1">
        <w:t xml:space="preserve"> the </w:t>
      </w:r>
      <w:r>
        <w:t>most recent calendar year</w:t>
      </w:r>
      <w:r w:rsidR="002522D1">
        <w:t xml:space="preserve"> shape a</w:t>
      </w:r>
      <w:r w:rsidR="42C633DC">
        <w:t>nd h</w:t>
      </w:r>
      <w:r w:rsidR="2BE6A0B9">
        <w:t>eld constant for all future years</w:t>
      </w:r>
      <w:r w:rsidR="001C372A" w:rsidRPr="25ED4B98">
        <w:t>.</w:t>
      </w:r>
      <w:r w:rsidR="2BE6A0B9" w:rsidRPr="2BE6A0B9">
        <w:t xml:space="preserve"> This shape is not adjusted </w:t>
      </w:r>
      <w:r w:rsidR="2693F1C5" w:rsidRPr="2BE6A0B9">
        <w:t xml:space="preserve">in the same way as </w:t>
      </w:r>
      <w:r w:rsidR="2BE6A0B9" w:rsidRPr="2BE6A0B9">
        <w:t>the</w:t>
      </w:r>
      <w:r w:rsidR="76C5D7BC" w:rsidRPr="76C5D7BC">
        <w:t xml:space="preserve"> day-ahead price shape due to the disconnect </w:t>
      </w:r>
      <w:r w:rsidR="2693F1C5" w:rsidRPr="2693F1C5">
        <w:t xml:space="preserve">between the </w:t>
      </w:r>
      <w:r w:rsidR="2693F1C5">
        <w:t xml:space="preserve">two </w:t>
      </w:r>
      <w:r w:rsidR="0B69799C" w:rsidRPr="0B69799C">
        <w:t xml:space="preserve">as well as </w:t>
      </w:r>
      <w:r w:rsidR="00A87B16">
        <w:t xml:space="preserve">a </w:t>
      </w:r>
      <w:r w:rsidR="0B69799C" w:rsidRPr="0B69799C">
        <w:t>large increase in volatility seen in the real-time price shape</w:t>
      </w:r>
      <w:r w:rsidR="005C385F">
        <w:t>.</w:t>
      </w:r>
    </w:p>
    <w:p w14:paraId="6A358BE7" w14:textId="3FC10426" w:rsidR="00F214CF" w:rsidRDefault="0074491A" w:rsidP="00C00E06">
      <w:pPr>
        <w:pStyle w:val="Caption"/>
      </w:pPr>
      <w:r w:rsidRPr="6D85341E">
        <w:lastRenderedPageBreak/>
        <w:t xml:space="preserve">Figure </w:t>
      </w:r>
      <w:r w:rsidR="00D22C95">
        <w:rPr>
          <w:noProof/>
        </w:rPr>
        <w:fldChar w:fldCharType="begin"/>
      </w:r>
      <w:r w:rsidR="00D22C95">
        <w:rPr>
          <w:noProof/>
        </w:rPr>
        <w:instrText xml:space="preserve"> SEQ Figure \* ARABIC </w:instrText>
      </w:r>
      <w:r w:rsidR="00D22C95">
        <w:rPr>
          <w:noProof/>
        </w:rPr>
        <w:fldChar w:fldCharType="separate"/>
      </w:r>
      <w:r w:rsidR="0097492A">
        <w:rPr>
          <w:noProof/>
        </w:rPr>
        <w:t>16</w:t>
      </w:r>
      <w:r w:rsidR="00D22C95">
        <w:rPr>
          <w:noProof/>
        </w:rPr>
        <w:fldChar w:fldCharType="end"/>
      </w:r>
      <w:r w:rsidRPr="6D85341E">
        <w:t xml:space="preserve">:  Statewide Generation Capacity Value </w:t>
      </w:r>
      <w:r w:rsidR="55D88296" w:rsidRPr="6D85341E">
        <w:t>before</w:t>
      </w:r>
      <w:r w:rsidR="60156D2A" w:rsidRPr="25ED4B98">
        <w:t xml:space="preserve"> </w:t>
      </w:r>
      <w:r w:rsidRPr="6D85341E">
        <w:t xml:space="preserve">Temperature </w:t>
      </w:r>
      <w:r w:rsidR="60156D2A" w:rsidRPr="6D85341E">
        <w:t>and Loss</w:t>
      </w:r>
      <w:r w:rsidR="60156D2A" w:rsidRPr="25ED4B98">
        <w:t xml:space="preserve"> </w:t>
      </w:r>
      <w:r w:rsidRPr="6D85341E">
        <w:t>Adjustments</w:t>
      </w:r>
      <w:r w:rsidR="00F214CF">
        <w:t xml:space="preserve">   </w:t>
      </w:r>
    </w:p>
    <w:p w14:paraId="58C7F00B" w14:textId="6FAE5BA0" w:rsidR="00C00E06" w:rsidRPr="00AF70CF" w:rsidRDefault="00C00E06" w:rsidP="00AF70CF">
      <w:pPr>
        <w:jc w:val="center"/>
      </w:pPr>
      <w:r>
        <w:rPr>
          <w:noProof/>
        </w:rPr>
        <w:drawing>
          <wp:inline distT="0" distB="0" distL="0" distR="0" wp14:anchorId="7787B5A3" wp14:editId="3EF829EF">
            <wp:extent cx="5819775" cy="2740406"/>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1503" cy="2764763"/>
                    </a:xfrm>
                    <a:prstGeom prst="rect">
                      <a:avLst/>
                    </a:prstGeom>
                    <a:noFill/>
                  </pic:spPr>
                </pic:pic>
              </a:graphicData>
            </a:graphic>
          </wp:inline>
        </w:drawing>
      </w:r>
    </w:p>
    <w:p w14:paraId="2344FF13" w14:textId="77777777" w:rsidR="0074491A" w:rsidRPr="000145D0" w:rsidRDefault="0074491A" w:rsidP="0074491A">
      <w:pPr>
        <w:pStyle w:val="Heading3"/>
      </w:pPr>
      <w:bookmarkStart w:id="51" w:name="_Ref451875436"/>
      <w:bookmarkStart w:id="52" w:name="_Ref451875439"/>
      <w:bookmarkStart w:id="53" w:name="_Toc12445843"/>
      <w:r w:rsidRPr="000145D0">
        <w:t>Temperature effect on unit performance</w:t>
      </w:r>
      <w:bookmarkEnd w:id="51"/>
      <w:bookmarkEnd w:id="52"/>
      <w:bookmarkEnd w:id="53"/>
    </w:p>
    <w:p w14:paraId="28FA53CC" w14:textId="2BFE0E3E" w:rsidR="00AE63A1" w:rsidRDefault="0074491A" w:rsidP="000145D0">
      <w:r>
        <w:t>The</w:t>
      </w:r>
      <w:r w:rsidR="00CC5EF2">
        <w:t xml:space="preserve"> </w:t>
      </w:r>
      <w:r w:rsidR="00AE63A1">
        <w:t xml:space="preserve">capacity value </w:t>
      </w:r>
      <w:r w:rsidR="006E6AB6">
        <w:t>is in</w:t>
      </w:r>
      <w:r w:rsidR="00AE63A1">
        <w:t xml:space="preserve"> $ per kW of degraded capacity, rather than </w:t>
      </w:r>
      <w:r w:rsidR="006E6AB6">
        <w:t xml:space="preserve">in </w:t>
      </w:r>
      <w:r w:rsidR="00AE63A1">
        <w:t>$ per kW of nameplate capacity</w:t>
      </w:r>
      <w:r w:rsidR="00831E7C">
        <w:t>,</w:t>
      </w:r>
      <w:r>
        <w:t xml:space="preserve"> to account for the effects of temperature</w:t>
      </w:r>
      <w:r w:rsidR="005C385F">
        <w:t xml:space="preserve">. </w:t>
      </w:r>
      <w:r w:rsidR="00AE63A1">
        <w:t xml:space="preserve">This re-expression increases the $/kW capacity value by </w:t>
      </w:r>
      <w:r w:rsidR="00B01953">
        <w:t xml:space="preserve">about </w:t>
      </w:r>
      <w:r w:rsidR="000145D0">
        <w:t>8%</w:t>
      </w:r>
      <w:r w:rsidR="005C385F">
        <w:t xml:space="preserve">. </w:t>
      </w:r>
      <w:r w:rsidR="000145D0">
        <w:t xml:space="preserve">The use of the degraded capacity </w:t>
      </w:r>
      <w:r w:rsidR="00397CE6">
        <w:t>was</w:t>
      </w:r>
      <w:r w:rsidR="000145D0">
        <w:t xml:space="preserve"> introduced in the DR proceeding to more precisely model operation of a combustion turbine at different ambient temperature conditions throughout the year</w:t>
      </w:r>
      <w:r w:rsidR="005C385F">
        <w:t xml:space="preserve">. </w:t>
      </w:r>
      <w:r w:rsidR="00397CE6">
        <w:t xml:space="preserve">Use of degraded, rather than nameplate, capacity value results </w:t>
      </w:r>
      <w:r w:rsidR="00706583">
        <w:t xml:space="preserve">in </w:t>
      </w:r>
      <w:r w:rsidR="00397CE6">
        <w:t>an increase in the capacity value because combustion turbines perform at lower efficiencies when the ambient temperature is high.</w:t>
      </w:r>
    </w:p>
    <w:p w14:paraId="266D6F0F" w14:textId="15009BAD" w:rsidR="00E606BB" w:rsidRDefault="00E606BB" w:rsidP="00452851">
      <w:r>
        <w:t>The CT’s rated heat rate and nameplate capacity characterize the unit’s performance at ISO conditions,</w:t>
      </w:r>
      <w:r>
        <w:rPr>
          <w:rStyle w:val="FootnoteReference"/>
        </w:rPr>
        <w:footnoteReference w:id="12"/>
      </w:r>
      <w:r>
        <w:t xml:space="preserve"> but the unit’s actual performance deviates substantially from these ratings throughout the year</w:t>
      </w:r>
      <w:r w:rsidR="005C385F">
        <w:t xml:space="preserve">. </w:t>
      </w:r>
      <w:r>
        <w:t>In California, deviations from rated performance are due primarily to hourly variations in temperature</w:t>
      </w:r>
      <w:r w:rsidR="005C385F">
        <w:t xml:space="preserve">. </w:t>
      </w:r>
      <w:r>
        <w:fldChar w:fldCharType="begin"/>
      </w:r>
      <w:r>
        <w:instrText xml:space="preserve"> REF _Ref278704493 \h </w:instrText>
      </w:r>
      <w:r>
        <w:fldChar w:fldCharType="separate"/>
      </w:r>
      <w:r w:rsidR="0097492A">
        <w:t xml:space="preserve">Figure </w:t>
      </w:r>
      <w:r w:rsidR="0097492A">
        <w:rPr>
          <w:noProof/>
        </w:rPr>
        <w:t>17</w:t>
      </w:r>
      <w:r>
        <w:fldChar w:fldCharType="end"/>
      </w:r>
      <w:r>
        <w:t xml:space="preserve"> shows the relationship between temperature and </w:t>
      </w:r>
      <w:r>
        <w:lastRenderedPageBreak/>
        <w:t>performance for a GE LM6000 SPRINT gas turbine, a reasonable proxy for current CT technology.</w:t>
      </w:r>
    </w:p>
    <w:p w14:paraId="4F4A63E5" w14:textId="4B3DF0A4" w:rsidR="00E606BB" w:rsidRDefault="00E606BB" w:rsidP="00087461">
      <w:pPr>
        <w:pStyle w:val="Caption"/>
      </w:pPr>
      <w:bookmarkStart w:id="54" w:name="_Ref278704493"/>
      <w:bookmarkStart w:id="55" w:name="_Ref278704488"/>
      <w:r>
        <w:t xml:space="preserve">Figure </w:t>
      </w:r>
      <w:r w:rsidR="00D22C95">
        <w:rPr>
          <w:noProof/>
        </w:rPr>
        <w:fldChar w:fldCharType="begin"/>
      </w:r>
      <w:r w:rsidR="00D22C95">
        <w:rPr>
          <w:noProof/>
        </w:rPr>
        <w:instrText xml:space="preserve"> SEQ Figure \* ARABIC </w:instrText>
      </w:r>
      <w:r w:rsidR="00D22C95">
        <w:rPr>
          <w:noProof/>
        </w:rPr>
        <w:fldChar w:fldCharType="separate"/>
      </w:r>
      <w:r w:rsidR="0097492A">
        <w:rPr>
          <w:noProof/>
        </w:rPr>
        <w:t>17</w:t>
      </w:r>
      <w:r w:rsidR="00D22C95">
        <w:rPr>
          <w:noProof/>
        </w:rPr>
        <w:fldChar w:fldCharType="end"/>
      </w:r>
      <w:bookmarkEnd w:id="54"/>
      <w:r>
        <w:t>. Temperature-</w:t>
      </w:r>
      <w:r w:rsidR="006E3AE7">
        <w:t>P</w:t>
      </w:r>
      <w:r>
        <w:t xml:space="preserve">erformance </w:t>
      </w:r>
      <w:r w:rsidR="006E3AE7">
        <w:t>C</w:t>
      </w:r>
      <w:r>
        <w:t xml:space="preserve">urve for a GE LM6000 SPRINT </w:t>
      </w:r>
      <w:r w:rsidR="006E3AE7">
        <w:t>C</w:t>
      </w:r>
      <w:r>
        <w:t xml:space="preserve">ombustion </w:t>
      </w:r>
      <w:r w:rsidR="006E3AE7">
        <w:t>T</w:t>
      </w:r>
      <w:r>
        <w:t>urbine.</w:t>
      </w:r>
      <w:bookmarkEnd w:id="55"/>
    </w:p>
    <w:p w14:paraId="73E73309" w14:textId="6C0F2E8E" w:rsidR="00E606BB" w:rsidRDefault="007A19C3" w:rsidP="00957B2E">
      <w:pPr>
        <w:pStyle w:val="SeattleBody"/>
        <w:jc w:val="center"/>
      </w:pPr>
      <w:r>
        <w:rPr>
          <w:noProof/>
        </w:rPr>
        <w:drawing>
          <wp:inline distT="0" distB="0" distL="0" distR="0" wp14:anchorId="31802275" wp14:editId="711FCD2D">
            <wp:extent cx="4572000" cy="2771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2771775"/>
                    </a:xfrm>
                    <a:prstGeom prst="rect">
                      <a:avLst/>
                    </a:prstGeom>
                    <a:noFill/>
                    <a:ln>
                      <a:noFill/>
                    </a:ln>
                  </pic:spPr>
                </pic:pic>
              </a:graphicData>
            </a:graphic>
          </wp:inline>
        </w:drawing>
      </w:r>
    </w:p>
    <w:p w14:paraId="079DE13A" w14:textId="77777777" w:rsidR="00E606BB" w:rsidRDefault="00E606BB" w:rsidP="000145D0">
      <w:r>
        <w:t>The effect of temperature on performance is incorporated into the calculation of the CT residual; several performance corrections are considered:</w:t>
      </w:r>
    </w:p>
    <w:p w14:paraId="4ED61269" w14:textId="326F8FCE" w:rsidR="00E606BB" w:rsidRDefault="00E606BB" w:rsidP="000145D0">
      <w:pPr>
        <w:numPr>
          <w:ilvl w:val="0"/>
          <w:numId w:val="4"/>
        </w:numPr>
      </w:pPr>
      <w:r>
        <w:t>In the calculation of the CT’s dispatch, the heat rate is assumed to vary on a monthly basis</w:t>
      </w:r>
      <w:r w:rsidR="005C385F">
        <w:t xml:space="preserve">. </w:t>
      </w:r>
      <w:r>
        <w:t>In each month, E3 calculates an average day-time temperature based on hourly temperature data throughout the state and uses this value to adjust the heat rate—and thereby the operating cost—within that month.</w:t>
      </w:r>
    </w:p>
    <w:p w14:paraId="058D23A9" w14:textId="1257D200" w:rsidR="00E606BB" w:rsidRDefault="00E606BB" w:rsidP="000145D0">
      <w:pPr>
        <w:numPr>
          <w:ilvl w:val="0"/>
          <w:numId w:val="4"/>
        </w:numPr>
      </w:pPr>
      <w:r>
        <w:t>Plant output is also assumed to vary on a monthly basis; the same average day-time temperature is used to determine the correct adjustment</w:t>
      </w:r>
      <w:r w:rsidR="005C385F">
        <w:t xml:space="preserve">. </w:t>
      </w:r>
      <w:r>
        <w:t>This adjustment affects the revenue collected by the plant in the real-time market</w:t>
      </w:r>
      <w:r w:rsidR="005C385F">
        <w:t xml:space="preserve">. </w:t>
      </w:r>
      <w:r>
        <w:t>For instance, if the plant’s output is 90% of nameplate capacity in a given month, its net revenues will equal 90% of what it would have received had it been able to operate at nameplate capacity.</w:t>
      </w:r>
    </w:p>
    <w:p w14:paraId="129DB1E3" w14:textId="6E412ACA" w:rsidR="00E606BB" w:rsidRDefault="00E606BB" w:rsidP="000145D0">
      <w:pPr>
        <w:numPr>
          <w:ilvl w:val="0"/>
          <w:numId w:val="4"/>
        </w:numPr>
      </w:pPr>
      <w:r>
        <w:lastRenderedPageBreak/>
        <w:t xml:space="preserve">The resulting capacity residual is originally calculated as the value per nameplate </w:t>
      </w:r>
      <w:r w:rsidR="00BF2E30">
        <w:t xml:space="preserve">kW </w:t>
      </w:r>
      <w:r>
        <w:t>—however, during the peak periods during which a CT is necessary for resource adequacy, high temperatures will result in a significant capacity derat</w:t>
      </w:r>
      <w:r w:rsidR="005A20A3">
        <w:t>ion</w:t>
      </w:r>
      <w:r w:rsidR="005C385F">
        <w:t xml:space="preserve">. </w:t>
      </w:r>
      <w:r>
        <w:t>Consequently, the value of capacity is increased by approximately 10% to reflect the plant’s reduced output during the top 250 load hours of the year</w:t>
      </w:r>
      <w:r w:rsidR="00453936">
        <w:t>,</w:t>
      </w:r>
      <w:r>
        <w:t xml:space="preserve"> as shown in </w:t>
      </w:r>
      <w:r>
        <w:fldChar w:fldCharType="begin"/>
      </w:r>
      <w:r>
        <w:instrText xml:space="preserve"> REF _Ref278719804 \h </w:instrText>
      </w:r>
      <w:r>
        <w:fldChar w:fldCharType="separate"/>
      </w:r>
      <w:r w:rsidR="0097492A">
        <w:t xml:space="preserve">Figure </w:t>
      </w:r>
      <w:r w:rsidR="0097492A">
        <w:rPr>
          <w:noProof/>
        </w:rPr>
        <w:t>18</w:t>
      </w:r>
      <w:r>
        <w:fldChar w:fldCharType="end"/>
      </w:r>
      <w:r>
        <w:t>.</w:t>
      </w:r>
    </w:p>
    <w:p w14:paraId="46BDFA60" w14:textId="10C0B7B9" w:rsidR="00087461" w:rsidRDefault="00087461" w:rsidP="00087461">
      <w:r>
        <w:t>The forecast annual generation capacity values are shown below</w:t>
      </w:r>
      <w:r w:rsidR="005C385F">
        <w:t xml:space="preserve">. </w:t>
      </w:r>
    </w:p>
    <w:p w14:paraId="53BCA35E" w14:textId="0A49770F" w:rsidR="004700F3" w:rsidRDefault="00E606BB" w:rsidP="00C00E06">
      <w:pPr>
        <w:pStyle w:val="Caption"/>
      </w:pPr>
      <w:bookmarkStart w:id="56" w:name="_Ref278719804"/>
      <w:r>
        <w:t xml:space="preserve">Figure </w:t>
      </w:r>
      <w:r w:rsidR="00D22C95">
        <w:rPr>
          <w:noProof/>
        </w:rPr>
        <w:fldChar w:fldCharType="begin"/>
      </w:r>
      <w:r w:rsidR="00D22C95">
        <w:rPr>
          <w:noProof/>
        </w:rPr>
        <w:instrText xml:space="preserve"> SEQ Figure \* ARABIC </w:instrText>
      </w:r>
      <w:r w:rsidR="00D22C95">
        <w:rPr>
          <w:noProof/>
        </w:rPr>
        <w:fldChar w:fldCharType="separate"/>
      </w:r>
      <w:r w:rsidR="0097492A">
        <w:rPr>
          <w:noProof/>
        </w:rPr>
        <w:t>18</w:t>
      </w:r>
      <w:r w:rsidR="00D22C95">
        <w:rPr>
          <w:noProof/>
        </w:rPr>
        <w:fldChar w:fldCharType="end"/>
      </w:r>
      <w:bookmarkEnd w:id="56"/>
      <w:r>
        <w:t xml:space="preserve">. Adjustment of </w:t>
      </w:r>
      <w:r w:rsidR="006E3AE7">
        <w:t>C</w:t>
      </w:r>
      <w:r>
        <w:t xml:space="preserve">apacity </w:t>
      </w:r>
      <w:r w:rsidR="006E3AE7">
        <w:t>V</w:t>
      </w:r>
      <w:r>
        <w:t xml:space="preserve">alue to </w:t>
      </w:r>
      <w:r w:rsidR="006E3AE7">
        <w:t>A</w:t>
      </w:r>
      <w:r>
        <w:t xml:space="preserve">ccount for </w:t>
      </w:r>
      <w:r w:rsidR="006E3AE7">
        <w:t>T</w:t>
      </w:r>
      <w:r>
        <w:t xml:space="preserve">emperature </w:t>
      </w:r>
      <w:r w:rsidR="006E3AE7">
        <w:t>D</w:t>
      </w:r>
      <w:r>
        <w:t>erat</w:t>
      </w:r>
      <w:r w:rsidR="003503C4">
        <w:t>i</w:t>
      </w:r>
      <w:r w:rsidR="009336FE">
        <w:t xml:space="preserve">ng </w:t>
      </w:r>
      <w:r w:rsidR="006E3AE7">
        <w:t>D</w:t>
      </w:r>
      <w:r w:rsidR="009336FE">
        <w:t xml:space="preserve">uring </w:t>
      </w:r>
      <w:r w:rsidR="006E3AE7">
        <w:t>P</w:t>
      </w:r>
      <w:r w:rsidR="009336FE">
        <w:t xml:space="preserve">eriods of </w:t>
      </w:r>
      <w:r w:rsidR="006E3AE7">
        <w:t>P</w:t>
      </w:r>
      <w:r w:rsidR="009336FE">
        <w:t xml:space="preserve">eak </w:t>
      </w:r>
      <w:r w:rsidR="006E3AE7">
        <w:t>L</w:t>
      </w:r>
      <w:r w:rsidR="009336FE">
        <w:t xml:space="preserve">oad </w:t>
      </w:r>
      <w:r w:rsidR="38643851">
        <w:t>(losses still excluded)</w:t>
      </w:r>
    </w:p>
    <w:p w14:paraId="751028B3" w14:textId="69DD81F8" w:rsidR="00C00E06" w:rsidRDefault="00C00E06" w:rsidP="004700F3">
      <w:pPr>
        <w:jc w:val="center"/>
      </w:pPr>
      <w:r>
        <w:rPr>
          <w:noProof/>
        </w:rPr>
        <w:drawing>
          <wp:inline distT="0" distB="0" distL="0" distR="0" wp14:anchorId="10C07C10" wp14:editId="5B611AE8">
            <wp:extent cx="5715000" cy="26936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9950" cy="2710098"/>
                    </a:xfrm>
                    <a:prstGeom prst="rect">
                      <a:avLst/>
                    </a:prstGeom>
                    <a:noFill/>
                  </pic:spPr>
                </pic:pic>
              </a:graphicData>
            </a:graphic>
          </wp:inline>
        </w:drawing>
      </w:r>
    </w:p>
    <w:p w14:paraId="395A6FB8" w14:textId="77777777" w:rsidR="00A3513A" w:rsidRPr="000145D0" w:rsidRDefault="00CC5EF2" w:rsidP="00A3513A">
      <w:pPr>
        <w:pStyle w:val="Heading3"/>
      </w:pPr>
      <w:bookmarkStart w:id="57" w:name="_Toc12445844"/>
      <w:r>
        <w:t>Planning reserve margin and l</w:t>
      </w:r>
      <w:r w:rsidR="00A3513A">
        <w:t>osses</w:t>
      </w:r>
      <w:bookmarkEnd w:id="57"/>
    </w:p>
    <w:p w14:paraId="5D7CBAE3" w14:textId="7C5D58A4" w:rsidR="003503C4" w:rsidRDefault="00A3513A" w:rsidP="00087461">
      <w:r>
        <w:t>The capacity value is increased to account for both the Planning Reserve Margin (PRM) and losses</w:t>
      </w:r>
      <w:r w:rsidR="005C385F">
        <w:t xml:space="preserve">. </w:t>
      </w:r>
      <w:r w:rsidR="005D270E">
        <w:t>Resource Adequacy rules set capacity procurement targets for Load Serving Entities based on 1.15% of their forecasted load.</w:t>
      </w:r>
      <w:r w:rsidR="005D270E">
        <w:rPr>
          <w:rStyle w:val="FootnoteReference"/>
        </w:rPr>
        <w:footnoteReference w:id="13"/>
      </w:r>
      <w:r w:rsidR="005D270E">
        <w:t xml:space="preserve"> The</w:t>
      </w:r>
      <w:r w:rsidR="00AE7B8F">
        <w:t>y</w:t>
      </w:r>
      <w:r w:rsidR="005D270E">
        <w:t xml:space="preserve"> must also account for losses in delivering </w:t>
      </w:r>
      <w:r w:rsidR="005D270E">
        <w:lastRenderedPageBreak/>
        <w:t xml:space="preserve">electricity from the generator to the customer, based on </w:t>
      </w:r>
      <w:r w:rsidR="00CD0E8C">
        <w:t>peak</w:t>
      </w:r>
      <w:r w:rsidR="005D270E">
        <w:t xml:space="preserve"> loss factors for each utility</w:t>
      </w:r>
      <w:r w:rsidR="005C385F">
        <w:t xml:space="preserve">. </w:t>
      </w:r>
      <w:r w:rsidR="005D270E">
        <w:t xml:space="preserve">The capacity value is therefore increased by the </w:t>
      </w:r>
      <w:r w:rsidR="00B71A17">
        <w:t xml:space="preserve">PRM </w:t>
      </w:r>
      <w:r w:rsidR="005D270E">
        <w:t xml:space="preserve">and the applicable loss factors for each utility. </w:t>
      </w:r>
      <w:r w:rsidR="00CD0E8C">
        <w:t>Note that peak loss factors are used for generation and T&amp;D capacity while TOU loss factors</w:t>
      </w:r>
      <w:r w:rsidR="0056388C">
        <w:t xml:space="preserve"> are used for energy.</w:t>
      </w:r>
    </w:p>
    <w:p w14:paraId="4FDA7BEB" w14:textId="0CD4E732" w:rsidR="001C372A" w:rsidRDefault="001C372A" w:rsidP="001C372A">
      <w:pPr>
        <w:pStyle w:val="Heading3"/>
      </w:pPr>
      <w:bookmarkStart w:id="58" w:name="_Toc271574658"/>
      <w:bookmarkStart w:id="59" w:name="_Toc271575307"/>
      <w:bookmarkStart w:id="60" w:name="_Toc12445845"/>
      <w:r w:rsidRPr="08DBACB0">
        <w:t>Hourly allocation of capacity value</w:t>
      </w:r>
      <w:bookmarkEnd w:id="60"/>
    </w:p>
    <w:p w14:paraId="605C949F" w14:textId="1E9E0D92" w:rsidR="001C372A" w:rsidRDefault="69FA55F3" w:rsidP="008A6BDD">
      <w:r>
        <w:t>T</w:t>
      </w:r>
      <w:r w:rsidR="25651DA7">
        <w:t>he capacity values ($/kW-yr</w:t>
      </w:r>
      <w:r w:rsidR="5E3DF426" w:rsidRPr="25ED4B98">
        <w:t>)</w:t>
      </w:r>
      <w:r w:rsidR="25651DA7" w:rsidRPr="25ED4B98">
        <w:t xml:space="preserve">, </w:t>
      </w:r>
      <w:r w:rsidR="5E3DF426">
        <w:t>after</w:t>
      </w:r>
      <w:r w:rsidR="5E3DF426" w:rsidRPr="25ED4B98">
        <w:t xml:space="preserve"> </w:t>
      </w:r>
      <w:r w:rsidR="25651DA7">
        <w:t>adjust</w:t>
      </w:r>
      <w:r w:rsidR="5E3DF426">
        <w:t>ing</w:t>
      </w:r>
      <w:r w:rsidR="25651DA7">
        <w:t xml:space="preserve"> for temperature, losses, and planning reserve margin</w:t>
      </w:r>
      <w:r w:rsidR="25651DA7" w:rsidRPr="25ED4B98">
        <w:t xml:space="preserve">, </w:t>
      </w:r>
      <w:r w:rsidR="4B7BB10F">
        <w:t xml:space="preserve">are then allocated to the hours of the year with highest system capacity need using the E3 RECAP model. </w:t>
      </w:r>
      <w:r w:rsidR="000C333A">
        <w:t>Using 63 years of historical load and generation data, the model determ</w:t>
      </w:r>
      <w:r w:rsidR="71465D1C">
        <w:t>ines the expected unserved energy (EUE) for each month/hour/day-type time period in the year.</w:t>
      </w:r>
      <w:r w:rsidR="5E3DF426" w:rsidRPr="25ED4B98">
        <w:t xml:space="preserve"> </w:t>
      </w:r>
      <w:r w:rsidR="6988F8FA" w:rsidRPr="6988F8FA">
        <w:t xml:space="preserve">As </w:t>
      </w:r>
      <w:r w:rsidR="6036B4E3" w:rsidRPr="6036B4E3">
        <w:t xml:space="preserve">renewable penetrations increase, EUE shifts from the afternoon to evenings as well as </w:t>
      </w:r>
      <w:r w:rsidR="5EF73D66" w:rsidRPr="6036B4E3">
        <w:t>to relatively more weekends</w:t>
      </w:r>
      <w:r w:rsidR="1851181F" w:rsidRPr="25ED4B98">
        <w:t xml:space="preserve">. </w:t>
      </w:r>
      <w:r w:rsidR="6839749B" w:rsidRPr="6839749B">
        <w:t>A</w:t>
      </w:r>
      <w:r w:rsidR="5844988A" w:rsidRPr="5844988A">
        <w:t xml:space="preserve"> snapshot of these hourly EUE values in 2020 is shown below</w:t>
      </w:r>
      <w:r w:rsidR="001C372A">
        <w:rPr>
          <w:noProof/>
        </w:rPr>
        <w:drawing>
          <wp:inline distT="0" distB="0" distL="0" distR="0" wp14:anchorId="0B9DC016" wp14:editId="42C2CF45">
            <wp:extent cx="5943600" cy="2000250"/>
            <wp:effectExtent l="0" t="0" r="0" b="0"/>
            <wp:docPr id="11527100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000250"/>
                    </a:xfrm>
                    <a:prstGeom prst="rect">
                      <a:avLst/>
                    </a:prstGeom>
                  </pic:spPr>
                </pic:pic>
              </a:graphicData>
            </a:graphic>
          </wp:inline>
        </w:drawing>
      </w:r>
    </w:p>
    <w:p w14:paraId="5065A1F6" w14:textId="65AFC4E1" w:rsidR="67BA36CA" w:rsidRDefault="67BA36CA">
      <w:pPr>
        <w:rPr>
          <w:rFonts w:eastAsia="Calibri"/>
        </w:rPr>
      </w:pPr>
      <w:r w:rsidRPr="008A6BDD">
        <w:rPr>
          <w:rFonts w:eastAsia="Calibri"/>
        </w:rPr>
        <w:t xml:space="preserve">These month/hour/day-type </w:t>
      </w:r>
      <w:r w:rsidR="5266027F" w:rsidRPr="008A6BDD">
        <w:rPr>
          <w:rFonts w:eastAsia="Calibri"/>
        </w:rPr>
        <w:t xml:space="preserve">EUE values are then allocated to days of the year using </w:t>
      </w:r>
      <w:r w:rsidR="6E38BAE7" w:rsidRPr="008A6BDD">
        <w:rPr>
          <w:rFonts w:eastAsia="Calibri"/>
        </w:rPr>
        <w:t xml:space="preserve">the </w:t>
      </w:r>
      <w:r w:rsidR="004E798B">
        <w:rPr>
          <w:rFonts w:eastAsia="Calibri"/>
        </w:rPr>
        <w:t>201</w:t>
      </w:r>
      <w:r w:rsidR="00C24DC8">
        <w:rPr>
          <w:rFonts w:eastAsia="Calibri"/>
        </w:rPr>
        <w:t>8</w:t>
      </w:r>
      <w:r w:rsidR="004E798B" w:rsidRPr="008A6BDD">
        <w:rPr>
          <w:rFonts w:eastAsia="Calibri"/>
        </w:rPr>
        <w:t xml:space="preserve"> </w:t>
      </w:r>
      <w:r w:rsidR="6E38BAE7" w:rsidRPr="008A6BDD">
        <w:rPr>
          <w:rFonts w:eastAsia="Calibri"/>
        </w:rPr>
        <w:t xml:space="preserve">daily temperature record for consistency with energy prices. </w:t>
      </w:r>
      <w:r w:rsidR="17C45E1D" w:rsidRPr="008A6BDD">
        <w:rPr>
          <w:rFonts w:eastAsia="Calibri"/>
        </w:rPr>
        <w:t xml:space="preserve">A load-weighted </w:t>
      </w:r>
      <w:r w:rsidR="17C1CD6C" w:rsidRPr="008A6BDD">
        <w:rPr>
          <w:rFonts w:eastAsia="Calibri"/>
        </w:rPr>
        <w:t xml:space="preserve">daily </w:t>
      </w:r>
      <w:r w:rsidR="17C45E1D" w:rsidRPr="008A6BDD">
        <w:rPr>
          <w:rFonts w:eastAsia="Calibri"/>
        </w:rPr>
        <w:t xml:space="preserve">maximum statewide temperature is calculated and all </w:t>
      </w:r>
      <w:r w:rsidR="587D81CD" w:rsidRPr="008A6BDD">
        <w:rPr>
          <w:rFonts w:eastAsia="Calibri"/>
        </w:rPr>
        <w:t xml:space="preserve">hours in </w:t>
      </w:r>
      <w:r w:rsidR="17C45E1D" w:rsidRPr="008A6BDD">
        <w:rPr>
          <w:rFonts w:eastAsia="Calibri"/>
        </w:rPr>
        <w:t>days w</w:t>
      </w:r>
      <w:r w:rsidR="17C1CD6C" w:rsidRPr="008A6BDD">
        <w:rPr>
          <w:rFonts w:eastAsia="Calibri"/>
        </w:rPr>
        <w:t>here this value exceeds 90</w:t>
      </w:r>
      <w:r w:rsidR="750C1CC8" w:rsidRPr="008A6BDD">
        <w:rPr>
          <w:rFonts w:eastAsia="Calibri"/>
        </w:rPr>
        <w:t xml:space="preserve"> degrees F </w:t>
      </w:r>
      <w:r w:rsidR="750C1CC8" w:rsidRPr="008A6BDD">
        <w:rPr>
          <w:rFonts w:eastAsia="Calibri"/>
        </w:rPr>
        <w:lastRenderedPageBreak/>
        <w:t>receive the correspon</w:t>
      </w:r>
      <w:r w:rsidR="6C81CD12" w:rsidRPr="008A6BDD">
        <w:rPr>
          <w:rFonts w:eastAsia="Calibri"/>
        </w:rPr>
        <w:t>d</w:t>
      </w:r>
      <w:r w:rsidR="750C1CC8" w:rsidRPr="008A6BDD">
        <w:rPr>
          <w:rFonts w:eastAsia="Calibri"/>
        </w:rPr>
        <w:t>ing</w:t>
      </w:r>
      <w:r w:rsidR="6C81CD12" w:rsidRPr="008A6BDD">
        <w:rPr>
          <w:rFonts w:eastAsia="Calibri"/>
        </w:rPr>
        <w:t xml:space="preserve"> </w:t>
      </w:r>
      <w:r w:rsidR="587D81CD" w:rsidRPr="008A6BDD">
        <w:rPr>
          <w:rFonts w:eastAsia="Calibri"/>
        </w:rPr>
        <w:t xml:space="preserve">month/hour/day-type </w:t>
      </w:r>
      <w:r w:rsidR="6C81CD12" w:rsidRPr="008A6BDD">
        <w:rPr>
          <w:rFonts w:eastAsia="Calibri"/>
        </w:rPr>
        <w:t>EUE value from RECAP.</w:t>
      </w:r>
      <w:r w:rsidR="008476C5">
        <w:rPr>
          <w:rStyle w:val="FootnoteReference"/>
          <w:rFonts w:eastAsia="Calibri"/>
        </w:rPr>
        <w:footnoteReference w:id="14"/>
      </w:r>
      <w:r w:rsidR="3397BAC1" w:rsidRPr="008A6BDD">
        <w:rPr>
          <w:rFonts w:eastAsia="Calibri"/>
        </w:rPr>
        <w:t xml:space="preserve"> </w:t>
      </w:r>
      <w:r w:rsidR="2072C5D2" w:rsidRPr="008A6BDD">
        <w:rPr>
          <w:rFonts w:eastAsia="Calibri"/>
        </w:rPr>
        <w:t>The resulting 8760 hourly capacity allocators are shown below.</w:t>
      </w:r>
    </w:p>
    <w:p w14:paraId="162A67CB" w14:textId="1DA296E3" w:rsidR="00A34058" w:rsidRDefault="00702E17" w:rsidP="00371BBC">
      <w:pPr>
        <w:pStyle w:val="Caption"/>
      </w:pPr>
      <w:r>
        <w:t xml:space="preserve">Figure </w:t>
      </w:r>
      <w:r w:rsidR="00D22C95">
        <w:rPr>
          <w:noProof/>
        </w:rPr>
        <w:fldChar w:fldCharType="begin"/>
      </w:r>
      <w:r w:rsidR="00D22C95">
        <w:rPr>
          <w:noProof/>
        </w:rPr>
        <w:instrText xml:space="preserve"> SEQ Figure \* ARABIC </w:instrText>
      </w:r>
      <w:r w:rsidR="00D22C95">
        <w:rPr>
          <w:noProof/>
        </w:rPr>
        <w:fldChar w:fldCharType="separate"/>
      </w:r>
      <w:r w:rsidR="0097492A">
        <w:rPr>
          <w:noProof/>
        </w:rPr>
        <w:t>19</w:t>
      </w:r>
      <w:r w:rsidR="00D22C95">
        <w:rPr>
          <w:noProof/>
        </w:rPr>
        <w:fldChar w:fldCharType="end"/>
      </w:r>
      <w:r>
        <w:t>:  Generation Capacity Hourly Allocation Factors (2020)</w:t>
      </w:r>
    </w:p>
    <w:p w14:paraId="217AC998" w14:textId="31B3303F" w:rsidR="00371BBC" w:rsidRDefault="00371BBC" w:rsidP="00D935A6">
      <w:pPr>
        <w:jc w:val="center"/>
      </w:pPr>
      <w:r>
        <w:rPr>
          <w:noProof/>
        </w:rPr>
        <w:drawing>
          <wp:inline distT="0" distB="0" distL="0" distR="0" wp14:anchorId="18472D11" wp14:editId="1F790331">
            <wp:extent cx="5969635" cy="333184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9261" cy="3342796"/>
                    </a:xfrm>
                    <a:prstGeom prst="rect">
                      <a:avLst/>
                    </a:prstGeom>
                    <a:noFill/>
                  </pic:spPr>
                </pic:pic>
              </a:graphicData>
            </a:graphic>
          </wp:inline>
        </w:drawing>
      </w:r>
    </w:p>
    <w:p w14:paraId="3D31F5B1" w14:textId="01016524" w:rsidR="002D1092" w:rsidRDefault="002D1092" w:rsidP="008A6BDD">
      <w:r>
        <w:t>A downloadable version of RECAP can be found online.</w:t>
      </w:r>
      <w:r>
        <w:rPr>
          <w:rStyle w:val="FootnoteReference"/>
        </w:rPr>
        <w:footnoteReference w:id="15"/>
      </w:r>
      <w:r>
        <w:t xml:space="preserve"> The results shown above use this version of the model along with load and renewable generation forecasts consistent with the LTPP “Default – AAEE Sensitivity” scenario</w:t>
      </w:r>
      <w:r w:rsidR="005C385F">
        <w:t xml:space="preserve">. </w:t>
      </w:r>
      <w:r w:rsidR="00F165CB">
        <w:t>While the hourly allocations were updated, the underlying RECAP analysis was not changed in this update.</w:t>
      </w:r>
    </w:p>
    <w:p w14:paraId="3341C746" w14:textId="3B410150" w:rsidR="00F03153" w:rsidRDefault="00F03153" w:rsidP="008A6BDD">
      <w:pPr>
        <w:pStyle w:val="Heading2"/>
      </w:pPr>
      <w:bookmarkStart w:id="61" w:name="_Toc12445846"/>
      <w:r>
        <w:lastRenderedPageBreak/>
        <w:t>Ancillary Services (AS)</w:t>
      </w:r>
      <w:bookmarkEnd w:id="58"/>
      <w:bookmarkEnd w:id="59"/>
      <w:bookmarkEnd w:id="61"/>
    </w:p>
    <w:p w14:paraId="7D86A50A" w14:textId="4634FB92" w:rsidR="00F03153" w:rsidRDefault="00F03153" w:rsidP="00F03153">
      <w:r>
        <w:t>Besides reducing the cost of wholesale purchases, reductions in demand at the meter result in additional value from the associated reduction in required procurement of ancillary services. The CAISO MRTU markets include four types of ancillary services: regulation up and down, spinning reserves, and non-spinning reserves</w:t>
      </w:r>
      <w:r w:rsidR="005C385F">
        <w:t xml:space="preserve">. </w:t>
      </w:r>
      <w:r>
        <w:t>The procurement of regulation services is generally independent of load; consequently, behind-the-meter load reductions and distributed generation exports will not affect their procurement</w:t>
      </w:r>
      <w:r w:rsidR="005C385F">
        <w:t xml:space="preserve">. </w:t>
      </w:r>
      <w:r>
        <w:t>However, both spinning and non-spinning reserves are directly linked to load—i</w:t>
      </w:r>
      <w:r w:rsidRPr="009662C9">
        <w:t xml:space="preserve">n accordance with WECC reliability standards, the California ISO </w:t>
      </w:r>
      <w:r>
        <w:t>must maintain</w:t>
      </w:r>
      <w:r w:rsidRPr="009662C9">
        <w:t xml:space="preserve"> an operating reserve equal to 5% of load served by hydro generators and 7% of loa</w:t>
      </w:r>
      <w:r>
        <w:t>d served by thermal generators.</w:t>
      </w:r>
    </w:p>
    <w:p w14:paraId="31765DF4" w14:textId="7AB8B81D" w:rsidR="00F03153" w:rsidRDefault="00F03153" w:rsidP="00F03153">
      <w:r>
        <w:t>As a result, load reductions do result in a reduction in the procurement of reserves; the value of this reduced procurement is included as a value stream in the Avoided Cost Calculator</w:t>
      </w:r>
      <w:r w:rsidR="005C385F">
        <w:t xml:space="preserve">. </w:t>
      </w:r>
      <w:r>
        <w:t>It is assumed that the value of avoided reserves procurement scales with the value of energy in each hour throughout the year</w:t>
      </w:r>
      <w:r w:rsidR="005C385F">
        <w:t xml:space="preserve">. </w:t>
      </w:r>
      <w:r>
        <w:t xml:space="preserve">According to the CAISO’s </w:t>
      </w:r>
      <w:r w:rsidR="00CC71B3" w:rsidRPr="00957B2E">
        <w:rPr>
          <w:i/>
        </w:rPr>
        <w:t>201</w:t>
      </w:r>
      <w:r w:rsidR="00794A82">
        <w:rPr>
          <w:i/>
        </w:rPr>
        <w:t>8</w:t>
      </w:r>
      <w:r w:rsidR="00CC71B3" w:rsidRPr="00957B2E">
        <w:rPr>
          <w:i/>
          <w:iCs/>
        </w:rPr>
        <w:t xml:space="preserve"> </w:t>
      </w:r>
      <w:r w:rsidRPr="00957B2E">
        <w:rPr>
          <w:i/>
          <w:iCs/>
        </w:rPr>
        <w:t>Annual Report on Market Issues and Performance</w:t>
      </w:r>
      <w:r>
        <w:rPr>
          <w:rStyle w:val="FootnoteReference"/>
        </w:rPr>
        <w:footnoteReference w:id="16"/>
      </w:r>
      <w:r w:rsidRPr="42C633DC">
        <w:t xml:space="preserve">, </w:t>
      </w:r>
      <w:r w:rsidR="004C38BE">
        <w:t xml:space="preserve">total </w:t>
      </w:r>
      <w:r w:rsidR="000B0B1C">
        <w:t>ancillary service costs in</w:t>
      </w:r>
      <w:r w:rsidRPr="42C633DC">
        <w:t xml:space="preserve"> </w:t>
      </w:r>
      <w:r w:rsidR="00702E17">
        <w:t>201</w:t>
      </w:r>
      <w:r w:rsidR="00912E9B">
        <w:t>8</w:t>
      </w:r>
      <w:r w:rsidR="004C38BE">
        <w:t xml:space="preserve"> </w:t>
      </w:r>
      <w:r>
        <w:t xml:space="preserve">averaged </w:t>
      </w:r>
      <w:r w:rsidR="00702E17">
        <w:t>1.</w:t>
      </w:r>
      <w:r w:rsidR="00996914">
        <w:t xml:space="preserve">7% </w:t>
      </w:r>
      <w:r w:rsidR="000B0B1C">
        <w:t>of the</w:t>
      </w:r>
      <w:r w:rsidRPr="42C633DC">
        <w:t xml:space="preserve"> </w:t>
      </w:r>
      <w:r w:rsidR="000B0B1C">
        <w:t xml:space="preserve">wholesale </w:t>
      </w:r>
      <w:r>
        <w:t xml:space="preserve">energy </w:t>
      </w:r>
      <w:r w:rsidR="000B0B1C">
        <w:t>costs</w:t>
      </w:r>
      <w:r w:rsidR="005C385F">
        <w:t xml:space="preserve">. </w:t>
      </w:r>
      <w:r w:rsidR="004C38BE">
        <w:t>Of this,</w:t>
      </w:r>
      <w:r w:rsidR="00FF178A">
        <w:t xml:space="preserve"> approximately</w:t>
      </w:r>
      <w:r w:rsidR="004C38BE">
        <w:t xml:space="preserve"> </w:t>
      </w:r>
      <w:r w:rsidR="00247FAA">
        <w:t>53</w:t>
      </w:r>
      <w:r w:rsidR="004C38BE">
        <w:t>% was for ancillary services other than regulation up and down (CAISO Report, p</w:t>
      </w:r>
      <w:r w:rsidR="00957B2E">
        <w:t>.</w:t>
      </w:r>
      <w:r w:rsidR="008F6B8D">
        <w:t xml:space="preserve"> </w:t>
      </w:r>
      <w:r w:rsidR="00CA6032">
        <w:t>141-</w:t>
      </w:r>
      <w:r w:rsidR="008F6B8D">
        <w:t>1</w:t>
      </w:r>
      <w:r w:rsidR="006B55BF">
        <w:t>42</w:t>
      </w:r>
      <w:r w:rsidR="008F6B8D">
        <w:t>), so</w:t>
      </w:r>
      <w:r>
        <w:t xml:space="preserve"> E3 uses </w:t>
      </w:r>
      <w:r w:rsidR="008F6B8D">
        <w:t>0.</w:t>
      </w:r>
      <w:r w:rsidR="00BB6A2B">
        <w:t>9</w:t>
      </w:r>
      <w:r w:rsidR="008F6B8D">
        <w:t>% (1.</w:t>
      </w:r>
      <w:r w:rsidR="00BB6A2B">
        <w:t>7</w:t>
      </w:r>
      <w:r w:rsidR="008F6B8D">
        <w:t xml:space="preserve">% * </w:t>
      </w:r>
      <w:r w:rsidR="00AD3A8D">
        <w:t>53</w:t>
      </w:r>
      <w:r w:rsidR="008F6B8D">
        <w:t xml:space="preserve">%) </w:t>
      </w:r>
      <w:r>
        <w:t>to assess the value of avoided AS procurement in each hour.</w:t>
      </w:r>
    </w:p>
    <w:p w14:paraId="24FF3415" w14:textId="77777777" w:rsidR="00273CE0" w:rsidRPr="00D52504" w:rsidRDefault="00273CE0">
      <w:pPr>
        <w:pStyle w:val="Heading2"/>
      </w:pPr>
      <w:bookmarkStart w:id="62" w:name="_Ref10635116"/>
      <w:bookmarkStart w:id="63" w:name="_Toc12445847"/>
      <w:r>
        <w:t>T&amp;D Capacity</w:t>
      </w:r>
      <w:bookmarkEnd w:id="62"/>
      <w:bookmarkEnd w:id="63"/>
    </w:p>
    <w:p w14:paraId="07CD6114" w14:textId="37B6E29A" w:rsidR="00D91963" w:rsidRDefault="00273CE0" w:rsidP="00D91963">
      <w:r>
        <w:t>The electricity avoided costs include the value of reducing the need for transmission and distribution capacity expansion</w:t>
      </w:r>
      <w:r w:rsidR="005C385F">
        <w:t xml:space="preserve">. </w:t>
      </w:r>
      <w:r>
        <w:t>Of the six avoided cost components, T&amp;D costs are unique in that both the value and hourly allocation are location specific</w:t>
      </w:r>
      <w:r w:rsidR="005C385F">
        <w:t xml:space="preserve">. </w:t>
      </w:r>
      <w:r>
        <w:t xml:space="preserve">Avoided T&amp;D costs are </w:t>
      </w:r>
      <w:r>
        <w:lastRenderedPageBreak/>
        <w:t>determined separately for each utility</w:t>
      </w:r>
      <w:r w:rsidR="005C385F" w:rsidRPr="00D91963">
        <w:t>.</w:t>
      </w:r>
      <w:r w:rsidR="00D91963" w:rsidRPr="00D91963">
        <w:rPr>
          <w:rStyle w:val="CommentReference"/>
          <w:sz w:val="24"/>
          <w:szCs w:val="24"/>
        </w:rPr>
        <w:t xml:space="preserve"> </w:t>
      </w:r>
      <w:r w:rsidR="00D91963" w:rsidRPr="00D91963">
        <w:t>T</w:t>
      </w:r>
      <w:r w:rsidR="00D91963">
        <w:t>&amp;D marginal costs ($/kW-yr values) were updated</w:t>
      </w:r>
      <w:r w:rsidR="00195F06">
        <w:t xml:space="preserve"> for the 2019 ACC,</w:t>
      </w:r>
      <w:r w:rsidR="00D91963">
        <w:t xml:space="preserve"> from the following sources:</w:t>
      </w:r>
    </w:p>
    <w:p w14:paraId="55678D80" w14:textId="77777777" w:rsidR="00D91963" w:rsidRDefault="00D91963" w:rsidP="00D91963">
      <w:pPr>
        <w:pStyle w:val="ListParagraph"/>
        <w:numPr>
          <w:ilvl w:val="0"/>
          <w:numId w:val="23"/>
        </w:numPr>
      </w:pPr>
      <w:r w:rsidRPr="00D91963">
        <w:rPr>
          <w:u w:val="single"/>
        </w:rPr>
        <w:t>PG&amp;E</w:t>
      </w:r>
      <w:r>
        <w:t>: settlement agreement in the utility’s 2017 Phase II General Rate Case (GRC) proceeding.</w:t>
      </w:r>
    </w:p>
    <w:p w14:paraId="6BFABBF3" w14:textId="77777777" w:rsidR="00D91963" w:rsidRDefault="00D91963" w:rsidP="00D91963">
      <w:pPr>
        <w:pStyle w:val="ListParagraph"/>
        <w:numPr>
          <w:ilvl w:val="0"/>
          <w:numId w:val="23"/>
        </w:numPr>
      </w:pPr>
      <w:r w:rsidRPr="00D91963">
        <w:rPr>
          <w:u w:val="single"/>
        </w:rPr>
        <w:t>SCE</w:t>
      </w:r>
      <w:r>
        <w:t>: estimates by SCE’s regression analysis of cumulative distribution capacity-related investments and cumulative peak loads, consistent with avoided distribution capacity costs that have been used for SCE in prior avoided cost updates.</w:t>
      </w:r>
    </w:p>
    <w:p w14:paraId="1523CF30" w14:textId="23E38F3C" w:rsidR="00D91963" w:rsidRDefault="00D91963" w:rsidP="00D91963">
      <w:pPr>
        <w:pStyle w:val="ListParagraph"/>
        <w:numPr>
          <w:ilvl w:val="0"/>
          <w:numId w:val="23"/>
        </w:numPr>
      </w:pPr>
      <w:r w:rsidRPr="00D91963">
        <w:rPr>
          <w:u w:val="single"/>
        </w:rPr>
        <w:t>SDG&amp;E</w:t>
      </w:r>
      <w:r>
        <w:t>: testimony filed by the utility in its 2016 GRC (as these costs were not adopted in the proceeding or related settlement agreement).</w:t>
      </w:r>
    </w:p>
    <w:p w14:paraId="6D7DC652" w14:textId="7F7E052A" w:rsidR="00273CE0" w:rsidRPr="00D52504" w:rsidRDefault="00273CE0" w:rsidP="00273CE0">
      <w:r>
        <w:t>The T&amp;D avoided costs</w:t>
      </w:r>
      <w:r w:rsidR="00D975B2">
        <w:t xml:space="preserve"> in the avoided cost calculator</w:t>
      </w:r>
      <w:r>
        <w:t xml:space="preserve"> escalate by 2</w:t>
      </w:r>
      <w:r w:rsidR="008F6B8D">
        <w:t>.3</w:t>
      </w:r>
      <w:r>
        <w:t>% per year in nominal terms.</w:t>
      </w:r>
    </w:p>
    <w:p w14:paraId="43179013" w14:textId="0CC4125C" w:rsidR="003A7B2B" w:rsidRDefault="00273CE0" w:rsidP="00D975B2">
      <w:pPr>
        <w:pStyle w:val="Caption"/>
      </w:pPr>
      <w:r>
        <w:t xml:space="preserve">Table </w:t>
      </w:r>
      <w:r w:rsidR="00D22C95">
        <w:rPr>
          <w:noProof/>
        </w:rPr>
        <w:fldChar w:fldCharType="begin"/>
      </w:r>
      <w:r w:rsidR="00D22C95">
        <w:rPr>
          <w:noProof/>
        </w:rPr>
        <w:instrText xml:space="preserve"> SEQ Table \* ARABIC </w:instrText>
      </w:r>
      <w:r w:rsidR="00D22C95">
        <w:rPr>
          <w:noProof/>
        </w:rPr>
        <w:fldChar w:fldCharType="separate"/>
      </w:r>
      <w:r w:rsidR="0097492A">
        <w:rPr>
          <w:noProof/>
        </w:rPr>
        <w:t>4</w:t>
      </w:r>
      <w:r w:rsidR="00D22C95">
        <w:rPr>
          <w:noProof/>
        </w:rPr>
        <w:fldChar w:fldCharType="end"/>
      </w:r>
      <w:r>
        <w:t xml:space="preserve">:  T&amp;D Capacity Costs </w:t>
      </w:r>
      <w:r w:rsidR="003A7B2B">
        <w:t>for SCE and SDG&amp;E</w:t>
      </w:r>
      <w:r w:rsidR="00D975B2">
        <w:rPr>
          <w:rStyle w:val="FootnoteReference"/>
        </w:rPr>
        <w:footnoteReference w:id="17"/>
      </w:r>
    </w:p>
    <w:p w14:paraId="66EB21ED" w14:textId="65815FE1" w:rsidR="00D975B2" w:rsidRDefault="00D975B2" w:rsidP="008A6BDD">
      <w:pPr>
        <w:pStyle w:val="NoSpacing"/>
      </w:pPr>
    </w:p>
    <w:tbl>
      <w:tblPr>
        <w:tblStyle w:val="ListTable3-Accent11"/>
        <w:tblW w:w="0" w:type="auto"/>
        <w:jc w:val="center"/>
        <w:tblLook w:val="04A0" w:firstRow="1" w:lastRow="0" w:firstColumn="1" w:lastColumn="0" w:noHBand="0" w:noVBand="1"/>
      </w:tblPr>
      <w:tblGrid>
        <w:gridCol w:w="3452"/>
        <w:gridCol w:w="2738"/>
        <w:gridCol w:w="2445"/>
      </w:tblGrid>
      <w:tr w:rsidR="00D975B2" w:rsidRPr="00D975B2" w14:paraId="3A819C39" w14:textId="77777777" w:rsidTr="00D975B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3452" w:type="dxa"/>
            <w:noWrap/>
            <w:hideMark/>
          </w:tcPr>
          <w:p w14:paraId="191E4AC2" w14:textId="77777777" w:rsidR="00D975B2" w:rsidRPr="00D975B2" w:rsidRDefault="00D975B2" w:rsidP="00D975B2">
            <w:pPr>
              <w:pStyle w:val="NoSpacing"/>
              <w:jc w:val="center"/>
            </w:pPr>
            <w:r w:rsidRPr="00D975B2">
              <w:t> </w:t>
            </w:r>
          </w:p>
        </w:tc>
        <w:tc>
          <w:tcPr>
            <w:tcW w:w="2738" w:type="dxa"/>
            <w:noWrap/>
            <w:hideMark/>
          </w:tcPr>
          <w:p w14:paraId="3A26B105" w14:textId="77777777" w:rsidR="00D975B2" w:rsidRPr="00D975B2" w:rsidRDefault="00D975B2" w:rsidP="00D975B2">
            <w:pPr>
              <w:pStyle w:val="NoSpacing"/>
              <w:jc w:val="center"/>
              <w:cnfStyle w:val="100000000000" w:firstRow="1" w:lastRow="0" w:firstColumn="0" w:lastColumn="0" w:oddVBand="0" w:evenVBand="0" w:oddHBand="0" w:evenHBand="0" w:firstRowFirstColumn="0" w:firstRowLastColumn="0" w:lastRowFirstColumn="0" w:lastRowLastColumn="0"/>
            </w:pPr>
            <w:r w:rsidRPr="00D975B2">
              <w:t>SCE</w:t>
            </w:r>
          </w:p>
        </w:tc>
        <w:tc>
          <w:tcPr>
            <w:tcW w:w="2445" w:type="dxa"/>
            <w:noWrap/>
            <w:hideMark/>
          </w:tcPr>
          <w:p w14:paraId="7961DDA9" w14:textId="77777777" w:rsidR="00D975B2" w:rsidRPr="00D975B2" w:rsidRDefault="00D975B2" w:rsidP="00D975B2">
            <w:pPr>
              <w:pStyle w:val="NoSpacing"/>
              <w:jc w:val="center"/>
              <w:cnfStyle w:val="100000000000" w:firstRow="1" w:lastRow="0" w:firstColumn="0" w:lastColumn="0" w:oddVBand="0" w:evenVBand="0" w:oddHBand="0" w:evenHBand="0" w:firstRowFirstColumn="0" w:firstRowLastColumn="0" w:lastRowFirstColumn="0" w:lastRowLastColumn="0"/>
            </w:pPr>
            <w:r w:rsidRPr="00D975B2">
              <w:t>SDG&amp;E</w:t>
            </w:r>
          </w:p>
        </w:tc>
      </w:tr>
      <w:tr w:rsidR="00D975B2" w:rsidRPr="00D975B2" w14:paraId="273B222C" w14:textId="77777777" w:rsidTr="00D975B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52" w:type="dxa"/>
            <w:noWrap/>
            <w:hideMark/>
          </w:tcPr>
          <w:p w14:paraId="19530C0E" w14:textId="77777777" w:rsidR="00D975B2" w:rsidRPr="00D975B2" w:rsidRDefault="00D975B2" w:rsidP="00D975B2">
            <w:pPr>
              <w:pStyle w:val="NoSpacing"/>
              <w:rPr>
                <w:i/>
                <w:iCs/>
              </w:rPr>
            </w:pPr>
            <w:r w:rsidRPr="00D975B2">
              <w:rPr>
                <w:i/>
                <w:iCs/>
              </w:rPr>
              <w:t>Marginal cost year</w:t>
            </w:r>
          </w:p>
        </w:tc>
        <w:tc>
          <w:tcPr>
            <w:tcW w:w="2738" w:type="dxa"/>
            <w:noWrap/>
            <w:hideMark/>
          </w:tcPr>
          <w:p w14:paraId="2202244B" w14:textId="77777777" w:rsidR="00D975B2" w:rsidRPr="00D975B2" w:rsidRDefault="00D975B2" w:rsidP="00D975B2">
            <w:pPr>
              <w:pStyle w:val="NoSpacing"/>
              <w:jc w:val="center"/>
              <w:cnfStyle w:val="000000100000" w:firstRow="0" w:lastRow="0" w:firstColumn="0" w:lastColumn="0" w:oddVBand="0" w:evenVBand="0" w:oddHBand="1" w:evenHBand="0" w:firstRowFirstColumn="0" w:firstRowLastColumn="0" w:lastRowFirstColumn="0" w:lastRowLastColumn="0"/>
              <w:rPr>
                <w:i/>
                <w:iCs/>
              </w:rPr>
            </w:pPr>
            <w:r w:rsidRPr="00D975B2">
              <w:rPr>
                <w:i/>
                <w:iCs/>
              </w:rPr>
              <w:t>2018</w:t>
            </w:r>
          </w:p>
        </w:tc>
        <w:tc>
          <w:tcPr>
            <w:tcW w:w="2445" w:type="dxa"/>
            <w:noWrap/>
            <w:hideMark/>
          </w:tcPr>
          <w:p w14:paraId="4737155B" w14:textId="77777777" w:rsidR="00D975B2" w:rsidRPr="00D975B2" w:rsidRDefault="00D975B2" w:rsidP="00D975B2">
            <w:pPr>
              <w:pStyle w:val="NoSpacing"/>
              <w:jc w:val="center"/>
              <w:cnfStyle w:val="000000100000" w:firstRow="0" w:lastRow="0" w:firstColumn="0" w:lastColumn="0" w:oddVBand="0" w:evenVBand="0" w:oddHBand="1" w:evenHBand="0" w:firstRowFirstColumn="0" w:firstRowLastColumn="0" w:lastRowFirstColumn="0" w:lastRowLastColumn="0"/>
              <w:rPr>
                <w:i/>
                <w:iCs/>
              </w:rPr>
            </w:pPr>
            <w:r w:rsidRPr="00D975B2">
              <w:rPr>
                <w:i/>
                <w:iCs/>
              </w:rPr>
              <w:t>2016</w:t>
            </w:r>
          </w:p>
        </w:tc>
      </w:tr>
      <w:tr w:rsidR="00D975B2" w:rsidRPr="00D975B2" w14:paraId="2A2F3581" w14:textId="77777777" w:rsidTr="00D975B2">
        <w:trPr>
          <w:trHeight w:val="300"/>
          <w:jc w:val="center"/>
        </w:trPr>
        <w:tc>
          <w:tcPr>
            <w:cnfStyle w:val="001000000000" w:firstRow="0" w:lastRow="0" w:firstColumn="1" w:lastColumn="0" w:oddVBand="0" w:evenVBand="0" w:oddHBand="0" w:evenHBand="0" w:firstRowFirstColumn="0" w:firstRowLastColumn="0" w:lastRowFirstColumn="0" w:lastRowLastColumn="0"/>
            <w:tcW w:w="3452" w:type="dxa"/>
            <w:noWrap/>
            <w:hideMark/>
          </w:tcPr>
          <w:p w14:paraId="229AAADB" w14:textId="77777777" w:rsidR="00D975B2" w:rsidRPr="00D975B2" w:rsidRDefault="00D975B2" w:rsidP="00D975B2">
            <w:pPr>
              <w:pStyle w:val="NoSpacing"/>
            </w:pPr>
            <w:r w:rsidRPr="00D975B2">
              <w:t>Subtransmission ($/kW-yr)</w:t>
            </w:r>
          </w:p>
        </w:tc>
        <w:tc>
          <w:tcPr>
            <w:tcW w:w="2738" w:type="dxa"/>
            <w:noWrap/>
            <w:hideMark/>
          </w:tcPr>
          <w:p w14:paraId="2299683B" w14:textId="77777777" w:rsidR="00D975B2" w:rsidRPr="00D975B2" w:rsidRDefault="00D975B2" w:rsidP="00D975B2">
            <w:pPr>
              <w:pStyle w:val="NoSpacing"/>
              <w:jc w:val="center"/>
              <w:cnfStyle w:val="000000000000" w:firstRow="0" w:lastRow="0" w:firstColumn="0" w:lastColumn="0" w:oddVBand="0" w:evenVBand="0" w:oddHBand="0" w:evenHBand="0" w:firstRowFirstColumn="0" w:firstRowLastColumn="0" w:lastRowFirstColumn="0" w:lastRowLastColumn="0"/>
            </w:pPr>
            <w:r w:rsidRPr="00D975B2">
              <w:t>$40.00</w:t>
            </w:r>
          </w:p>
        </w:tc>
        <w:tc>
          <w:tcPr>
            <w:tcW w:w="2445" w:type="dxa"/>
            <w:noWrap/>
            <w:hideMark/>
          </w:tcPr>
          <w:p w14:paraId="72405CA6" w14:textId="77777777" w:rsidR="00D975B2" w:rsidRPr="00D975B2" w:rsidRDefault="00D975B2" w:rsidP="00D975B2">
            <w:pPr>
              <w:pStyle w:val="NoSpacing"/>
              <w:jc w:val="center"/>
              <w:cnfStyle w:val="000000000000" w:firstRow="0" w:lastRow="0" w:firstColumn="0" w:lastColumn="0" w:oddVBand="0" w:evenVBand="0" w:oddHBand="0" w:evenHBand="0" w:firstRowFirstColumn="0" w:firstRowLastColumn="0" w:lastRowFirstColumn="0" w:lastRowLastColumn="0"/>
            </w:pPr>
            <w:r w:rsidRPr="00D975B2">
              <w:t>$0.00</w:t>
            </w:r>
          </w:p>
        </w:tc>
      </w:tr>
      <w:tr w:rsidR="00D975B2" w:rsidRPr="00D975B2" w14:paraId="271D8C4B" w14:textId="77777777" w:rsidTr="00D975B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52" w:type="dxa"/>
            <w:noWrap/>
            <w:hideMark/>
          </w:tcPr>
          <w:p w14:paraId="70247099" w14:textId="77777777" w:rsidR="00D975B2" w:rsidRPr="00D975B2" w:rsidRDefault="00D975B2" w:rsidP="00D975B2">
            <w:pPr>
              <w:pStyle w:val="NoSpacing"/>
            </w:pPr>
            <w:r w:rsidRPr="00D975B2">
              <w:t>Substation ($/kW-yr)</w:t>
            </w:r>
          </w:p>
        </w:tc>
        <w:tc>
          <w:tcPr>
            <w:tcW w:w="2738" w:type="dxa"/>
            <w:noWrap/>
            <w:hideMark/>
          </w:tcPr>
          <w:p w14:paraId="41009C83" w14:textId="77777777" w:rsidR="00D975B2" w:rsidRPr="00D975B2" w:rsidRDefault="00D975B2" w:rsidP="00D975B2">
            <w:pPr>
              <w:pStyle w:val="NoSpacing"/>
              <w:jc w:val="center"/>
              <w:cnfStyle w:val="000000100000" w:firstRow="0" w:lastRow="0" w:firstColumn="0" w:lastColumn="0" w:oddVBand="0" w:evenVBand="0" w:oddHBand="1" w:evenHBand="0" w:firstRowFirstColumn="0" w:firstRowLastColumn="0" w:lastRowFirstColumn="0" w:lastRowLastColumn="0"/>
            </w:pPr>
            <w:r w:rsidRPr="00D975B2">
              <w:t>$25.00</w:t>
            </w:r>
          </w:p>
        </w:tc>
        <w:tc>
          <w:tcPr>
            <w:tcW w:w="2445" w:type="dxa"/>
            <w:noWrap/>
            <w:hideMark/>
          </w:tcPr>
          <w:p w14:paraId="4F811C0A" w14:textId="77777777" w:rsidR="00D975B2" w:rsidRPr="00D975B2" w:rsidRDefault="00D975B2" w:rsidP="00D975B2">
            <w:pPr>
              <w:pStyle w:val="NoSpacing"/>
              <w:jc w:val="center"/>
              <w:cnfStyle w:val="000000100000" w:firstRow="0" w:lastRow="0" w:firstColumn="0" w:lastColumn="0" w:oddVBand="0" w:evenVBand="0" w:oddHBand="1" w:evenHBand="0" w:firstRowFirstColumn="0" w:firstRowLastColumn="0" w:lastRowFirstColumn="0" w:lastRowLastColumn="0"/>
            </w:pPr>
            <w:r w:rsidRPr="00D975B2">
              <w:t>$22.05</w:t>
            </w:r>
          </w:p>
        </w:tc>
      </w:tr>
      <w:tr w:rsidR="00D975B2" w:rsidRPr="00D975B2" w14:paraId="0EEE8424" w14:textId="77777777" w:rsidTr="00D975B2">
        <w:trPr>
          <w:trHeight w:val="300"/>
          <w:jc w:val="center"/>
        </w:trPr>
        <w:tc>
          <w:tcPr>
            <w:cnfStyle w:val="001000000000" w:firstRow="0" w:lastRow="0" w:firstColumn="1" w:lastColumn="0" w:oddVBand="0" w:evenVBand="0" w:oddHBand="0" w:evenHBand="0" w:firstRowFirstColumn="0" w:firstRowLastColumn="0" w:lastRowFirstColumn="0" w:lastRowLastColumn="0"/>
            <w:tcW w:w="3452" w:type="dxa"/>
            <w:noWrap/>
            <w:hideMark/>
          </w:tcPr>
          <w:p w14:paraId="339BD8DC" w14:textId="77777777" w:rsidR="00D975B2" w:rsidRPr="00D975B2" w:rsidRDefault="00D975B2" w:rsidP="00D975B2">
            <w:pPr>
              <w:pStyle w:val="NoSpacing"/>
            </w:pPr>
            <w:r w:rsidRPr="00D975B2">
              <w:t>Local Distribution ($/kW-yr)</w:t>
            </w:r>
          </w:p>
        </w:tc>
        <w:tc>
          <w:tcPr>
            <w:tcW w:w="2738" w:type="dxa"/>
            <w:noWrap/>
            <w:hideMark/>
          </w:tcPr>
          <w:p w14:paraId="7CDB51ED" w14:textId="77777777" w:rsidR="00D975B2" w:rsidRPr="00D975B2" w:rsidRDefault="00D975B2" w:rsidP="00D975B2">
            <w:pPr>
              <w:pStyle w:val="NoSpacing"/>
              <w:jc w:val="center"/>
              <w:cnfStyle w:val="000000000000" w:firstRow="0" w:lastRow="0" w:firstColumn="0" w:lastColumn="0" w:oddVBand="0" w:evenVBand="0" w:oddHBand="0" w:evenHBand="0" w:firstRowFirstColumn="0" w:firstRowLastColumn="0" w:lastRowFirstColumn="0" w:lastRowLastColumn="0"/>
            </w:pPr>
            <w:r w:rsidRPr="00D975B2">
              <w:t>$102.90</w:t>
            </w:r>
          </w:p>
        </w:tc>
        <w:tc>
          <w:tcPr>
            <w:tcW w:w="2445" w:type="dxa"/>
            <w:noWrap/>
            <w:hideMark/>
          </w:tcPr>
          <w:p w14:paraId="04E2E16B" w14:textId="77777777" w:rsidR="00D975B2" w:rsidRPr="00D975B2" w:rsidRDefault="00D975B2" w:rsidP="00D975B2">
            <w:pPr>
              <w:pStyle w:val="NoSpacing"/>
              <w:jc w:val="center"/>
              <w:cnfStyle w:val="000000000000" w:firstRow="0" w:lastRow="0" w:firstColumn="0" w:lastColumn="0" w:oddVBand="0" w:evenVBand="0" w:oddHBand="0" w:evenHBand="0" w:firstRowFirstColumn="0" w:firstRowLastColumn="0" w:lastRowFirstColumn="0" w:lastRowLastColumn="0"/>
            </w:pPr>
            <w:r w:rsidRPr="00D975B2">
              <w:t>$77.97</w:t>
            </w:r>
          </w:p>
        </w:tc>
      </w:tr>
    </w:tbl>
    <w:p w14:paraId="3464C99A" w14:textId="77777777" w:rsidR="003A7B2B" w:rsidRDefault="003A7B2B" w:rsidP="008A6BDD">
      <w:pPr>
        <w:pStyle w:val="Caption"/>
        <w:spacing w:before="120"/>
      </w:pPr>
    </w:p>
    <w:p w14:paraId="0B0E77F9" w14:textId="77777777" w:rsidR="0097492A" w:rsidRDefault="0097492A" w:rsidP="0097492A">
      <w:pPr>
        <w:pStyle w:val="Caption"/>
      </w:pPr>
    </w:p>
    <w:p w14:paraId="64FA1C15" w14:textId="144C3CE1" w:rsidR="00D975B2" w:rsidRDefault="003A7B2B" w:rsidP="0097492A">
      <w:pPr>
        <w:pStyle w:val="Caption"/>
      </w:pPr>
      <w:r>
        <w:t xml:space="preserve">Table </w:t>
      </w:r>
      <w:r w:rsidRPr="008A6BDD">
        <w:fldChar w:fldCharType="begin"/>
      </w:r>
      <w:r>
        <w:instrText xml:space="preserve"> SEQ Table \* ARABIC </w:instrText>
      </w:r>
      <w:r w:rsidRPr="008A6BDD">
        <w:fldChar w:fldCharType="separate"/>
      </w:r>
      <w:r w:rsidR="0097492A">
        <w:rPr>
          <w:noProof/>
        </w:rPr>
        <w:t>5</w:t>
      </w:r>
      <w:r w:rsidRPr="008A6BDD">
        <w:fldChar w:fldCharType="end"/>
      </w:r>
      <w:r>
        <w:t>:  T&amp;D Capacity Costs for PG&amp;E</w:t>
      </w:r>
      <w:r w:rsidR="00D975B2">
        <w:t xml:space="preserve"> (base year of 2017)</w:t>
      </w:r>
      <w:r w:rsidR="00D975B2">
        <w:rPr>
          <w:rStyle w:val="FootnoteReference"/>
        </w:rPr>
        <w:footnoteReference w:id="18"/>
      </w:r>
    </w:p>
    <w:tbl>
      <w:tblPr>
        <w:tblStyle w:val="ListTable3-Accent11"/>
        <w:tblW w:w="0" w:type="auto"/>
        <w:jc w:val="center"/>
        <w:tblLook w:val="04A0" w:firstRow="1" w:lastRow="0" w:firstColumn="1" w:lastColumn="0" w:noHBand="0" w:noVBand="1"/>
      </w:tblPr>
      <w:tblGrid>
        <w:gridCol w:w="1698"/>
        <w:gridCol w:w="916"/>
        <w:gridCol w:w="2522"/>
        <w:gridCol w:w="2601"/>
        <w:gridCol w:w="1613"/>
      </w:tblGrid>
      <w:tr w:rsidR="00D975B2" w:rsidRPr="00D975B2" w14:paraId="1CCCAF1C" w14:textId="77777777" w:rsidTr="009E2B3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698" w:type="dxa"/>
            <w:noWrap/>
          </w:tcPr>
          <w:p w14:paraId="68E9CBE6" w14:textId="44BA3626" w:rsidR="00D975B2" w:rsidRPr="00D975B2" w:rsidRDefault="00D975B2" w:rsidP="00D975B2">
            <w:pPr>
              <w:pStyle w:val="NoSpacing"/>
              <w:jc w:val="center"/>
            </w:pPr>
            <w:r>
              <w:t>Division</w:t>
            </w:r>
          </w:p>
        </w:tc>
        <w:tc>
          <w:tcPr>
            <w:tcW w:w="916" w:type="dxa"/>
            <w:noWrap/>
          </w:tcPr>
          <w:p w14:paraId="6C40224D" w14:textId="0EBCBB58" w:rsidR="00D975B2" w:rsidRPr="009E2B39" w:rsidRDefault="00D975B2" w:rsidP="00D975B2">
            <w:pPr>
              <w:pStyle w:val="NoSpacing"/>
              <w:jc w:val="center"/>
              <w:cnfStyle w:val="100000000000" w:firstRow="1" w:lastRow="0" w:firstColumn="0" w:lastColumn="0" w:oddVBand="0" w:evenVBand="0" w:oddHBand="0" w:evenHBand="0" w:firstRowFirstColumn="0" w:firstRowLastColumn="0" w:lastRowFirstColumn="0" w:lastRowLastColumn="0"/>
            </w:pPr>
            <w:r w:rsidRPr="009E2B39">
              <w:t>Climate Zone</w:t>
            </w:r>
          </w:p>
        </w:tc>
        <w:tc>
          <w:tcPr>
            <w:tcW w:w="2522" w:type="dxa"/>
            <w:noWrap/>
          </w:tcPr>
          <w:p w14:paraId="7370C574" w14:textId="08F8B4B4" w:rsidR="00D975B2" w:rsidRPr="00D975B2" w:rsidRDefault="00D975B2" w:rsidP="00D975B2">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rsidRPr="00923C75">
              <w:t>Transmission $/PCAF-kW-yr</w:t>
            </w:r>
          </w:p>
        </w:tc>
        <w:tc>
          <w:tcPr>
            <w:tcW w:w="2601" w:type="dxa"/>
          </w:tcPr>
          <w:p w14:paraId="4853D91E" w14:textId="48391BCE" w:rsidR="00D975B2" w:rsidRPr="00D975B2" w:rsidRDefault="00D975B2" w:rsidP="00D975B2">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rsidRPr="00923C75">
              <w:t>Primary Capacity $/PCAF-kW-yr</w:t>
            </w:r>
          </w:p>
        </w:tc>
        <w:tc>
          <w:tcPr>
            <w:tcW w:w="1613" w:type="dxa"/>
          </w:tcPr>
          <w:p w14:paraId="53BD35FB" w14:textId="51EC9370" w:rsidR="00D975B2" w:rsidRPr="00D975B2" w:rsidRDefault="00D975B2" w:rsidP="00D975B2">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rsidRPr="00923C75">
              <w:t>Secondary $/FLT-kW-yr</w:t>
            </w:r>
          </w:p>
        </w:tc>
      </w:tr>
      <w:tr w:rsidR="009E2B39" w:rsidRPr="00D975B2" w14:paraId="33E82837" w14:textId="095B4F15" w:rsidTr="009E2B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hideMark/>
          </w:tcPr>
          <w:p w14:paraId="63EB3F03" w14:textId="33D75DD2" w:rsidR="009E2B39" w:rsidRPr="00D975B2" w:rsidRDefault="009E2B39" w:rsidP="009E2B39">
            <w:pPr>
              <w:pStyle w:val="NoSpacing"/>
              <w:rPr>
                <w:b w:val="0"/>
                <w:bCs w:val="0"/>
              </w:rPr>
            </w:pPr>
            <w:r>
              <w:t>Central Coast</w:t>
            </w:r>
            <w:r w:rsidRPr="00D975B2">
              <w:t> </w:t>
            </w:r>
          </w:p>
        </w:tc>
        <w:tc>
          <w:tcPr>
            <w:tcW w:w="916" w:type="dxa"/>
            <w:noWrap/>
          </w:tcPr>
          <w:p w14:paraId="52DD35C6" w14:textId="27195EC4"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rPr>
                <w:b/>
                <w:bCs/>
              </w:rPr>
            </w:pPr>
            <w:r w:rsidRPr="00D975B2">
              <w:t>4</w:t>
            </w:r>
          </w:p>
        </w:tc>
        <w:tc>
          <w:tcPr>
            <w:tcW w:w="2522" w:type="dxa"/>
            <w:noWrap/>
          </w:tcPr>
          <w:p w14:paraId="0B64C50D" w14:textId="13555C46"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rPr>
                <w:b/>
                <w:bCs/>
              </w:rPr>
            </w:pPr>
            <w:r w:rsidRPr="00D975B2">
              <w:t>$7.71</w:t>
            </w:r>
          </w:p>
        </w:tc>
        <w:tc>
          <w:tcPr>
            <w:tcW w:w="2601" w:type="dxa"/>
          </w:tcPr>
          <w:p w14:paraId="01AAC010" w14:textId="4CC19F74"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rPr>
                <w:b/>
                <w:bCs/>
              </w:rPr>
            </w:pPr>
            <w:r w:rsidRPr="00D975B2">
              <w:t>$69.09</w:t>
            </w:r>
          </w:p>
        </w:tc>
        <w:tc>
          <w:tcPr>
            <w:tcW w:w="1613" w:type="dxa"/>
          </w:tcPr>
          <w:p w14:paraId="0EF5861D" w14:textId="3B0EFD8E"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rPr>
                <w:b/>
                <w:bCs/>
              </w:rPr>
            </w:pPr>
            <w:r w:rsidRPr="00D975B2">
              <w:t>$1.04</w:t>
            </w:r>
          </w:p>
        </w:tc>
      </w:tr>
      <w:tr w:rsidR="009E2B39" w:rsidRPr="00D975B2" w14:paraId="09598269" w14:textId="2CD5FFFC" w:rsidTr="009E2B39">
        <w:trPr>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tcPr>
          <w:p w14:paraId="6C5B8B10" w14:textId="5AA4CB7F" w:rsidR="009E2B39" w:rsidRPr="009E2B39" w:rsidRDefault="009E2B39" w:rsidP="009E2B39">
            <w:pPr>
              <w:pStyle w:val="NoSpacing"/>
            </w:pPr>
            <w:r w:rsidRPr="009E2B39">
              <w:t>De Anza</w:t>
            </w:r>
          </w:p>
        </w:tc>
        <w:tc>
          <w:tcPr>
            <w:tcW w:w="916" w:type="dxa"/>
            <w:noWrap/>
          </w:tcPr>
          <w:p w14:paraId="0EF2D0CA" w14:textId="49221750"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rPr>
                <w:i/>
                <w:iCs/>
              </w:rPr>
            </w:pPr>
            <w:r w:rsidRPr="00D975B2">
              <w:t>4</w:t>
            </w:r>
          </w:p>
        </w:tc>
        <w:tc>
          <w:tcPr>
            <w:tcW w:w="2522" w:type="dxa"/>
            <w:noWrap/>
          </w:tcPr>
          <w:p w14:paraId="14407F1F" w14:textId="3BE53307"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rPr>
                <w:i/>
                <w:iCs/>
              </w:rPr>
            </w:pPr>
            <w:r w:rsidRPr="00D975B2">
              <w:t>$7.71</w:t>
            </w:r>
          </w:p>
        </w:tc>
        <w:tc>
          <w:tcPr>
            <w:tcW w:w="2601" w:type="dxa"/>
          </w:tcPr>
          <w:p w14:paraId="5F65CF51" w14:textId="62E35AA6"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rPr>
                <w:i/>
                <w:iCs/>
              </w:rPr>
            </w:pPr>
            <w:r w:rsidRPr="00D975B2">
              <w:t>$35.65</w:t>
            </w:r>
          </w:p>
        </w:tc>
        <w:tc>
          <w:tcPr>
            <w:tcW w:w="1613" w:type="dxa"/>
          </w:tcPr>
          <w:p w14:paraId="28CA202B" w14:textId="47197A9B"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rPr>
                <w:i/>
                <w:iCs/>
              </w:rPr>
            </w:pPr>
            <w:r w:rsidRPr="00D975B2">
              <w:t>$1.01</w:t>
            </w:r>
          </w:p>
        </w:tc>
      </w:tr>
      <w:tr w:rsidR="009E2B39" w:rsidRPr="00D975B2" w14:paraId="1F363ED7" w14:textId="4FD81E6B" w:rsidTr="009E2B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tcPr>
          <w:p w14:paraId="49ECA7D2" w14:textId="5812D3CA" w:rsidR="009E2B39" w:rsidRPr="00D975B2" w:rsidRDefault="009E2B39" w:rsidP="009E2B39">
            <w:pPr>
              <w:pStyle w:val="NoSpacing"/>
            </w:pPr>
            <w:r>
              <w:t>Diablo</w:t>
            </w:r>
          </w:p>
        </w:tc>
        <w:tc>
          <w:tcPr>
            <w:tcW w:w="916" w:type="dxa"/>
            <w:noWrap/>
          </w:tcPr>
          <w:p w14:paraId="16EF0D8A" w14:textId="37816027"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12</w:t>
            </w:r>
          </w:p>
        </w:tc>
        <w:tc>
          <w:tcPr>
            <w:tcW w:w="2522" w:type="dxa"/>
            <w:noWrap/>
          </w:tcPr>
          <w:p w14:paraId="6BE73056" w14:textId="79529BD2"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$7.71</w:t>
            </w:r>
          </w:p>
        </w:tc>
        <w:tc>
          <w:tcPr>
            <w:tcW w:w="2601" w:type="dxa"/>
          </w:tcPr>
          <w:p w14:paraId="2EEB4DD5" w14:textId="7130B774"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$17.78</w:t>
            </w:r>
          </w:p>
        </w:tc>
        <w:tc>
          <w:tcPr>
            <w:tcW w:w="1613" w:type="dxa"/>
          </w:tcPr>
          <w:p w14:paraId="3113D3CD" w14:textId="74FADA31"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$1.56</w:t>
            </w:r>
          </w:p>
        </w:tc>
      </w:tr>
      <w:tr w:rsidR="009E2B39" w:rsidRPr="00D975B2" w14:paraId="2FBFB21D" w14:textId="1E7EB52B" w:rsidTr="009E2B39">
        <w:trPr>
          <w:trHeight w:val="77"/>
          <w:jc w:val="center"/>
        </w:trPr>
        <w:tc>
          <w:tcPr>
            <w:cnfStyle w:val="001000000000" w:firstRow="0" w:lastRow="0" w:firstColumn="1" w:lastColumn="0" w:oddVBand="0" w:evenVBand="0" w:oddHBand="0" w:evenHBand="0" w:firstRowFirstColumn="0" w:firstRowLastColumn="0" w:lastRowFirstColumn="0" w:lastRowLastColumn="0"/>
            <w:tcW w:w="1698" w:type="dxa"/>
            <w:noWrap/>
          </w:tcPr>
          <w:p w14:paraId="7F1591A6" w14:textId="0A225D3E" w:rsidR="009E2B39" w:rsidRPr="00D975B2" w:rsidRDefault="009E2B39" w:rsidP="009E2B39">
            <w:pPr>
              <w:pStyle w:val="NoSpacing"/>
            </w:pPr>
            <w:r>
              <w:t>East Bay</w:t>
            </w:r>
          </w:p>
        </w:tc>
        <w:tc>
          <w:tcPr>
            <w:tcW w:w="916" w:type="dxa"/>
            <w:noWrap/>
          </w:tcPr>
          <w:p w14:paraId="79817B72" w14:textId="56919025"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3A</w:t>
            </w:r>
          </w:p>
        </w:tc>
        <w:tc>
          <w:tcPr>
            <w:tcW w:w="2522" w:type="dxa"/>
            <w:noWrap/>
          </w:tcPr>
          <w:p w14:paraId="7769C536" w14:textId="2953CF82"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$7.71</w:t>
            </w:r>
          </w:p>
        </w:tc>
        <w:tc>
          <w:tcPr>
            <w:tcW w:w="2601" w:type="dxa"/>
          </w:tcPr>
          <w:p w14:paraId="2942A34E" w14:textId="0F4C6F91"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$19.99</w:t>
            </w:r>
          </w:p>
        </w:tc>
        <w:tc>
          <w:tcPr>
            <w:tcW w:w="1613" w:type="dxa"/>
          </w:tcPr>
          <w:p w14:paraId="7DF8E7E4" w14:textId="0260D024"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$0.88</w:t>
            </w:r>
          </w:p>
        </w:tc>
      </w:tr>
      <w:tr w:rsidR="009E2B39" w:rsidRPr="00D975B2" w14:paraId="252E421A" w14:textId="619586B2" w:rsidTr="009E2B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tcPr>
          <w:p w14:paraId="6820C1FF" w14:textId="584D6000" w:rsidR="009E2B39" w:rsidRPr="00D975B2" w:rsidRDefault="009E2B39" w:rsidP="009E2B39">
            <w:pPr>
              <w:pStyle w:val="NoSpacing"/>
            </w:pPr>
            <w:r>
              <w:t>Fresno</w:t>
            </w:r>
          </w:p>
        </w:tc>
        <w:tc>
          <w:tcPr>
            <w:tcW w:w="916" w:type="dxa"/>
            <w:noWrap/>
          </w:tcPr>
          <w:p w14:paraId="4BBF4E12" w14:textId="571DACF9"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13</w:t>
            </w:r>
          </w:p>
        </w:tc>
        <w:tc>
          <w:tcPr>
            <w:tcW w:w="2522" w:type="dxa"/>
            <w:noWrap/>
          </w:tcPr>
          <w:p w14:paraId="0522DABD" w14:textId="2881B9A2"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$7.71</w:t>
            </w:r>
          </w:p>
        </w:tc>
        <w:tc>
          <w:tcPr>
            <w:tcW w:w="2601" w:type="dxa"/>
          </w:tcPr>
          <w:p w14:paraId="2DED26B7" w14:textId="13BB38EC"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$39.52</w:t>
            </w:r>
          </w:p>
        </w:tc>
        <w:tc>
          <w:tcPr>
            <w:tcW w:w="1613" w:type="dxa"/>
          </w:tcPr>
          <w:p w14:paraId="405D3CBF" w14:textId="10836AA3"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$1.36</w:t>
            </w:r>
          </w:p>
        </w:tc>
      </w:tr>
      <w:tr w:rsidR="009E2B39" w:rsidRPr="00D975B2" w14:paraId="5940E129" w14:textId="77777777" w:rsidTr="009E2B39">
        <w:trPr>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tcPr>
          <w:p w14:paraId="5DA92127" w14:textId="7D427A05" w:rsidR="009E2B39" w:rsidRDefault="009E2B39" w:rsidP="009E2B39">
            <w:pPr>
              <w:pStyle w:val="NoSpacing"/>
            </w:pPr>
            <w:r>
              <w:t>Kern</w:t>
            </w:r>
          </w:p>
        </w:tc>
        <w:tc>
          <w:tcPr>
            <w:tcW w:w="916" w:type="dxa"/>
            <w:noWrap/>
          </w:tcPr>
          <w:p w14:paraId="3C69B441" w14:textId="1C9EABD6"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13</w:t>
            </w:r>
          </w:p>
        </w:tc>
        <w:tc>
          <w:tcPr>
            <w:tcW w:w="2522" w:type="dxa"/>
            <w:noWrap/>
          </w:tcPr>
          <w:p w14:paraId="3E34E859" w14:textId="0E32E233"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$7.71</w:t>
            </w:r>
          </w:p>
        </w:tc>
        <w:tc>
          <w:tcPr>
            <w:tcW w:w="2601" w:type="dxa"/>
          </w:tcPr>
          <w:p w14:paraId="0EC263CB" w14:textId="511C6D82"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$34.07</w:t>
            </w:r>
          </w:p>
        </w:tc>
        <w:tc>
          <w:tcPr>
            <w:tcW w:w="1613" w:type="dxa"/>
          </w:tcPr>
          <w:p w14:paraId="527B24D5" w14:textId="4AA1E9CB"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$1.23</w:t>
            </w:r>
          </w:p>
        </w:tc>
      </w:tr>
      <w:tr w:rsidR="009E2B39" w:rsidRPr="00D975B2" w14:paraId="04554F17" w14:textId="77777777" w:rsidTr="009E2B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tcPr>
          <w:p w14:paraId="290ABD4F" w14:textId="2DF2D37D" w:rsidR="009E2B39" w:rsidRDefault="009E2B39" w:rsidP="009E2B39">
            <w:pPr>
              <w:pStyle w:val="NoSpacing"/>
            </w:pPr>
            <w:r>
              <w:t>Los Padres</w:t>
            </w:r>
          </w:p>
        </w:tc>
        <w:tc>
          <w:tcPr>
            <w:tcW w:w="916" w:type="dxa"/>
            <w:noWrap/>
          </w:tcPr>
          <w:p w14:paraId="1C0D4A41" w14:textId="4092FB38"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5</w:t>
            </w:r>
          </w:p>
        </w:tc>
        <w:tc>
          <w:tcPr>
            <w:tcW w:w="2522" w:type="dxa"/>
            <w:noWrap/>
          </w:tcPr>
          <w:p w14:paraId="44E66F30" w14:textId="61BC7174"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$7.71</w:t>
            </w:r>
          </w:p>
        </w:tc>
        <w:tc>
          <w:tcPr>
            <w:tcW w:w="2601" w:type="dxa"/>
          </w:tcPr>
          <w:p w14:paraId="57445A87" w14:textId="15594E61"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$56.49</w:t>
            </w:r>
          </w:p>
        </w:tc>
        <w:tc>
          <w:tcPr>
            <w:tcW w:w="1613" w:type="dxa"/>
          </w:tcPr>
          <w:p w14:paraId="7451E1EE" w14:textId="1E208D8C"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$1.06</w:t>
            </w:r>
          </w:p>
        </w:tc>
      </w:tr>
      <w:tr w:rsidR="009E2B39" w:rsidRPr="00D975B2" w14:paraId="65865817" w14:textId="77777777" w:rsidTr="009E2B39">
        <w:trPr>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tcPr>
          <w:p w14:paraId="57C7E0EC" w14:textId="4E9273F2" w:rsidR="009E2B39" w:rsidRDefault="009E2B39" w:rsidP="009E2B39">
            <w:pPr>
              <w:pStyle w:val="NoSpacing"/>
            </w:pPr>
            <w:r>
              <w:t>Mission</w:t>
            </w:r>
          </w:p>
        </w:tc>
        <w:tc>
          <w:tcPr>
            <w:tcW w:w="916" w:type="dxa"/>
            <w:noWrap/>
          </w:tcPr>
          <w:p w14:paraId="2A0CA716" w14:textId="61E2F113"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3B</w:t>
            </w:r>
          </w:p>
        </w:tc>
        <w:tc>
          <w:tcPr>
            <w:tcW w:w="2522" w:type="dxa"/>
            <w:noWrap/>
          </w:tcPr>
          <w:p w14:paraId="4272B94E" w14:textId="5A474F1A"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$7.71</w:t>
            </w:r>
          </w:p>
        </w:tc>
        <w:tc>
          <w:tcPr>
            <w:tcW w:w="2601" w:type="dxa"/>
          </w:tcPr>
          <w:p w14:paraId="463BB5A9" w14:textId="7CB2732E"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$13.63</w:t>
            </w:r>
          </w:p>
        </w:tc>
        <w:tc>
          <w:tcPr>
            <w:tcW w:w="1613" w:type="dxa"/>
          </w:tcPr>
          <w:p w14:paraId="7BB4E371" w14:textId="64F9AAA3"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$0.97</w:t>
            </w:r>
          </w:p>
        </w:tc>
      </w:tr>
      <w:tr w:rsidR="009E2B39" w:rsidRPr="00D975B2" w14:paraId="5C268782" w14:textId="77777777" w:rsidTr="009E2B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tcPr>
          <w:p w14:paraId="6DEE55E0" w14:textId="75115BB1" w:rsidR="009E2B39" w:rsidRDefault="009E2B39" w:rsidP="009E2B39">
            <w:pPr>
              <w:pStyle w:val="NoSpacing"/>
            </w:pPr>
            <w:r>
              <w:t>North Bay</w:t>
            </w:r>
          </w:p>
        </w:tc>
        <w:tc>
          <w:tcPr>
            <w:tcW w:w="916" w:type="dxa"/>
            <w:noWrap/>
          </w:tcPr>
          <w:p w14:paraId="6B616550" w14:textId="59142407"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2</w:t>
            </w:r>
          </w:p>
        </w:tc>
        <w:tc>
          <w:tcPr>
            <w:tcW w:w="2522" w:type="dxa"/>
            <w:noWrap/>
          </w:tcPr>
          <w:p w14:paraId="1278A07B" w14:textId="74B70133"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$7.71</w:t>
            </w:r>
          </w:p>
        </w:tc>
        <w:tc>
          <w:tcPr>
            <w:tcW w:w="2601" w:type="dxa"/>
          </w:tcPr>
          <w:p w14:paraId="38B1503F" w14:textId="2BB5E782"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$29.42</w:t>
            </w:r>
          </w:p>
        </w:tc>
        <w:tc>
          <w:tcPr>
            <w:tcW w:w="1613" w:type="dxa"/>
          </w:tcPr>
          <w:p w14:paraId="05605842" w14:textId="7C7F21F1"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$1.75</w:t>
            </w:r>
          </w:p>
        </w:tc>
      </w:tr>
      <w:tr w:rsidR="009E2B39" w:rsidRPr="00D975B2" w14:paraId="00D1BA35" w14:textId="77777777" w:rsidTr="009E2B39">
        <w:trPr>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tcPr>
          <w:p w14:paraId="4D297485" w14:textId="2CB989A1" w:rsidR="009E2B39" w:rsidRDefault="009E2B39" w:rsidP="009E2B39">
            <w:pPr>
              <w:pStyle w:val="NoSpacing"/>
            </w:pPr>
            <w:r>
              <w:t>North Coast</w:t>
            </w:r>
            <w:r w:rsidR="00F1119C">
              <w:rPr>
                <w:rStyle w:val="FootnoteReference"/>
              </w:rPr>
              <w:footnoteReference w:id="19"/>
            </w:r>
          </w:p>
        </w:tc>
        <w:tc>
          <w:tcPr>
            <w:tcW w:w="916" w:type="dxa"/>
            <w:noWrap/>
          </w:tcPr>
          <w:p w14:paraId="4A67FA8B" w14:textId="344611D6"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1</w:t>
            </w:r>
          </w:p>
        </w:tc>
        <w:tc>
          <w:tcPr>
            <w:tcW w:w="2522" w:type="dxa"/>
            <w:noWrap/>
          </w:tcPr>
          <w:p w14:paraId="12037360" w14:textId="7F271F2C"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$7.71</w:t>
            </w:r>
          </w:p>
        </w:tc>
        <w:tc>
          <w:tcPr>
            <w:tcW w:w="2601" w:type="dxa"/>
          </w:tcPr>
          <w:p w14:paraId="296DEB4A" w14:textId="1AE3D26C"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$73.97</w:t>
            </w:r>
          </w:p>
        </w:tc>
        <w:tc>
          <w:tcPr>
            <w:tcW w:w="1613" w:type="dxa"/>
          </w:tcPr>
          <w:p w14:paraId="78E83F4F" w14:textId="310C4164"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$1.12</w:t>
            </w:r>
          </w:p>
        </w:tc>
      </w:tr>
      <w:tr w:rsidR="009E2B39" w:rsidRPr="00D975B2" w14:paraId="767B6F65" w14:textId="77777777" w:rsidTr="009E2B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tcPr>
          <w:p w14:paraId="08E12427" w14:textId="5DABC8C1" w:rsidR="009E2B39" w:rsidRDefault="009E2B39" w:rsidP="009E2B39">
            <w:pPr>
              <w:pStyle w:val="NoSpacing"/>
            </w:pPr>
            <w:r>
              <w:t>North Valley</w:t>
            </w:r>
          </w:p>
        </w:tc>
        <w:tc>
          <w:tcPr>
            <w:tcW w:w="916" w:type="dxa"/>
            <w:noWrap/>
          </w:tcPr>
          <w:p w14:paraId="403495AE" w14:textId="3E357018"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16</w:t>
            </w:r>
          </w:p>
        </w:tc>
        <w:tc>
          <w:tcPr>
            <w:tcW w:w="2522" w:type="dxa"/>
            <w:noWrap/>
          </w:tcPr>
          <w:p w14:paraId="3C5F0B51" w14:textId="231A2F99"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$7.71</w:t>
            </w:r>
          </w:p>
        </w:tc>
        <w:tc>
          <w:tcPr>
            <w:tcW w:w="2601" w:type="dxa"/>
          </w:tcPr>
          <w:p w14:paraId="2541EF28" w14:textId="3EA0C31E"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$53.40</w:t>
            </w:r>
          </w:p>
        </w:tc>
        <w:tc>
          <w:tcPr>
            <w:tcW w:w="1613" w:type="dxa"/>
          </w:tcPr>
          <w:p w14:paraId="6D808501" w14:textId="386A3B21"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$1.26</w:t>
            </w:r>
          </w:p>
        </w:tc>
      </w:tr>
      <w:tr w:rsidR="009E2B39" w:rsidRPr="00D975B2" w14:paraId="7B226224" w14:textId="77777777" w:rsidTr="009E2B39">
        <w:trPr>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tcPr>
          <w:p w14:paraId="66128119" w14:textId="75629213" w:rsidR="009E2B39" w:rsidRDefault="009E2B39" w:rsidP="009E2B39">
            <w:pPr>
              <w:pStyle w:val="NoSpacing"/>
            </w:pPr>
            <w:r>
              <w:t>Peninsula</w:t>
            </w:r>
          </w:p>
        </w:tc>
        <w:tc>
          <w:tcPr>
            <w:tcW w:w="916" w:type="dxa"/>
            <w:noWrap/>
          </w:tcPr>
          <w:p w14:paraId="6EEF9397" w14:textId="5E6B23AC"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3A</w:t>
            </w:r>
          </w:p>
        </w:tc>
        <w:tc>
          <w:tcPr>
            <w:tcW w:w="2522" w:type="dxa"/>
            <w:noWrap/>
          </w:tcPr>
          <w:p w14:paraId="77FDFD31" w14:textId="4F4470A6"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$7.71</w:t>
            </w:r>
          </w:p>
        </w:tc>
        <w:tc>
          <w:tcPr>
            <w:tcW w:w="2601" w:type="dxa"/>
          </w:tcPr>
          <w:p w14:paraId="65E72C05" w14:textId="0FA2711E"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$31.79</w:t>
            </w:r>
          </w:p>
        </w:tc>
        <w:tc>
          <w:tcPr>
            <w:tcW w:w="1613" w:type="dxa"/>
          </w:tcPr>
          <w:p w14:paraId="7090B952" w14:textId="65DA3315"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$1.06</w:t>
            </w:r>
          </w:p>
        </w:tc>
      </w:tr>
      <w:tr w:rsidR="009E2B39" w:rsidRPr="00D975B2" w14:paraId="1BDA80F9" w14:textId="77777777" w:rsidTr="009E2B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tcPr>
          <w:p w14:paraId="711BF9E2" w14:textId="41E84342" w:rsidR="009E2B39" w:rsidRDefault="009E2B39" w:rsidP="009E2B39">
            <w:pPr>
              <w:pStyle w:val="NoSpacing"/>
            </w:pPr>
            <w:r>
              <w:t>Sacramento</w:t>
            </w:r>
          </w:p>
        </w:tc>
        <w:tc>
          <w:tcPr>
            <w:tcW w:w="916" w:type="dxa"/>
            <w:noWrap/>
          </w:tcPr>
          <w:p w14:paraId="594E4837" w14:textId="7EE6ACC1"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11</w:t>
            </w:r>
          </w:p>
        </w:tc>
        <w:tc>
          <w:tcPr>
            <w:tcW w:w="2522" w:type="dxa"/>
            <w:noWrap/>
          </w:tcPr>
          <w:p w14:paraId="2B353C39" w14:textId="727E592D"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$7.71</w:t>
            </w:r>
          </w:p>
        </w:tc>
        <w:tc>
          <w:tcPr>
            <w:tcW w:w="2601" w:type="dxa"/>
          </w:tcPr>
          <w:p w14:paraId="3454332B" w14:textId="7430174B"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$40.91</w:t>
            </w:r>
          </w:p>
        </w:tc>
        <w:tc>
          <w:tcPr>
            <w:tcW w:w="1613" w:type="dxa"/>
          </w:tcPr>
          <w:p w14:paraId="1D3BD802" w14:textId="73FA9380"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$1.22</w:t>
            </w:r>
          </w:p>
        </w:tc>
      </w:tr>
      <w:tr w:rsidR="009E2B39" w:rsidRPr="00D975B2" w14:paraId="0952D766" w14:textId="77777777" w:rsidTr="009E2B39">
        <w:trPr>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tcPr>
          <w:p w14:paraId="2892856F" w14:textId="096D6237" w:rsidR="009E2B39" w:rsidRDefault="009E2B39" w:rsidP="009E2B39">
            <w:pPr>
              <w:pStyle w:val="NoSpacing"/>
            </w:pPr>
            <w:r>
              <w:t>San Francisco</w:t>
            </w:r>
          </w:p>
        </w:tc>
        <w:tc>
          <w:tcPr>
            <w:tcW w:w="916" w:type="dxa"/>
            <w:noWrap/>
          </w:tcPr>
          <w:p w14:paraId="1815B6EA" w14:textId="6EF98E0F"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3A</w:t>
            </w:r>
          </w:p>
        </w:tc>
        <w:tc>
          <w:tcPr>
            <w:tcW w:w="2522" w:type="dxa"/>
            <w:noWrap/>
          </w:tcPr>
          <w:p w14:paraId="1416DC58" w14:textId="76CBB953"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$7.71</w:t>
            </w:r>
          </w:p>
        </w:tc>
        <w:tc>
          <w:tcPr>
            <w:tcW w:w="2601" w:type="dxa"/>
          </w:tcPr>
          <w:p w14:paraId="4C0FCB53" w14:textId="0091AA4E"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$40.41</w:t>
            </w:r>
          </w:p>
        </w:tc>
        <w:tc>
          <w:tcPr>
            <w:tcW w:w="1613" w:type="dxa"/>
          </w:tcPr>
          <w:p w14:paraId="14F80134" w14:textId="6F3F1D44"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$1.52</w:t>
            </w:r>
          </w:p>
        </w:tc>
      </w:tr>
      <w:tr w:rsidR="009E2B39" w:rsidRPr="00D975B2" w14:paraId="4DD8F368" w14:textId="77777777" w:rsidTr="009E2B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tcPr>
          <w:p w14:paraId="4A1E1DAD" w14:textId="4B067779" w:rsidR="009E2B39" w:rsidRPr="009E2B39" w:rsidRDefault="009E2B39" w:rsidP="009E2B39">
            <w:pPr>
              <w:pStyle w:val="NoSpacing"/>
              <w:rPr>
                <w:b w:val="0"/>
                <w:bCs w:val="0"/>
              </w:rPr>
            </w:pPr>
            <w:r>
              <w:t>San Jose</w:t>
            </w:r>
          </w:p>
        </w:tc>
        <w:tc>
          <w:tcPr>
            <w:tcW w:w="916" w:type="dxa"/>
            <w:noWrap/>
          </w:tcPr>
          <w:p w14:paraId="0065437A" w14:textId="6352BCFA"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4</w:t>
            </w:r>
          </w:p>
        </w:tc>
        <w:tc>
          <w:tcPr>
            <w:tcW w:w="2522" w:type="dxa"/>
            <w:noWrap/>
          </w:tcPr>
          <w:p w14:paraId="47DA59B0" w14:textId="7828B130"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$7.71</w:t>
            </w:r>
          </w:p>
        </w:tc>
        <w:tc>
          <w:tcPr>
            <w:tcW w:w="2601" w:type="dxa"/>
          </w:tcPr>
          <w:p w14:paraId="1EAFA1E3" w14:textId="4C226DA1"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$40.12</w:t>
            </w:r>
          </w:p>
        </w:tc>
        <w:tc>
          <w:tcPr>
            <w:tcW w:w="1613" w:type="dxa"/>
          </w:tcPr>
          <w:p w14:paraId="52E2475F" w14:textId="5FD4A89B"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$1.16</w:t>
            </w:r>
          </w:p>
        </w:tc>
      </w:tr>
      <w:tr w:rsidR="009E2B39" w:rsidRPr="00D975B2" w14:paraId="27650F56" w14:textId="77777777" w:rsidTr="009E2B39">
        <w:trPr>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tcPr>
          <w:p w14:paraId="16FECC34" w14:textId="522243FC" w:rsidR="009E2B39" w:rsidRDefault="009E2B39" w:rsidP="009E2B39">
            <w:pPr>
              <w:pStyle w:val="NoSpacing"/>
            </w:pPr>
            <w:r>
              <w:t>Sierra</w:t>
            </w:r>
          </w:p>
        </w:tc>
        <w:tc>
          <w:tcPr>
            <w:tcW w:w="916" w:type="dxa"/>
            <w:noWrap/>
          </w:tcPr>
          <w:p w14:paraId="47EC9E30" w14:textId="7C552A75"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11</w:t>
            </w:r>
          </w:p>
        </w:tc>
        <w:tc>
          <w:tcPr>
            <w:tcW w:w="2522" w:type="dxa"/>
            <w:noWrap/>
          </w:tcPr>
          <w:p w14:paraId="5B7D7339" w14:textId="6A4AB6C6"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$7.71</w:t>
            </w:r>
          </w:p>
        </w:tc>
        <w:tc>
          <w:tcPr>
            <w:tcW w:w="2601" w:type="dxa"/>
          </w:tcPr>
          <w:p w14:paraId="76BA3F19" w14:textId="4F52B5E7"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$30.65</w:t>
            </w:r>
          </w:p>
        </w:tc>
        <w:tc>
          <w:tcPr>
            <w:tcW w:w="1613" w:type="dxa"/>
          </w:tcPr>
          <w:p w14:paraId="6213A9C7" w14:textId="33192EF1"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$1.25</w:t>
            </w:r>
          </w:p>
        </w:tc>
      </w:tr>
      <w:tr w:rsidR="009E2B39" w:rsidRPr="00D975B2" w14:paraId="08EAEAD4" w14:textId="77777777" w:rsidTr="009E2B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tcPr>
          <w:p w14:paraId="6B0A1A20" w14:textId="0796EB06" w:rsidR="009E2B39" w:rsidRDefault="009E2B39" w:rsidP="009E2B39">
            <w:pPr>
              <w:pStyle w:val="NoSpacing"/>
            </w:pPr>
            <w:r>
              <w:t>Stockton</w:t>
            </w:r>
          </w:p>
        </w:tc>
        <w:tc>
          <w:tcPr>
            <w:tcW w:w="916" w:type="dxa"/>
            <w:noWrap/>
          </w:tcPr>
          <w:p w14:paraId="7D992D31" w14:textId="682AAD17"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12</w:t>
            </w:r>
          </w:p>
        </w:tc>
        <w:tc>
          <w:tcPr>
            <w:tcW w:w="2522" w:type="dxa"/>
            <w:noWrap/>
          </w:tcPr>
          <w:p w14:paraId="78679C78" w14:textId="483F2784"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$7.71</w:t>
            </w:r>
          </w:p>
        </w:tc>
        <w:tc>
          <w:tcPr>
            <w:tcW w:w="2601" w:type="dxa"/>
          </w:tcPr>
          <w:p w14:paraId="39EAA88C" w14:textId="39DBDCD4"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$33.36</w:t>
            </w:r>
          </w:p>
        </w:tc>
        <w:tc>
          <w:tcPr>
            <w:tcW w:w="1613" w:type="dxa"/>
          </w:tcPr>
          <w:p w14:paraId="7A50CD8F" w14:textId="42B37DBE" w:rsidR="009E2B39" w:rsidRPr="00D975B2" w:rsidRDefault="009E2B39" w:rsidP="009E2B39">
            <w:pPr>
              <w:pStyle w:val="NoSpacing"/>
              <w:jc w:val="center"/>
              <w:cnfStyle w:val="000000100000" w:firstRow="0" w:lastRow="0" w:firstColumn="0" w:lastColumn="0" w:oddVBand="0" w:evenVBand="0" w:oddHBand="1" w:evenHBand="0" w:firstRowFirstColumn="0" w:firstRowLastColumn="0" w:lastRowFirstColumn="0" w:lastRowLastColumn="0"/>
            </w:pPr>
            <w:r w:rsidRPr="00D975B2">
              <w:t>$1.34</w:t>
            </w:r>
          </w:p>
        </w:tc>
      </w:tr>
      <w:tr w:rsidR="009E2B39" w:rsidRPr="00D975B2" w14:paraId="20CF29A1" w14:textId="77777777" w:rsidTr="009E2B39">
        <w:trPr>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tcPr>
          <w:p w14:paraId="373F6E81" w14:textId="43C2FBCD" w:rsidR="009E2B39" w:rsidRDefault="009E2B39" w:rsidP="009E2B39">
            <w:pPr>
              <w:pStyle w:val="NoSpacing"/>
            </w:pPr>
            <w:r>
              <w:t>Yosemite</w:t>
            </w:r>
          </w:p>
        </w:tc>
        <w:tc>
          <w:tcPr>
            <w:tcW w:w="916" w:type="dxa"/>
            <w:noWrap/>
          </w:tcPr>
          <w:p w14:paraId="177F1A24" w14:textId="7AEBBBDC"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13</w:t>
            </w:r>
          </w:p>
        </w:tc>
        <w:tc>
          <w:tcPr>
            <w:tcW w:w="2522" w:type="dxa"/>
            <w:noWrap/>
          </w:tcPr>
          <w:p w14:paraId="021A914D" w14:textId="4092DEF5"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$7.71</w:t>
            </w:r>
          </w:p>
        </w:tc>
        <w:tc>
          <w:tcPr>
            <w:tcW w:w="2601" w:type="dxa"/>
          </w:tcPr>
          <w:p w14:paraId="5044EF9E" w14:textId="5D80368B"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$60.18</w:t>
            </w:r>
          </w:p>
        </w:tc>
        <w:tc>
          <w:tcPr>
            <w:tcW w:w="1613" w:type="dxa"/>
          </w:tcPr>
          <w:p w14:paraId="7FA96686" w14:textId="1AB94EA9" w:rsidR="009E2B39" w:rsidRPr="00D975B2" w:rsidRDefault="009E2B39" w:rsidP="009E2B39">
            <w:pPr>
              <w:pStyle w:val="NoSpacing"/>
              <w:jc w:val="center"/>
              <w:cnfStyle w:val="000000000000" w:firstRow="0" w:lastRow="0" w:firstColumn="0" w:lastColumn="0" w:oddVBand="0" w:evenVBand="0" w:oddHBand="0" w:evenHBand="0" w:firstRowFirstColumn="0" w:firstRowLastColumn="0" w:lastRowFirstColumn="0" w:lastRowLastColumn="0"/>
            </w:pPr>
            <w:r w:rsidRPr="00D975B2">
              <w:t>$1.56</w:t>
            </w:r>
          </w:p>
        </w:tc>
      </w:tr>
    </w:tbl>
    <w:p w14:paraId="77CE38BE" w14:textId="77777777" w:rsidR="00D975B2" w:rsidRDefault="00D975B2" w:rsidP="008A6BDD">
      <w:pPr>
        <w:pStyle w:val="NoSpacing"/>
      </w:pPr>
    </w:p>
    <w:p w14:paraId="448E5425" w14:textId="2A81D8EC" w:rsidR="00273CE0" w:rsidRPr="00E72735" w:rsidRDefault="00273CE0" w:rsidP="00273CE0">
      <w:r>
        <w:t>The value of deferring distribution investments is highly dependent the type and size of the equipment deferred and the rate of load growth, both of which vary significantly by location</w:t>
      </w:r>
      <w:r w:rsidR="005C385F">
        <w:t xml:space="preserve">. </w:t>
      </w:r>
      <w:r>
        <w:t>Furthermore, some distribution costs are driven by distance or number of customers rather than load and are therefore not avoided with reduced energy consumption</w:t>
      </w:r>
      <w:r w:rsidR="005C385F">
        <w:t xml:space="preserve">. </w:t>
      </w:r>
      <w:r>
        <w:t xml:space="preserve">However, </w:t>
      </w:r>
      <w:r>
        <w:lastRenderedPageBreak/>
        <w:t>expediency and data limitations preclude analysis at a feeder by feeder level for a statewide analysis of avoided costs</w:t>
      </w:r>
      <w:r w:rsidR="005C385F">
        <w:t xml:space="preserve">. </w:t>
      </w:r>
      <w:r w:rsidR="00510478">
        <w:t xml:space="preserve">A more detailed examination of distribution avoided costs is currently underway for the IOUs as part of the Distribution Resource Plan proceeding (R.14-08-013). </w:t>
      </w:r>
      <w:r>
        <w:t>The costs taken from utility rate case filings are used as a reasonable proxy for the long-run marginal cost</w:t>
      </w:r>
      <w:r w:rsidR="009B4292">
        <w:t xml:space="preserve"> of</w:t>
      </w:r>
      <w:r>
        <w:t xml:space="preserve"> T&amp;D investment that is avoided over time with the addition of distributed energy resources</w:t>
      </w:r>
      <w:r w:rsidR="005C385F">
        <w:t xml:space="preserve">. </w:t>
      </w:r>
    </w:p>
    <w:p w14:paraId="794A93CD" w14:textId="77777777" w:rsidR="0097492A" w:rsidRDefault="00273CE0" w:rsidP="0097492A">
      <w:r w:rsidRPr="001F41BC">
        <w:t>The value of deferring transmission and distribution investments is adjusted for losses during the peak</w:t>
      </w:r>
      <w:r w:rsidR="008A562A" w:rsidRPr="001F41BC">
        <w:t xml:space="preserve"> period using the factors shown </w:t>
      </w:r>
      <w:r w:rsidRPr="001F41BC">
        <w:t>in</w:t>
      </w:r>
      <w:r w:rsidR="008A562A" w:rsidRPr="001F41BC">
        <w:t xml:space="preserve"> </w:t>
      </w:r>
      <w:r w:rsidR="008A562A" w:rsidRPr="001F41BC">
        <w:fldChar w:fldCharType="begin"/>
      </w:r>
      <w:r w:rsidR="008A562A" w:rsidRPr="001F41BC">
        <w:instrText xml:space="preserve"> REF _Ref315352400 \h </w:instrText>
      </w:r>
      <w:r w:rsidR="001F41BC">
        <w:rPr>
          <w:b/>
          <w:bCs/>
        </w:rPr>
        <w:instrText xml:space="preserve"> \* MERGEFORMAT </w:instrText>
      </w:r>
      <w:r w:rsidR="008A562A" w:rsidRPr="001F41BC">
        <w:fldChar w:fldCharType="separate"/>
      </w:r>
      <w:r w:rsidR="0097492A">
        <w:t xml:space="preserve">Table </w:t>
      </w:r>
      <w:r w:rsidR="0097492A">
        <w:rPr>
          <w:noProof/>
        </w:rPr>
        <w:t>6</w:t>
      </w:r>
      <w:r w:rsidR="008A562A" w:rsidRPr="001F41BC">
        <w:fldChar w:fldCharType="end"/>
      </w:r>
      <w:r w:rsidR="008A562A" w:rsidRPr="001F41BC">
        <w:t xml:space="preserve"> </w:t>
      </w:r>
      <w:r w:rsidRPr="001F41BC">
        <w:t>and</w:t>
      </w:r>
      <w:r w:rsidR="001B7C4A">
        <w:t xml:space="preserve"> </w:t>
      </w:r>
      <w:r w:rsidR="008A562A" w:rsidRPr="001F41BC">
        <w:fldChar w:fldCharType="begin"/>
      </w:r>
      <w:r w:rsidR="008A562A" w:rsidRPr="001F41BC">
        <w:instrText xml:space="preserve"> REF _Ref315352406 \h </w:instrText>
      </w:r>
      <w:r w:rsidR="001F41BC">
        <w:rPr>
          <w:b/>
          <w:bCs/>
        </w:rPr>
        <w:instrText xml:space="preserve"> \* MERGEFORMAT </w:instrText>
      </w:r>
      <w:r w:rsidR="008A562A" w:rsidRPr="001F41BC">
        <w:fldChar w:fldCharType="separate"/>
      </w:r>
    </w:p>
    <w:p w14:paraId="233ED799" w14:textId="6E2804B2" w:rsidR="00273CE0" w:rsidRDefault="0097492A" w:rsidP="00273CE0">
      <w:r>
        <w:t xml:space="preserve">Table </w:t>
      </w:r>
      <w:r>
        <w:rPr>
          <w:noProof/>
        </w:rPr>
        <w:t>7</w:t>
      </w:r>
      <w:r w:rsidR="008A562A" w:rsidRPr="001F41BC">
        <w:fldChar w:fldCharType="end"/>
      </w:r>
      <w:r w:rsidR="005C385F">
        <w:t xml:space="preserve">. </w:t>
      </w:r>
      <w:r w:rsidR="00273CE0">
        <w:t>These factors are lower than the energy and generation capacity loss factors because they represent losses from secondary meter to only the distribution or transmission facilities.</w:t>
      </w:r>
    </w:p>
    <w:p w14:paraId="3CE1DF59" w14:textId="756A116C" w:rsidR="00273CE0" w:rsidRDefault="00273CE0" w:rsidP="00273CE0">
      <w:pPr>
        <w:pStyle w:val="Caption"/>
      </w:pPr>
      <w:bookmarkStart w:id="64" w:name="_Ref315352400"/>
      <w:r>
        <w:t xml:space="preserve">Table </w:t>
      </w:r>
      <w:r w:rsidR="00813981" w:rsidRPr="008A6BDD">
        <w:fldChar w:fldCharType="begin"/>
      </w:r>
      <w:r w:rsidR="00813981">
        <w:instrText xml:space="preserve"> SEQ Table \* ARABIC </w:instrText>
      </w:r>
      <w:r w:rsidR="00813981" w:rsidRPr="008A6BDD">
        <w:fldChar w:fldCharType="separate"/>
      </w:r>
      <w:r w:rsidR="0097492A">
        <w:rPr>
          <w:noProof/>
        </w:rPr>
        <w:t>6</w:t>
      </w:r>
      <w:r w:rsidR="00813981" w:rsidRPr="008A6BDD">
        <w:fldChar w:fldCharType="end"/>
      </w:r>
      <w:bookmarkEnd w:id="64"/>
      <w:r>
        <w:t xml:space="preserve">. Loss </w:t>
      </w:r>
      <w:r w:rsidR="009E2B39">
        <w:t>F</w:t>
      </w:r>
      <w:r>
        <w:t xml:space="preserve">actors for SCE and SDG&amp;E </w:t>
      </w:r>
      <w:r w:rsidR="00A962CD">
        <w:t>T</w:t>
      </w:r>
      <w:r>
        <w:t xml:space="preserve">ransmission and </w:t>
      </w:r>
      <w:r w:rsidR="00A962CD">
        <w:t>D</w:t>
      </w:r>
      <w:r>
        <w:t xml:space="preserve">istribution </w:t>
      </w:r>
      <w:r w:rsidR="00A962CD">
        <w:t>C</w:t>
      </w:r>
      <w:r>
        <w:t>apacity.</w:t>
      </w:r>
    </w:p>
    <w:tbl>
      <w:tblPr>
        <w:tblStyle w:val="ListTable3-Accent11"/>
        <w:tblW w:w="0" w:type="auto"/>
        <w:jc w:val="center"/>
        <w:tblLook w:val="01E0" w:firstRow="1" w:lastRow="1" w:firstColumn="1" w:lastColumn="1" w:noHBand="0" w:noVBand="0"/>
        <w:tblCaption w:val=""/>
        <w:tblDescription w:val=""/>
      </w:tblPr>
      <w:tblGrid>
        <w:gridCol w:w="1962"/>
        <w:gridCol w:w="718"/>
        <w:gridCol w:w="920"/>
      </w:tblGrid>
      <w:tr w:rsidR="00273CE0" w:rsidRPr="00D05611" w14:paraId="4A951EBE" w14:textId="77777777" w:rsidTr="009E2B3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962" w:type="dxa"/>
          </w:tcPr>
          <w:p w14:paraId="40424035" w14:textId="77777777" w:rsidR="00273CE0" w:rsidRPr="00D05611" w:rsidRDefault="00273CE0" w:rsidP="002E5AEA">
            <w:pPr>
              <w:spacing w:before="0" w:after="0" w:line="240" w:lineRule="auto"/>
            </w:pPr>
          </w:p>
        </w:tc>
        <w:tc>
          <w:tcPr>
            <w:cnfStyle w:val="000010000000" w:firstRow="0" w:lastRow="0" w:firstColumn="0" w:lastColumn="0" w:oddVBand="1" w:evenVBand="0" w:oddHBand="0" w:evenHBand="0" w:firstRowFirstColumn="0" w:firstRowLastColumn="0" w:lastRowFirstColumn="0" w:lastRowLastColumn="0"/>
            <w:tcW w:w="718" w:type="dxa"/>
          </w:tcPr>
          <w:p w14:paraId="48A61A27" w14:textId="77777777" w:rsidR="00273CE0" w:rsidRPr="009E2B39" w:rsidRDefault="00273CE0" w:rsidP="002E5AEA">
            <w:pPr>
              <w:spacing w:before="0" w:after="0" w:line="240" w:lineRule="auto"/>
              <w:jc w:val="center"/>
            </w:pPr>
            <w:r w:rsidRPr="009E2B39">
              <w:t>SCE</w:t>
            </w:r>
          </w:p>
        </w:tc>
        <w:tc>
          <w:tcPr>
            <w:cnfStyle w:val="000100001000" w:firstRow="0" w:lastRow="0" w:firstColumn="0" w:lastColumn="1" w:oddVBand="0" w:evenVBand="0" w:oddHBand="0" w:evenHBand="0" w:firstRowFirstColumn="0" w:firstRowLastColumn="1" w:lastRowFirstColumn="0" w:lastRowLastColumn="0"/>
            <w:tcW w:w="920" w:type="dxa"/>
          </w:tcPr>
          <w:p w14:paraId="27462F66" w14:textId="77777777" w:rsidR="00273CE0" w:rsidRPr="009E2B39" w:rsidRDefault="00273CE0" w:rsidP="002E5AEA">
            <w:pPr>
              <w:spacing w:before="0" w:after="0" w:line="240" w:lineRule="auto"/>
              <w:jc w:val="center"/>
            </w:pPr>
            <w:r w:rsidRPr="009E2B39">
              <w:t>SDG&amp;E</w:t>
            </w:r>
          </w:p>
        </w:tc>
      </w:tr>
      <w:tr w:rsidR="00273CE0" w:rsidRPr="00D05611" w14:paraId="33D07CA3" w14:textId="77777777" w:rsidTr="009E2B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2" w:type="dxa"/>
          </w:tcPr>
          <w:p w14:paraId="55C92BD3" w14:textId="77777777" w:rsidR="00273CE0" w:rsidRPr="00D05611" w:rsidRDefault="00273CE0" w:rsidP="002E5AEA">
            <w:pPr>
              <w:spacing w:before="0" w:after="0" w:line="240" w:lineRule="auto"/>
            </w:pPr>
            <w:r w:rsidRPr="008A6BDD">
              <w:rPr>
                <w:rFonts w:asciiTheme="minorHAnsi" w:eastAsiaTheme="minorEastAsia" w:hAnsiTheme="minorHAnsi" w:cstheme="minorBidi"/>
                <w:sz w:val="22"/>
                <w:szCs w:val="22"/>
              </w:rPr>
              <w:t>Distribution</w:t>
            </w:r>
          </w:p>
        </w:tc>
        <w:tc>
          <w:tcPr>
            <w:cnfStyle w:val="000010000000" w:firstRow="0" w:lastRow="0" w:firstColumn="0" w:lastColumn="0" w:oddVBand="1" w:evenVBand="0" w:oddHBand="0" w:evenHBand="0" w:firstRowFirstColumn="0" w:firstRowLastColumn="0" w:lastRowFirstColumn="0" w:lastRowLastColumn="0"/>
            <w:tcW w:w="718" w:type="dxa"/>
          </w:tcPr>
          <w:p w14:paraId="21A31E76" w14:textId="77777777" w:rsidR="00273CE0" w:rsidRPr="009E2B39" w:rsidRDefault="00273CE0" w:rsidP="002E5AEA">
            <w:pPr>
              <w:spacing w:before="0" w:after="0" w:line="240" w:lineRule="auto"/>
              <w:jc w:val="center"/>
            </w:pPr>
            <w:r w:rsidRPr="009E2B39">
              <w:rPr>
                <w:rFonts w:asciiTheme="minorHAnsi" w:eastAsiaTheme="minorEastAsia" w:hAnsiTheme="minorHAnsi" w:cstheme="minorBidi"/>
                <w:sz w:val="22"/>
                <w:szCs w:val="22"/>
              </w:rPr>
              <w:t>1.022</w:t>
            </w:r>
          </w:p>
        </w:tc>
        <w:tc>
          <w:tcPr>
            <w:cnfStyle w:val="000100000000" w:firstRow="0" w:lastRow="0" w:firstColumn="0" w:lastColumn="1" w:oddVBand="0" w:evenVBand="0" w:oddHBand="0" w:evenHBand="0" w:firstRowFirstColumn="0" w:firstRowLastColumn="0" w:lastRowFirstColumn="0" w:lastRowLastColumn="0"/>
            <w:tcW w:w="920" w:type="dxa"/>
          </w:tcPr>
          <w:p w14:paraId="09D4626C" w14:textId="77777777" w:rsidR="00273CE0" w:rsidRPr="009E2B39" w:rsidRDefault="00273CE0" w:rsidP="002E5AEA">
            <w:pPr>
              <w:spacing w:before="0" w:after="0" w:line="240" w:lineRule="auto"/>
              <w:jc w:val="center"/>
              <w:rPr>
                <w:b w:val="0"/>
                <w:bCs w:val="0"/>
              </w:rPr>
            </w:pPr>
            <w:r w:rsidRPr="009E2B39">
              <w:rPr>
                <w:rFonts w:asciiTheme="minorHAnsi" w:eastAsiaTheme="minorEastAsia" w:hAnsiTheme="minorHAnsi" w:cstheme="minorBidi"/>
                <w:b w:val="0"/>
                <w:bCs w:val="0"/>
                <w:sz w:val="22"/>
                <w:szCs w:val="22"/>
              </w:rPr>
              <w:t>1.043</w:t>
            </w:r>
          </w:p>
        </w:tc>
      </w:tr>
      <w:tr w:rsidR="00273CE0" w:rsidRPr="00D05611" w14:paraId="4AD681EA" w14:textId="77777777" w:rsidTr="009E2B39">
        <w:trPr>
          <w:cnfStyle w:val="010000000000" w:firstRow="0" w:lastRow="1" w:firstColumn="0" w:lastColumn="0" w:oddVBand="0" w:evenVBand="0" w:oddHBand="0" w:evenHBand="0" w:firstRowFirstColumn="0" w:firstRowLastColumn="0" w:lastRowFirstColumn="0" w:lastRowLastColumn="0"/>
          <w:jc w:val="center"/>
        </w:trPr>
        <w:tc>
          <w:tcPr>
            <w:cnfStyle w:val="001000000001" w:firstRow="0" w:lastRow="0" w:firstColumn="1" w:lastColumn="0" w:oddVBand="0" w:evenVBand="0" w:oddHBand="0" w:evenHBand="0" w:firstRowFirstColumn="0" w:firstRowLastColumn="0" w:lastRowFirstColumn="1" w:lastRowLastColumn="0"/>
            <w:tcW w:w="1962" w:type="dxa"/>
          </w:tcPr>
          <w:p w14:paraId="604A43EB" w14:textId="77777777" w:rsidR="00273CE0" w:rsidRPr="00D05611" w:rsidRDefault="00273CE0" w:rsidP="002E5AEA">
            <w:pPr>
              <w:spacing w:before="0" w:after="0" w:line="240" w:lineRule="auto"/>
            </w:pPr>
            <w:r w:rsidRPr="008A6BDD">
              <w:rPr>
                <w:rFonts w:asciiTheme="minorHAnsi" w:eastAsiaTheme="minorEastAsia" w:hAnsiTheme="minorHAnsi" w:cstheme="minorBidi"/>
                <w:sz w:val="22"/>
                <w:szCs w:val="22"/>
              </w:rPr>
              <w:t>Transmission</w:t>
            </w:r>
          </w:p>
        </w:tc>
        <w:tc>
          <w:tcPr>
            <w:cnfStyle w:val="000010000000" w:firstRow="0" w:lastRow="0" w:firstColumn="0" w:lastColumn="0" w:oddVBand="1" w:evenVBand="0" w:oddHBand="0" w:evenHBand="0" w:firstRowFirstColumn="0" w:firstRowLastColumn="0" w:lastRowFirstColumn="0" w:lastRowLastColumn="0"/>
            <w:tcW w:w="718" w:type="dxa"/>
          </w:tcPr>
          <w:p w14:paraId="1C1C6BE2" w14:textId="77777777" w:rsidR="00273CE0" w:rsidRPr="009E2B39" w:rsidRDefault="00273CE0" w:rsidP="002E5AEA">
            <w:pPr>
              <w:spacing w:before="0" w:after="0" w:line="240" w:lineRule="auto"/>
              <w:jc w:val="center"/>
              <w:rPr>
                <w:b w:val="0"/>
                <w:bCs w:val="0"/>
              </w:rPr>
            </w:pPr>
            <w:r w:rsidRPr="009E2B39">
              <w:rPr>
                <w:rFonts w:asciiTheme="minorHAnsi" w:eastAsiaTheme="minorEastAsia" w:hAnsiTheme="minorHAnsi" w:cstheme="minorBidi"/>
                <w:b w:val="0"/>
                <w:bCs w:val="0"/>
                <w:sz w:val="22"/>
                <w:szCs w:val="22"/>
              </w:rPr>
              <w:t>1.054</w:t>
            </w:r>
          </w:p>
        </w:tc>
        <w:tc>
          <w:tcPr>
            <w:cnfStyle w:val="000100000010" w:firstRow="0" w:lastRow="0" w:firstColumn="0" w:lastColumn="1" w:oddVBand="0" w:evenVBand="0" w:oddHBand="0" w:evenHBand="0" w:firstRowFirstColumn="0" w:firstRowLastColumn="0" w:lastRowFirstColumn="0" w:lastRowLastColumn="1"/>
            <w:tcW w:w="920" w:type="dxa"/>
          </w:tcPr>
          <w:p w14:paraId="09638AF5" w14:textId="77777777" w:rsidR="00273CE0" w:rsidRPr="009E2B39" w:rsidRDefault="00273CE0" w:rsidP="002E5AEA">
            <w:pPr>
              <w:spacing w:before="0" w:after="0" w:line="240" w:lineRule="auto"/>
              <w:jc w:val="center"/>
              <w:rPr>
                <w:b w:val="0"/>
                <w:bCs w:val="0"/>
              </w:rPr>
            </w:pPr>
            <w:r w:rsidRPr="009E2B39">
              <w:rPr>
                <w:rFonts w:asciiTheme="minorHAnsi" w:eastAsiaTheme="minorEastAsia" w:hAnsiTheme="minorHAnsi" w:cstheme="minorBidi"/>
                <w:b w:val="0"/>
                <w:bCs w:val="0"/>
                <w:sz w:val="22"/>
                <w:szCs w:val="22"/>
              </w:rPr>
              <w:t>1.071</w:t>
            </w:r>
          </w:p>
        </w:tc>
      </w:tr>
    </w:tbl>
    <w:p w14:paraId="612ED16C" w14:textId="77777777" w:rsidR="00A962CD" w:rsidRDefault="00A962CD" w:rsidP="00273CE0">
      <w:pPr>
        <w:pStyle w:val="Caption"/>
      </w:pPr>
      <w:bookmarkStart w:id="65" w:name="_Ref315352406"/>
    </w:p>
    <w:p w14:paraId="77FC55DD" w14:textId="285548C5" w:rsidR="00273CE0" w:rsidRDefault="00273CE0" w:rsidP="00273CE0">
      <w:pPr>
        <w:pStyle w:val="Caption"/>
      </w:pPr>
      <w:r>
        <w:t xml:space="preserve">Table </w:t>
      </w:r>
      <w:r w:rsidR="00813981" w:rsidRPr="008A6BDD">
        <w:fldChar w:fldCharType="begin"/>
      </w:r>
      <w:r w:rsidR="00813981">
        <w:instrText xml:space="preserve"> SEQ Table \* ARABIC </w:instrText>
      </w:r>
      <w:r w:rsidR="00813981" w:rsidRPr="008A6BDD">
        <w:fldChar w:fldCharType="separate"/>
      </w:r>
      <w:r w:rsidR="0097492A">
        <w:rPr>
          <w:noProof/>
        </w:rPr>
        <w:t>7</w:t>
      </w:r>
      <w:r w:rsidR="00813981" w:rsidRPr="008A6BDD">
        <w:fldChar w:fldCharType="end"/>
      </w:r>
      <w:bookmarkEnd w:id="65"/>
      <w:r>
        <w:t xml:space="preserve">:  Loss </w:t>
      </w:r>
      <w:r w:rsidR="009E2B39">
        <w:t>F</w:t>
      </w:r>
      <w:r>
        <w:t xml:space="preserve">actors for PG&amp;E </w:t>
      </w:r>
      <w:r w:rsidR="00DC5B55">
        <w:t>T</w:t>
      </w:r>
      <w:r>
        <w:t xml:space="preserve">ransmission and </w:t>
      </w:r>
      <w:r w:rsidR="00DC5B55">
        <w:t>D</w:t>
      </w:r>
      <w:r>
        <w:t xml:space="preserve">istribution </w:t>
      </w:r>
      <w:r w:rsidR="00DC5B55">
        <w:t>C</w:t>
      </w:r>
      <w:r>
        <w:t>apacity.</w:t>
      </w:r>
    </w:p>
    <w:tbl>
      <w:tblPr>
        <w:tblStyle w:val="ListTable3-Accent11"/>
        <w:tblW w:w="7000" w:type="dxa"/>
        <w:jc w:val="center"/>
        <w:tblLook w:val="04A0" w:firstRow="1" w:lastRow="0" w:firstColumn="1" w:lastColumn="0" w:noHBand="0" w:noVBand="1"/>
        <w:tblCaption w:val=""/>
        <w:tblDescription w:val=""/>
      </w:tblPr>
      <w:tblGrid>
        <w:gridCol w:w="2517"/>
        <w:gridCol w:w="2331"/>
        <w:gridCol w:w="2152"/>
      </w:tblGrid>
      <w:tr w:rsidR="00273CE0" w:rsidRPr="002D7E26" w14:paraId="70AA445E" w14:textId="77777777" w:rsidTr="009E2B39">
        <w:trPr>
          <w:cnfStyle w:val="100000000000" w:firstRow="1" w:lastRow="0" w:firstColumn="0" w:lastColumn="0" w:oddVBand="0" w:evenVBand="0" w:oddHBand="0" w:evenHBand="0" w:firstRowFirstColumn="0" w:firstRowLastColumn="0" w:lastRowFirstColumn="0" w:lastRowLastColumn="0"/>
          <w:cantSplit/>
          <w:trHeight w:val="431"/>
          <w:jc w:val="center"/>
        </w:trPr>
        <w:tc>
          <w:tcPr>
            <w:cnfStyle w:val="001000000100" w:firstRow="0" w:lastRow="0" w:firstColumn="1" w:lastColumn="0" w:oddVBand="0" w:evenVBand="0" w:oddHBand="0" w:evenHBand="0" w:firstRowFirstColumn="1" w:firstRowLastColumn="0" w:lastRowFirstColumn="0" w:lastRowLastColumn="0"/>
            <w:tcW w:w="2517" w:type="dxa"/>
            <w:noWrap/>
          </w:tcPr>
          <w:p w14:paraId="2676E56A" w14:textId="77777777" w:rsidR="00273CE0" w:rsidRPr="002D7E26" w:rsidRDefault="00273CE0" w:rsidP="002E5AEA">
            <w:pPr>
              <w:keepNext/>
              <w:keepLines/>
              <w:spacing w:before="0" w:after="0" w:line="240" w:lineRule="auto"/>
              <w:jc w:val="center"/>
              <w:rPr>
                <w:rFonts w:cs="Times New Roman"/>
                <w:color w:val="000000"/>
                <w:szCs w:val="20"/>
              </w:rPr>
            </w:pPr>
          </w:p>
        </w:tc>
        <w:tc>
          <w:tcPr>
            <w:tcW w:w="2331" w:type="dxa"/>
          </w:tcPr>
          <w:p w14:paraId="3A4BDD2A" w14:textId="77777777" w:rsidR="00273CE0" w:rsidRPr="002D7E26" w:rsidRDefault="00273CE0" w:rsidP="002E5AEA">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Cs w:val="20"/>
              </w:rPr>
            </w:pPr>
            <w:r w:rsidRPr="008A6BDD">
              <w:rPr>
                <w:rFonts w:asciiTheme="minorHAnsi" w:eastAsiaTheme="minorEastAsia" w:hAnsiTheme="minorHAnsi" w:cstheme="minorBidi"/>
                <w:color w:val="auto"/>
                <w:sz w:val="22"/>
                <w:szCs w:val="22"/>
              </w:rPr>
              <w:t>Transmission</w:t>
            </w:r>
          </w:p>
        </w:tc>
        <w:tc>
          <w:tcPr>
            <w:tcW w:w="2152" w:type="dxa"/>
          </w:tcPr>
          <w:p w14:paraId="0B705CF1" w14:textId="77777777" w:rsidR="00273CE0" w:rsidRPr="002D7E26" w:rsidRDefault="00273CE0" w:rsidP="002E5AEA">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Cs w:val="20"/>
              </w:rPr>
            </w:pPr>
            <w:r w:rsidRPr="008A6BDD">
              <w:rPr>
                <w:rFonts w:asciiTheme="minorHAnsi" w:eastAsiaTheme="minorEastAsia" w:hAnsiTheme="minorHAnsi" w:cstheme="minorBidi"/>
                <w:color w:val="auto"/>
                <w:sz w:val="22"/>
                <w:szCs w:val="22"/>
              </w:rPr>
              <w:t>Distribution</w:t>
            </w:r>
          </w:p>
        </w:tc>
      </w:tr>
      <w:tr w:rsidR="009E2B39" w:rsidRPr="002D7E26" w14:paraId="6FD06492" w14:textId="77777777" w:rsidTr="009E2B39">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2517" w:type="dxa"/>
            <w:noWrap/>
          </w:tcPr>
          <w:p w14:paraId="4F0DBA8A" w14:textId="20824A50" w:rsidR="009E2B39" w:rsidRPr="002D7E26" w:rsidRDefault="009E2B39" w:rsidP="009E2B39">
            <w:pPr>
              <w:keepNext/>
              <w:keepLines/>
              <w:spacing w:before="0" w:after="0" w:line="240" w:lineRule="auto"/>
              <w:rPr>
                <w:rFonts w:cs="Times New Roman"/>
                <w:color w:val="000000"/>
                <w:szCs w:val="20"/>
              </w:rPr>
            </w:pPr>
            <w:r>
              <w:t>Central Coast</w:t>
            </w:r>
            <w:r w:rsidRPr="00D975B2">
              <w:rPr>
                <w:rFonts w:eastAsia="MS Mincho" w:cs="Arial"/>
                <w:sz w:val="22"/>
                <w:szCs w:val="22"/>
                <w:lang w:eastAsia="ja-JP"/>
              </w:rPr>
              <w:t> </w:t>
            </w:r>
          </w:p>
        </w:tc>
        <w:tc>
          <w:tcPr>
            <w:tcW w:w="2331" w:type="dxa"/>
            <w:noWrap/>
          </w:tcPr>
          <w:p w14:paraId="5CBA2BA7" w14:textId="77777777" w:rsidR="009E2B39" w:rsidRPr="002D7E26" w:rsidRDefault="009E2B39" w:rsidP="009E2B39">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1.053</w:t>
            </w:r>
          </w:p>
        </w:tc>
        <w:tc>
          <w:tcPr>
            <w:tcW w:w="2152" w:type="dxa"/>
            <w:noWrap/>
          </w:tcPr>
          <w:p w14:paraId="6D29989B" w14:textId="77777777" w:rsidR="009E2B39" w:rsidRPr="002D7E26" w:rsidRDefault="009E2B39" w:rsidP="009E2B39">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9E2B39" w:rsidRPr="002D7E26" w14:paraId="422AC01C" w14:textId="77777777" w:rsidTr="009E2B39">
        <w:trPr>
          <w:cantSplit/>
          <w:trHeight w:val="255"/>
          <w:jc w:val="center"/>
        </w:trPr>
        <w:tc>
          <w:tcPr>
            <w:cnfStyle w:val="001000000000" w:firstRow="0" w:lastRow="0" w:firstColumn="1" w:lastColumn="0" w:oddVBand="0" w:evenVBand="0" w:oddHBand="0" w:evenHBand="0" w:firstRowFirstColumn="0" w:firstRowLastColumn="0" w:lastRowFirstColumn="0" w:lastRowLastColumn="0"/>
            <w:tcW w:w="2517" w:type="dxa"/>
            <w:noWrap/>
          </w:tcPr>
          <w:p w14:paraId="28AF3565" w14:textId="0E0E6CDE" w:rsidR="009E2B39" w:rsidRPr="002D7E26" w:rsidRDefault="009E2B39" w:rsidP="009E2B39">
            <w:pPr>
              <w:keepNext/>
              <w:keepLines/>
              <w:spacing w:before="0" w:after="0" w:line="240" w:lineRule="auto"/>
              <w:rPr>
                <w:rFonts w:cs="Times New Roman"/>
                <w:color w:val="000000"/>
                <w:szCs w:val="20"/>
              </w:rPr>
            </w:pPr>
            <w:r w:rsidRPr="009E2B39">
              <w:t>De Anza</w:t>
            </w:r>
          </w:p>
        </w:tc>
        <w:tc>
          <w:tcPr>
            <w:tcW w:w="2331" w:type="dxa"/>
            <w:noWrap/>
          </w:tcPr>
          <w:p w14:paraId="64A01D02" w14:textId="77777777" w:rsidR="009E2B39" w:rsidRPr="002D7E26" w:rsidRDefault="009E2B39" w:rsidP="009E2B39">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1.050</w:t>
            </w:r>
          </w:p>
        </w:tc>
        <w:tc>
          <w:tcPr>
            <w:tcW w:w="2152" w:type="dxa"/>
            <w:noWrap/>
          </w:tcPr>
          <w:p w14:paraId="6D85D434" w14:textId="77777777" w:rsidR="009E2B39" w:rsidRPr="002D7E26" w:rsidRDefault="009E2B39" w:rsidP="009E2B39">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9E2B39" w:rsidRPr="002D7E26" w14:paraId="6343D76F" w14:textId="77777777" w:rsidTr="009E2B39">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2517" w:type="dxa"/>
            <w:noWrap/>
          </w:tcPr>
          <w:p w14:paraId="7D18B754" w14:textId="118C56D3" w:rsidR="009E2B39" w:rsidRPr="002D7E26" w:rsidRDefault="009E2B39" w:rsidP="009E2B39">
            <w:pPr>
              <w:keepNext/>
              <w:keepLines/>
              <w:spacing w:before="0" w:after="0" w:line="240" w:lineRule="auto"/>
              <w:rPr>
                <w:rFonts w:cs="Times New Roman"/>
                <w:color w:val="000000"/>
                <w:szCs w:val="20"/>
              </w:rPr>
            </w:pPr>
            <w:r>
              <w:t>Diablo</w:t>
            </w:r>
          </w:p>
        </w:tc>
        <w:tc>
          <w:tcPr>
            <w:tcW w:w="2331" w:type="dxa"/>
            <w:noWrap/>
          </w:tcPr>
          <w:p w14:paraId="383E0475" w14:textId="77777777" w:rsidR="009E2B39" w:rsidRPr="002D7E26" w:rsidRDefault="009E2B39" w:rsidP="009E2B39">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1.045</w:t>
            </w:r>
          </w:p>
        </w:tc>
        <w:tc>
          <w:tcPr>
            <w:tcW w:w="2152" w:type="dxa"/>
            <w:noWrap/>
          </w:tcPr>
          <w:p w14:paraId="3E3DC88E" w14:textId="77777777" w:rsidR="009E2B39" w:rsidRPr="002D7E26" w:rsidRDefault="009E2B39" w:rsidP="009E2B39">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1.020</w:t>
            </w:r>
          </w:p>
        </w:tc>
      </w:tr>
      <w:tr w:rsidR="009E2B39" w:rsidRPr="002D7E26" w14:paraId="6453EDB0" w14:textId="77777777" w:rsidTr="009E2B39">
        <w:trPr>
          <w:cantSplit/>
          <w:trHeight w:val="255"/>
          <w:jc w:val="center"/>
        </w:trPr>
        <w:tc>
          <w:tcPr>
            <w:cnfStyle w:val="001000000000" w:firstRow="0" w:lastRow="0" w:firstColumn="1" w:lastColumn="0" w:oddVBand="0" w:evenVBand="0" w:oddHBand="0" w:evenHBand="0" w:firstRowFirstColumn="0" w:firstRowLastColumn="0" w:lastRowFirstColumn="0" w:lastRowLastColumn="0"/>
            <w:tcW w:w="2517" w:type="dxa"/>
            <w:noWrap/>
          </w:tcPr>
          <w:p w14:paraId="3CACB416" w14:textId="1CABA0A7" w:rsidR="009E2B39" w:rsidRPr="002D7E26" w:rsidRDefault="009E2B39" w:rsidP="009E2B39">
            <w:pPr>
              <w:keepNext/>
              <w:keepLines/>
              <w:spacing w:before="0" w:after="0" w:line="240" w:lineRule="auto"/>
              <w:rPr>
                <w:rFonts w:cs="Times New Roman"/>
                <w:color w:val="000000"/>
                <w:szCs w:val="20"/>
              </w:rPr>
            </w:pPr>
            <w:r>
              <w:t>East Bay</w:t>
            </w:r>
          </w:p>
        </w:tc>
        <w:tc>
          <w:tcPr>
            <w:tcW w:w="2331" w:type="dxa"/>
            <w:noWrap/>
          </w:tcPr>
          <w:p w14:paraId="48858602" w14:textId="77777777" w:rsidR="009E2B39" w:rsidRPr="002D7E26" w:rsidRDefault="009E2B39" w:rsidP="009E2B39">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1.042</w:t>
            </w:r>
          </w:p>
        </w:tc>
        <w:tc>
          <w:tcPr>
            <w:tcW w:w="2152" w:type="dxa"/>
            <w:noWrap/>
          </w:tcPr>
          <w:p w14:paraId="4572E8A5" w14:textId="77777777" w:rsidR="009E2B39" w:rsidRPr="002D7E26" w:rsidRDefault="009E2B39" w:rsidP="009E2B39">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1.020</w:t>
            </w:r>
          </w:p>
        </w:tc>
      </w:tr>
      <w:tr w:rsidR="009E2B39" w:rsidRPr="002D7E26" w14:paraId="13615D2D" w14:textId="77777777" w:rsidTr="009E2B39">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2517" w:type="dxa"/>
            <w:noWrap/>
          </w:tcPr>
          <w:p w14:paraId="02D25A6C" w14:textId="2A65E20E" w:rsidR="009E2B39" w:rsidRPr="002D7E26" w:rsidRDefault="009E2B39" w:rsidP="009E2B39">
            <w:pPr>
              <w:keepNext/>
              <w:keepLines/>
              <w:spacing w:before="0" w:after="0" w:line="240" w:lineRule="auto"/>
              <w:rPr>
                <w:rFonts w:cs="Times New Roman"/>
                <w:color w:val="000000"/>
                <w:szCs w:val="20"/>
              </w:rPr>
            </w:pPr>
            <w:r>
              <w:t>Fresno</w:t>
            </w:r>
          </w:p>
        </w:tc>
        <w:tc>
          <w:tcPr>
            <w:tcW w:w="2331" w:type="dxa"/>
            <w:noWrap/>
          </w:tcPr>
          <w:p w14:paraId="5AE3A0C6" w14:textId="77777777" w:rsidR="009E2B39" w:rsidRPr="002D7E26" w:rsidRDefault="009E2B39" w:rsidP="009E2B39">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1.076</w:t>
            </w:r>
          </w:p>
        </w:tc>
        <w:tc>
          <w:tcPr>
            <w:tcW w:w="2152" w:type="dxa"/>
            <w:noWrap/>
          </w:tcPr>
          <w:p w14:paraId="699BA6F8" w14:textId="77777777" w:rsidR="009E2B39" w:rsidRPr="002D7E26" w:rsidRDefault="009E2B39" w:rsidP="009E2B39">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1.020</w:t>
            </w:r>
          </w:p>
        </w:tc>
      </w:tr>
      <w:tr w:rsidR="009E2B39" w:rsidRPr="002D7E26" w14:paraId="1A5D8D2C" w14:textId="77777777" w:rsidTr="009E2B39">
        <w:trPr>
          <w:cantSplit/>
          <w:trHeight w:val="255"/>
          <w:jc w:val="center"/>
        </w:trPr>
        <w:tc>
          <w:tcPr>
            <w:cnfStyle w:val="001000000000" w:firstRow="0" w:lastRow="0" w:firstColumn="1" w:lastColumn="0" w:oddVBand="0" w:evenVBand="0" w:oddHBand="0" w:evenHBand="0" w:firstRowFirstColumn="0" w:firstRowLastColumn="0" w:lastRowFirstColumn="0" w:lastRowLastColumn="0"/>
            <w:tcW w:w="2517" w:type="dxa"/>
            <w:noWrap/>
          </w:tcPr>
          <w:p w14:paraId="19403C1A" w14:textId="4271EAAC" w:rsidR="009E2B39" w:rsidRPr="002D7E26" w:rsidRDefault="009E2B39" w:rsidP="009E2B39">
            <w:pPr>
              <w:keepNext/>
              <w:keepLines/>
              <w:spacing w:before="0" w:after="0" w:line="240" w:lineRule="auto"/>
              <w:rPr>
                <w:rFonts w:cs="Times New Roman"/>
                <w:color w:val="000000"/>
                <w:szCs w:val="20"/>
              </w:rPr>
            </w:pPr>
            <w:r>
              <w:t>Kern</w:t>
            </w:r>
          </w:p>
        </w:tc>
        <w:tc>
          <w:tcPr>
            <w:tcW w:w="2331" w:type="dxa"/>
            <w:noWrap/>
          </w:tcPr>
          <w:p w14:paraId="504E6020" w14:textId="77777777" w:rsidR="009E2B39" w:rsidRPr="002D7E26" w:rsidRDefault="009E2B39" w:rsidP="009E2B39">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1.065</w:t>
            </w:r>
          </w:p>
        </w:tc>
        <w:tc>
          <w:tcPr>
            <w:tcW w:w="2152" w:type="dxa"/>
            <w:noWrap/>
          </w:tcPr>
          <w:p w14:paraId="69CA8BAE" w14:textId="77777777" w:rsidR="009E2B39" w:rsidRPr="002D7E26" w:rsidRDefault="009E2B39" w:rsidP="009E2B39">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1.023</w:t>
            </w:r>
          </w:p>
        </w:tc>
      </w:tr>
      <w:tr w:rsidR="009E2B39" w:rsidRPr="009B1072" w14:paraId="6EE69968" w14:textId="77777777" w:rsidTr="009E2B39">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2517" w:type="dxa"/>
            <w:noWrap/>
          </w:tcPr>
          <w:p w14:paraId="11FD873C" w14:textId="1089CB04" w:rsidR="009E2B39" w:rsidRPr="002D7E26" w:rsidRDefault="009E2B39" w:rsidP="009E2B39">
            <w:pPr>
              <w:keepNext/>
              <w:keepLines/>
              <w:spacing w:before="0" w:after="0" w:line="240" w:lineRule="auto"/>
              <w:rPr>
                <w:rFonts w:cs="Times New Roman"/>
                <w:color w:val="000000"/>
                <w:szCs w:val="20"/>
              </w:rPr>
            </w:pPr>
            <w:r>
              <w:t>Los Padres</w:t>
            </w:r>
          </w:p>
        </w:tc>
        <w:tc>
          <w:tcPr>
            <w:tcW w:w="2331" w:type="dxa"/>
            <w:noWrap/>
          </w:tcPr>
          <w:p w14:paraId="4639CFC1" w14:textId="77777777" w:rsidR="009E2B39" w:rsidRPr="002D7E26" w:rsidRDefault="009E2B39" w:rsidP="009E2B39">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1.060</w:t>
            </w:r>
          </w:p>
        </w:tc>
        <w:tc>
          <w:tcPr>
            <w:tcW w:w="2152" w:type="dxa"/>
            <w:noWrap/>
          </w:tcPr>
          <w:p w14:paraId="32E3F97A" w14:textId="77777777" w:rsidR="009E2B39" w:rsidRPr="002D7E26" w:rsidRDefault="009E2B39" w:rsidP="009E2B39">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9E2B39" w:rsidRPr="002D7E26" w14:paraId="09E0733E" w14:textId="77777777" w:rsidTr="009E2B39">
        <w:trPr>
          <w:cantSplit/>
          <w:trHeight w:val="255"/>
          <w:jc w:val="center"/>
        </w:trPr>
        <w:tc>
          <w:tcPr>
            <w:cnfStyle w:val="001000000000" w:firstRow="0" w:lastRow="0" w:firstColumn="1" w:lastColumn="0" w:oddVBand="0" w:evenVBand="0" w:oddHBand="0" w:evenHBand="0" w:firstRowFirstColumn="0" w:firstRowLastColumn="0" w:lastRowFirstColumn="0" w:lastRowLastColumn="0"/>
            <w:tcW w:w="2517" w:type="dxa"/>
            <w:noWrap/>
          </w:tcPr>
          <w:p w14:paraId="1F980DB0" w14:textId="147EF995" w:rsidR="009E2B39" w:rsidRPr="002D7E26" w:rsidRDefault="009E2B39" w:rsidP="009E2B39">
            <w:pPr>
              <w:keepNext/>
              <w:keepLines/>
              <w:spacing w:before="0" w:after="0" w:line="240" w:lineRule="auto"/>
              <w:rPr>
                <w:rFonts w:cs="Times New Roman"/>
                <w:color w:val="000000"/>
                <w:szCs w:val="20"/>
              </w:rPr>
            </w:pPr>
            <w:r>
              <w:t>Mission</w:t>
            </w:r>
          </w:p>
        </w:tc>
        <w:tc>
          <w:tcPr>
            <w:tcW w:w="2331" w:type="dxa"/>
            <w:noWrap/>
          </w:tcPr>
          <w:p w14:paraId="2751E9C9" w14:textId="77777777" w:rsidR="009E2B39" w:rsidRPr="002D7E26" w:rsidRDefault="009E2B39" w:rsidP="009E2B39">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1.047</w:t>
            </w:r>
          </w:p>
        </w:tc>
        <w:tc>
          <w:tcPr>
            <w:tcW w:w="2152" w:type="dxa"/>
            <w:noWrap/>
          </w:tcPr>
          <w:p w14:paraId="0C829D7D" w14:textId="77777777" w:rsidR="009E2B39" w:rsidRPr="002D7E26" w:rsidRDefault="009E2B39" w:rsidP="009E2B39">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9E2B39" w:rsidRPr="002D7E26" w14:paraId="1BBE723A" w14:textId="77777777" w:rsidTr="009E2B39">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2517" w:type="dxa"/>
            <w:noWrap/>
          </w:tcPr>
          <w:p w14:paraId="02B1D929" w14:textId="4A7329AE" w:rsidR="009E2B39" w:rsidRPr="002D7E26" w:rsidRDefault="009E2B39" w:rsidP="009E2B39">
            <w:pPr>
              <w:keepNext/>
              <w:keepLines/>
              <w:spacing w:before="0" w:after="0" w:line="240" w:lineRule="auto"/>
              <w:rPr>
                <w:rFonts w:cs="Times New Roman"/>
                <w:color w:val="000000"/>
                <w:szCs w:val="20"/>
              </w:rPr>
            </w:pPr>
            <w:r>
              <w:t>North Bay</w:t>
            </w:r>
          </w:p>
        </w:tc>
        <w:tc>
          <w:tcPr>
            <w:tcW w:w="2331" w:type="dxa"/>
            <w:noWrap/>
          </w:tcPr>
          <w:p w14:paraId="7BE49FE1" w14:textId="77777777" w:rsidR="009E2B39" w:rsidRPr="002D7E26" w:rsidRDefault="009E2B39" w:rsidP="009E2B39">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1.053</w:t>
            </w:r>
          </w:p>
        </w:tc>
        <w:tc>
          <w:tcPr>
            <w:tcW w:w="2152" w:type="dxa"/>
            <w:noWrap/>
          </w:tcPr>
          <w:p w14:paraId="0CD67E78" w14:textId="77777777" w:rsidR="009E2B39" w:rsidRPr="002D7E26" w:rsidRDefault="009E2B39" w:rsidP="009E2B39">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9E2B39" w:rsidRPr="002D7E26" w14:paraId="474F083E" w14:textId="77777777" w:rsidTr="009E2B39">
        <w:trPr>
          <w:cantSplit/>
          <w:trHeight w:val="255"/>
          <w:jc w:val="center"/>
        </w:trPr>
        <w:tc>
          <w:tcPr>
            <w:cnfStyle w:val="001000000000" w:firstRow="0" w:lastRow="0" w:firstColumn="1" w:lastColumn="0" w:oddVBand="0" w:evenVBand="0" w:oddHBand="0" w:evenHBand="0" w:firstRowFirstColumn="0" w:firstRowLastColumn="0" w:lastRowFirstColumn="0" w:lastRowLastColumn="0"/>
            <w:tcW w:w="2517" w:type="dxa"/>
            <w:noWrap/>
          </w:tcPr>
          <w:p w14:paraId="7430CA1F" w14:textId="531EEB38" w:rsidR="009E2B39" w:rsidRPr="002D7E26" w:rsidRDefault="009E2B39" w:rsidP="009E2B39">
            <w:pPr>
              <w:keepNext/>
              <w:keepLines/>
              <w:spacing w:before="0" w:after="0" w:line="240" w:lineRule="auto"/>
              <w:rPr>
                <w:rFonts w:cs="Times New Roman"/>
                <w:color w:val="000000"/>
                <w:szCs w:val="20"/>
              </w:rPr>
            </w:pPr>
            <w:r>
              <w:t>North Coast</w:t>
            </w:r>
          </w:p>
        </w:tc>
        <w:tc>
          <w:tcPr>
            <w:tcW w:w="2331" w:type="dxa"/>
            <w:noWrap/>
          </w:tcPr>
          <w:p w14:paraId="0EC70A2A" w14:textId="77777777" w:rsidR="009E2B39" w:rsidRPr="002D7E26" w:rsidRDefault="009E2B39" w:rsidP="009E2B39">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1.060</w:t>
            </w:r>
          </w:p>
        </w:tc>
        <w:tc>
          <w:tcPr>
            <w:tcW w:w="2152" w:type="dxa"/>
            <w:noWrap/>
          </w:tcPr>
          <w:p w14:paraId="04DDAD53" w14:textId="77777777" w:rsidR="009E2B39" w:rsidRPr="002D7E26" w:rsidRDefault="009E2B39" w:rsidP="009E2B39">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9E2B39" w:rsidRPr="002D7E26" w14:paraId="1F77BB56" w14:textId="77777777" w:rsidTr="009E2B39">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2517" w:type="dxa"/>
            <w:noWrap/>
          </w:tcPr>
          <w:p w14:paraId="3DFC0A1D" w14:textId="0371B503" w:rsidR="009E2B39" w:rsidRPr="002D7E26" w:rsidRDefault="009E2B39" w:rsidP="009E2B39">
            <w:pPr>
              <w:keepNext/>
              <w:keepLines/>
              <w:spacing w:before="0" w:after="0" w:line="240" w:lineRule="auto"/>
              <w:rPr>
                <w:rFonts w:cs="Times New Roman"/>
                <w:color w:val="000000"/>
                <w:szCs w:val="20"/>
              </w:rPr>
            </w:pPr>
            <w:r>
              <w:t>North Valley</w:t>
            </w:r>
          </w:p>
        </w:tc>
        <w:tc>
          <w:tcPr>
            <w:tcW w:w="2331" w:type="dxa"/>
            <w:noWrap/>
          </w:tcPr>
          <w:p w14:paraId="091CE157" w14:textId="77777777" w:rsidR="009E2B39" w:rsidRPr="002D7E26" w:rsidRDefault="009E2B39" w:rsidP="009E2B39">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1.073</w:t>
            </w:r>
          </w:p>
        </w:tc>
        <w:tc>
          <w:tcPr>
            <w:tcW w:w="2152" w:type="dxa"/>
            <w:noWrap/>
          </w:tcPr>
          <w:p w14:paraId="33FD822D" w14:textId="77777777" w:rsidR="009E2B39" w:rsidRPr="002D7E26" w:rsidRDefault="009E2B39" w:rsidP="009E2B39">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1.021</w:t>
            </w:r>
          </w:p>
        </w:tc>
      </w:tr>
      <w:tr w:rsidR="009E2B39" w:rsidRPr="002D7E26" w14:paraId="7F17A057" w14:textId="77777777" w:rsidTr="009E2B39">
        <w:trPr>
          <w:cantSplit/>
          <w:trHeight w:val="255"/>
          <w:jc w:val="center"/>
        </w:trPr>
        <w:tc>
          <w:tcPr>
            <w:cnfStyle w:val="001000000000" w:firstRow="0" w:lastRow="0" w:firstColumn="1" w:lastColumn="0" w:oddVBand="0" w:evenVBand="0" w:oddHBand="0" w:evenHBand="0" w:firstRowFirstColumn="0" w:firstRowLastColumn="0" w:lastRowFirstColumn="0" w:lastRowLastColumn="0"/>
            <w:tcW w:w="2517" w:type="dxa"/>
            <w:noWrap/>
          </w:tcPr>
          <w:p w14:paraId="4F5A948E" w14:textId="12870D98" w:rsidR="009E2B39" w:rsidRPr="002D7E26" w:rsidRDefault="009E2B39" w:rsidP="009E2B39">
            <w:pPr>
              <w:keepNext/>
              <w:keepLines/>
              <w:spacing w:before="0" w:after="0" w:line="240" w:lineRule="auto"/>
              <w:rPr>
                <w:rFonts w:cs="Times New Roman"/>
                <w:color w:val="000000"/>
                <w:szCs w:val="20"/>
              </w:rPr>
            </w:pPr>
            <w:r>
              <w:t>Peninsula</w:t>
            </w:r>
          </w:p>
        </w:tc>
        <w:tc>
          <w:tcPr>
            <w:tcW w:w="2331" w:type="dxa"/>
            <w:noWrap/>
          </w:tcPr>
          <w:p w14:paraId="6101DBE8" w14:textId="77777777" w:rsidR="009E2B39" w:rsidRPr="002D7E26" w:rsidRDefault="009E2B39" w:rsidP="009E2B39">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1.050</w:t>
            </w:r>
          </w:p>
        </w:tc>
        <w:tc>
          <w:tcPr>
            <w:tcW w:w="2152" w:type="dxa"/>
            <w:noWrap/>
          </w:tcPr>
          <w:p w14:paraId="1F5E48B2" w14:textId="77777777" w:rsidR="009E2B39" w:rsidRPr="002D7E26" w:rsidRDefault="009E2B39" w:rsidP="009E2B39">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9E2B39" w:rsidRPr="002D7E26" w14:paraId="1C07162B" w14:textId="77777777" w:rsidTr="009E2B39">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2517" w:type="dxa"/>
            <w:noWrap/>
          </w:tcPr>
          <w:p w14:paraId="486F14FA" w14:textId="3175268F" w:rsidR="009E2B39" w:rsidRPr="002D7E26" w:rsidRDefault="009E2B39" w:rsidP="009E2B39">
            <w:pPr>
              <w:keepNext/>
              <w:keepLines/>
              <w:spacing w:before="0" w:after="0" w:line="240" w:lineRule="auto"/>
              <w:rPr>
                <w:rFonts w:cs="Times New Roman"/>
                <w:color w:val="000000"/>
                <w:szCs w:val="20"/>
              </w:rPr>
            </w:pPr>
            <w:r>
              <w:t>Sacramento</w:t>
            </w:r>
          </w:p>
        </w:tc>
        <w:tc>
          <w:tcPr>
            <w:tcW w:w="2331" w:type="dxa"/>
            <w:noWrap/>
          </w:tcPr>
          <w:p w14:paraId="68849FE5" w14:textId="77777777" w:rsidR="009E2B39" w:rsidRPr="002D7E26" w:rsidRDefault="009E2B39" w:rsidP="009E2B39">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1.052</w:t>
            </w:r>
          </w:p>
        </w:tc>
        <w:tc>
          <w:tcPr>
            <w:tcW w:w="2152" w:type="dxa"/>
            <w:noWrap/>
          </w:tcPr>
          <w:p w14:paraId="42F715AB" w14:textId="77777777" w:rsidR="009E2B39" w:rsidRPr="002D7E26" w:rsidRDefault="009E2B39" w:rsidP="009E2B39">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9E2B39" w:rsidRPr="002D7E26" w14:paraId="1F8473EC" w14:textId="77777777" w:rsidTr="009E2B39">
        <w:trPr>
          <w:cantSplit/>
          <w:trHeight w:val="255"/>
          <w:jc w:val="center"/>
        </w:trPr>
        <w:tc>
          <w:tcPr>
            <w:cnfStyle w:val="001000000000" w:firstRow="0" w:lastRow="0" w:firstColumn="1" w:lastColumn="0" w:oddVBand="0" w:evenVBand="0" w:oddHBand="0" w:evenHBand="0" w:firstRowFirstColumn="0" w:firstRowLastColumn="0" w:lastRowFirstColumn="0" w:lastRowLastColumn="0"/>
            <w:tcW w:w="2517" w:type="dxa"/>
            <w:noWrap/>
          </w:tcPr>
          <w:p w14:paraId="56EA2951" w14:textId="35DEDE56" w:rsidR="009E2B39" w:rsidRPr="002D7E26" w:rsidRDefault="009E2B39" w:rsidP="009E2B39">
            <w:pPr>
              <w:keepNext/>
              <w:keepLines/>
              <w:spacing w:before="0" w:after="0" w:line="240" w:lineRule="auto"/>
              <w:rPr>
                <w:rFonts w:cs="Times New Roman"/>
                <w:color w:val="000000"/>
                <w:szCs w:val="20"/>
              </w:rPr>
            </w:pPr>
            <w:r>
              <w:t>San Francisco</w:t>
            </w:r>
          </w:p>
        </w:tc>
        <w:tc>
          <w:tcPr>
            <w:tcW w:w="2331" w:type="dxa"/>
            <w:noWrap/>
          </w:tcPr>
          <w:p w14:paraId="703FDD04" w14:textId="77777777" w:rsidR="009E2B39" w:rsidRPr="002D7E26" w:rsidRDefault="009E2B39" w:rsidP="009E2B39">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1.045</w:t>
            </w:r>
          </w:p>
        </w:tc>
        <w:tc>
          <w:tcPr>
            <w:tcW w:w="2152" w:type="dxa"/>
            <w:noWrap/>
          </w:tcPr>
          <w:p w14:paraId="5D0EE56D" w14:textId="77777777" w:rsidR="009E2B39" w:rsidRPr="002D7E26" w:rsidRDefault="009E2B39" w:rsidP="009E2B39">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1.020</w:t>
            </w:r>
          </w:p>
        </w:tc>
      </w:tr>
      <w:tr w:rsidR="009E2B39" w:rsidRPr="002D7E26" w14:paraId="1F8ED614" w14:textId="77777777" w:rsidTr="009E2B39">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2517" w:type="dxa"/>
            <w:noWrap/>
          </w:tcPr>
          <w:p w14:paraId="375FD8BC" w14:textId="3C237C45" w:rsidR="009E2B39" w:rsidRPr="002D7E26" w:rsidRDefault="009E2B39" w:rsidP="009E2B39">
            <w:pPr>
              <w:keepNext/>
              <w:keepLines/>
              <w:spacing w:before="0" w:after="0" w:line="240" w:lineRule="auto"/>
              <w:rPr>
                <w:rFonts w:cs="Times New Roman"/>
                <w:color w:val="000000"/>
                <w:szCs w:val="20"/>
              </w:rPr>
            </w:pPr>
            <w:r>
              <w:t>San Jose</w:t>
            </w:r>
          </w:p>
        </w:tc>
        <w:tc>
          <w:tcPr>
            <w:tcW w:w="2331" w:type="dxa"/>
            <w:noWrap/>
          </w:tcPr>
          <w:p w14:paraId="730A8062" w14:textId="77777777" w:rsidR="009E2B39" w:rsidRPr="002D7E26" w:rsidRDefault="009E2B39" w:rsidP="009E2B39">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1.052</w:t>
            </w:r>
          </w:p>
        </w:tc>
        <w:tc>
          <w:tcPr>
            <w:tcW w:w="2152" w:type="dxa"/>
            <w:noWrap/>
          </w:tcPr>
          <w:p w14:paraId="74EC1281" w14:textId="77777777" w:rsidR="009E2B39" w:rsidRPr="002D7E26" w:rsidRDefault="009E2B39" w:rsidP="009E2B39">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1.018</w:t>
            </w:r>
          </w:p>
        </w:tc>
      </w:tr>
      <w:tr w:rsidR="009E2B39" w:rsidRPr="002D7E26" w14:paraId="4A3F9E80" w14:textId="77777777" w:rsidTr="009E2B39">
        <w:trPr>
          <w:cantSplit/>
          <w:trHeight w:val="255"/>
          <w:jc w:val="center"/>
        </w:trPr>
        <w:tc>
          <w:tcPr>
            <w:cnfStyle w:val="001000000000" w:firstRow="0" w:lastRow="0" w:firstColumn="1" w:lastColumn="0" w:oddVBand="0" w:evenVBand="0" w:oddHBand="0" w:evenHBand="0" w:firstRowFirstColumn="0" w:firstRowLastColumn="0" w:lastRowFirstColumn="0" w:lastRowLastColumn="0"/>
            <w:tcW w:w="2517" w:type="dxa"/>
            <w:noWrap/>
          </w:tcPr>
          <w:p w14:paraId="45B77071" w14:textId="4FC8BD1C" w:rsidR="009E2B39" w:rsidRPr="002D7E26" w:rsidRDefault="009E2B39" w:rsidP="009E2B39">
            <w:pPr>
              <w:keepNext/>
              <w:keepLines/>
              <w:spacing w:before="0" w:after="0" w:line="240" w:lineRule="auto"/>
              <w:rPr>
                <w:rFonts w:cs="Times New Roman"/>
                <w:color w:val="000000"/>
                <w:szCs w:val="20"/>
              </w:rPr>
            </w:pPr>
            <w:r>
              <w:t>Sierra</w:t>
            </w:r>
          </w:p>
        </w:tc>
        <w:tc>
          <w:tcPr>
            <w:tcW w:w="2331" w:type="dxa"/>
            <w:noWrap/>
          </w:tcPr>
          <w:p w14:paraId="29617B37" w14:textId="77777777" w:rsidR="009E2B39" w:rsidRPr="002D7E26" w:rsidRDefault="009E2B39" w:rsidP="009E2B39">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1.054</w:t>
            </w:r>
          </w:p>
        </w:tc>
        <w:tc>
          <w:tcPr>
            <w:tcW w:w="2152" w:type="dxa"/>
            <w:noWrap/>
          </w:tcPr>
          <w:p w14:paraId="1BC0B07E" w14:textId="77777777" w:rsidR="009E2B39" w:rsidRPr="002D7E26" w:rsidRDefault="009E2B39" w:rsidP="009E2B39">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1.020</w:t>
            </w:r>
          </w:p>
        </w:tc>
      </w:tr>
      <w:tr w:rsidR="009E2B39" w:rsidRPr="002D7E26" w14:paraId="4E885B4C" w14:textId="77777777" w:rsidTr="009E2B39">
        <w:trPr>
          <w:cnfStyle w:val="000000100000" w:firstRow="0" w:lastRow="0" w:firstColumn="0" w:lastColumn="0" w:oddVBand="0" w:evenVBand="0" w:oddHBand="1" w:evenHBand="0" w:firstRowFirstColumn="0" w:firstRowLastColumn="0" w:lastRowFirstColumn="0" w:lastRowLastColumn="0"/>
          <w:cantSplit/>
          <w:trHeight w:val="255"/>
          <w:jc w:val="center"/>
        </w:trPr>
        <w:tc>
          <w:tcPr>
            <w:cnfStyle w:val="001000000000" w:firstRow="0" w:lastRow="0" w:firstColumn="1" w:lastColumn="0" w:oddVBand="0" w:evenVBand="0" w:oddHBand="0" w:evenHBand="0" w:firstRowFirstColumn="0" w:firstRowLastColumn="0" w:lastRowFirstColumn="0" w:lastRowLastColumn="0"/>
            <w:tcW w:w="2517" w:type="dxa"/>
            <w:noWrap/>
          </w:tcPr>
          <w:p w14:paraId="05B06E58" w14:textId="5650E18D" w:rsidR="009E2B39" w:rsidRPr="002D7E26" w:rsidRDefault="009E2B39" w:rsidP="009E2B39">
            <w:pPr>
              <w:keepNext/>
              <w:keepLines/>
              <w:spacing w:before="0" w:after="0" w:line="240" w:lineRule="auto"/>
              <w:rPr>
                <w:rFonts w:cs="Times New Roman"/>
                <w:color w:val="000000"/>
                <w:szCs w:val="20"/>
              </w:rPr>
            </w:pPr>
            <w:r>
              <w:t>Stockton</w:t>
            </w:r>
          </w:p>
        </w:tc>
        <w:tc>
          <w:tcPr>
            <w:tcW w:w="2331" w:type="dxa"/>
            <w:noWrap/>
          </w:tcPr>
          <w:p w14:paraId="5C85D147" w14:textId="77777777" w:rsidR="009E2B39" w:rsidRPr="002D7E26" w:rsidRDefault="009E2B39" w:rsidP="009E2B39">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1.066</w:t>
            </w:r>
          </w:p>
        </w:tc>
        <w:tc>
          <w:tcPr>
            <w:tcW w:w="2152" w:type="dxa"/>
            <w:noWrap/>
          </w:tcPr>
          <w:p w14:paraId="14BA6A2F" w14:textId="77777777" w:rsidR="009E2B39" w:rsidRPr="002D7E26" w:rsidRDefault="009E2B39" w:rsidP="009E2B39">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9E2B39" w:rsidRPr="002D7E26" w14:paraId="5DF6138B" w14:textId="77777777" w:rsidTr="009E2B39">
        <w:trPr>
          <w:cantSplit/>
          <w:trHeight w:val="300"/>
          <w:jc w:val="center"/>
        </w:trPr>
        <w:tc>
          <w:tcPr>
            <w:cnfStyle w:val="001000000000" w:firstRow="0" w:lastRow="0" w:firstColumn="1" w:lastColumn="0" w:oddVBand="0" w:evenVBand="0" w:oddHBand="0" w:evenHBand="0" w:firstRowFirstColumn="0" w:firstRowLastColumn="0" w:lastRowFirstColumn="0" w:lastRowLastColumn="0"/>
            <w:tcW w:w="2517" w:type="dxa"/>
            <w:noWrap/>
          </w:tcPr>
          <w:p w14:paraId="602364B9" w14:textId="5BC2D56F" w:rsidR="009E2B39" w:rsidRPr="002D7E26" w:rsidRDefault="009E2B39" w:rsidP="009E2B39">
            <w:pPr>
              <w:keepNext/>
              <w:keepLines/>
              <w:spacing w:before="0" w:after="0" w:line="240" w:lineRule="auto"/>
              <w:rPr>
                <w:rFonts w:cs="Times New Roman"/>
                <w:color w:val="000000"/>
                <w:szCs w:val="20"/>
              </w:rPr>
            </w:pPr>
            <w:r>
              <w:t>Yosemite</w:t>
            </w:r>
          </w:p>
        </w:tc>
        <w:tc>
          <w:tcPr>
            <w:tcW w:w="2331" w:type="dxa"/>
            <w:noWrap/>
          </w:tcPr>
          <w:p w14:paraId="48DBFF8C" w14:textId="77777777" w:rsidR="009E2B39" w:rsidRPr="002D7E26" w:rsidRDefault="009E2B39" w:rsidP="009E2B39">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1.067</w:t>
            </w:r>
          </w:p>
        </w:tc>
        <w:tc>
          <w:tcPr>
            <w:tcW w:w="2152" w:type="dxa"/>
            <w:noWrap/>
          </w:tcPr>
          <w:p w14:paraId="3AE77EBE" w14:textId="77777777" w:rsidR="009E2B39" w:rsidRPr="002D7E26" w:rsidRDefault="009E2B39" w:rsidP="009E2B39">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bl>
    <w:p w14:paraId="44589124" w14:textId="77777777" w:rsidR="00273CE0" w:rsidRDefault="00273CE0" w:rsidP="00273CE0"/>
    <w:p w14:paraId="14C4DD29" w14:textId="39C36255" w:rsidR="00273CE0" w:rsidRDefault="00CC5EF2" w:rsidP="00273CE0">
      <w:pPr>
        <w:pStyle w:val="Heading3"/>
      </w:pPr>
      <w:bookmarkStart w:id="66" w:name="_Ref10615569"/>
      <w:bookmarkStart w:id="67" w:name="_Ref10615790"/>
      <w:bookmarkStart w:id="68" w:name="_Ref10635038"/>
      <w:bookmarkStart w:id="69" w:name="_Ref10635046"/>
      <w:bookmarkStart w:id="70" w:name="_Toc12445848"/>
      <w:r>
        <w:t xml:space="preserve">Hourly </w:t>
      </w:r>
      <w:r w:rsidR="009E2B39">
        <w:t>A</w:t>
      </w:r>
      <w:r>
        <w:t xml:space="preserve">llocation of T&amp;D </w:t>
      </w:r>
      <w:r w:rsidR="009E2B39">
        <w:t>C</w:t>
      </w:r>
      <w:r>
        <w:t xml:space="preserve">apacity </w:t>
      </w:r>
      <w:r w:rsidR="009E2B39">
        <w:t>C</w:t>
      </w:r>
      <w:r>
        <w:t>ost</w:t>
      </w:r>
      <w:bookmarkEnd w:id="66"/>
      <w:bookmarkEnd w:id="67"/>
      <w:bookmarkEnd w:id="68"/>
      <w:bookmarkEnd w:id="69"/>
      <w:bookmarkEnd w:id="70"/>
    </w:p>
    <w:p w14:paraId="6B0A72CA" w14:textId="74240C92" w:rsidR="00AD07EB" w:rsidRDefault="00F50167" w:rsidP="00273CE0">
      <w:r>
        <w:t>The allocation of T&amp;D capacity costs to hours of year is based</w:t>
      </w:r>
      <w:r w:rsidR="000C5FA9">
        <w:t xml:space="preserve"> on</w:t>
      </w:r>
      <w:r w:rsidR="00F1292E">
        <w:t xml:space="preserve"> </w:t>
      </w:r>
      <w:r w:rsidR="00AD07EB">
        <w:t>regressio</w:t>
      </w:r>
      <w:r w:rsidR="000C5FA9">
        <w:t>n</w:t>
      </w:r>
      <w:r w:rsidR="00AD07EB">
        <w:t xml:space="preserve"> estimate</w:t>
      </w:r>
      <w:r w:rsidR="000C5FA9">
        <w:t>s</w:t>
      </w:r>
      <w:r w:rsidR="00AD07EB">
        <w:t xml:space="preserve"> of distribution hourly loads</w:t>
      </w:r>
      <w:r w:rsidR="009E2B39">
        <w:t>.</w:t>
      </w:r>
      <w:r w:rsidR="00B86B31">
        <w:rPr>
          <w:rStyle w:val="FootnoteReference"/>
        </w:rPr>
        <w:footnoteReference w:id="20"/>
      </w:r>
      <w:r w:rsidR="005C385F">
        <w:t xml:space="preserve"> </w:t>
      </w:r>
      <w:r w:rsidR="00AD07EB">
        <w:t>The regression models are based on actual utility hourly distribution demands and the corresponding temperature in the distribution area</w:t>
      </w:r>
      <w:r w:rsidR="005C385F">
        <w:t xml:space="preserve">. </w:t>
      </w:r>
      <w:r w:rsidR="00AD07EB">
        <w:t xml:space="preserve">Using dummy variables, </w:t>
      </w:r>
      <w:r w:rsidR="00AD07EB">
        <w:lastRenderedPageBreak/>
        <w:t>lag terms, and cross product terms, the regression</w:t>
      </w:r>
      <w:r w:rsidR="00AD07EB" w:rsidRPr="69141258">
        <w:t xml:space="preserve"> </w:t>
      </w:r>
      <w:r w:rsidR="00AD07EB">
        <w:t>models are able to simulate the distribution loads with about 90% accuracy (adjusted r-square)</w:t>
      </w:r>
      <w:r w:rsidR="00A962CD">
        <w:t>.</w:t>
      </w:r>
      <w:r w:rsidR="00AD07EB">
        <w:rPr>
          <w:rStyle w:val="FootnoteReference"/>
        </w:rPr>
        <w:footnoteReference w:id="21"/>
      </w:r>
      <w:r w:rsidR="008565B2">
        <w:t xml:space="preserve"> </w:t>
      </w:r>
      <w:r w:rsidR="000E5EF4">
        <w:t>To forecast the impact of local solar PV on the distribution loads, the analysis also subtracts off a forecast level of hourly PV generation from the distribution</w:t>
      </w:r>
      <w:r w:rsidR="000E5EF4" w:rsidRPr="69141258">
        <w:t xml:space="preserve"> </w:t>
      </w:r>
      <w:r w:rsidR="00FE3FAE">
        <w:t xml:space="preserve">load to produce an adjusted </w:t>
      </w:r>
      <w:r w:rsidR="000E5EF4">
        <w:t>distribution load shape</w:t>
      </w:r>
      <w:r w:rsidR="005C385F">
        <w:t xml:space="preserve">. </w:t>
      </w:r>
      <w:r w:rsidR="000E5EF4">
        <w:t>The PV generation shape is based on the local area solar insolation, and the magnitude of the PV generation is based on the incremental statewide 201</w:t>
      </w:r>
      <w:r w:rsidR="00A962CD">
        <w:t>9</w:t>
      </w:r>
      <w:r w:rsidR="000E5EF4">
        <w:t xml:space="preserve"> IEPR Mid-Demand forecast of solar penetration</w:t>
      </w:r>
      <w:r w:rsidR="005C385F">
        <w:t xml:space="preserve">. </w:t>
      </w:r>
      <w:r w:rsidR="00A962CD">
        <w:t xml:space="preserve">This incremental PV forecast is allocated across the climate zones based on </w:t>
      </w:r>
      <w:r w:rsidR="00294817">
        <w:t xml:space="preserve">the geographic distribution of </w:t>
      </w:r>
      <w:r w:rsidR="00A962CD">
        <w:t>California Solar Initiative installation</w:t>
      </w:r>
      <w:r w:rsidR="007108D4">
        <w:t xml:space="preserve">s </w:t>
      </w:r>
      <w:r w:rsidR="00A962CD">
        <w:t xml:space="preserve">and utility 2018 annual load. </w:t>
      </w:r>
      <w:r w:rsidR="000E5EF4" w:rsidRPr="42C633DC">
        <w:t xml:space="preserve"> </w:t>
      </w:r>
    </w:p>
    <w:p w14:paraId="736BA0D5" w14:textId="26034170" w:rsidR="00FE3FAE" w:rsidRDefault="00C920DD" w:rsidP="008A6BDD">
      <w:r>
        <w:t>On</w:t>
      </w:r>
      <w:r w:rsidR="000E5EF4">
        <w:t>c</w:t>
      </w:r>
      <w:r>
        <w:t xml:space="preserve">e the </w:t>
      </w:r>
      <w:r w:rsidR="00FE3FAE">
        <w:t xml:space="preserve">adjusted </w:t>
      </w:r>
      <w:r>
        <w:t xml:space="preserve">distribution loads are simulated using </w:t>
      </w:r>
      <w:r w:rsidR="008013E0">
        <w:t>201</w:t>
      </w:r>
      <w:r w:rsidR="00EA7A15">
        <w:t>8</w:t>
      </w:r>
      <w:r w:rsidR="008013E0">
        <w:t xml:space="preserve"> </w:t>
      </w:r>
      <w:r>
        <w:t>weather data for each climate zone</w:t>
      </w:r>
      <w:r w:rsidR="007108D4">
        <w:t>,</w:t>
      </w:r>
      <w:r w:rsidR="00FE3FAE">
        <w:t xml:space="preserve"> and the PV penetrations</w:t>
      </w:r>
      <w:r>
        <w:t>, we allocate</w:t>
      </w:r>
      <w:r w:rsidR="00273CE0">
        <w:t xml:space="preserve"> the T&amp;D capacity value in each climate zone to the hours of the year during which the system is most likely to be constrained and require upgrades—the hours of highest local load</w:t>
      </w:r>
      <w:r w:rsidR="005C385F">
        <w:t xml:space="preserve">. </w:t>
      </w:r>
      <w:r w:rsidR="000E5EF4">
        <w:t xml:space="preserve">The allocation factors are derived using the peak capacity allocation factors method, with the additional constraint that the peak period contain between 20 and </w:t>
      </w:r>
      <w:r w:rsidR="008013E0">
        <w:t xml:space="preserve">250 </w:t>
      </w:r>
      <w:r w:rsidR="000E5EF4">
        <w:t>hours for the year.</w:t>
      </w:r>
    </w:p>
    <w:p w14:paraId="2AA1DE80" w14:textId="77777777" w:rsidR="00FE3FAE" w:rsidRDefault="00FE3FAE" w:rsidP="008A6BDD">
      <w:pPr>
        <w:ind w:left="720"/>
      </w:pPr>
      <w:r>
        <w:t xml:space="preserve">PCAF[a,h] = </w:t>
      </w:r>
      <w:r w:rsidRPr="25ED4B98">
        <w:t>(</w:t>
      </w:r>
      <w:r>
        <w:t>Load[a,h</w:t>
      </w:r>
      <w:r w:rsidRPr="25ED4B98">
        <w:t>] –</w:t>
      </w:r>
      <w:r>
        <w:t xml:space="preserve"> Threshold[a]</w:t>
      </w:r>
      <w:r w:rsidRPr="25ED4B98">
        <w:t>)</w:t>
      </w:r>
      <w:r>
        <w:t xml:space="preserve"> / Sum of all positive (Load[a,h] – Threshold[a])</w:t>
      </w:r>
    </w:p>
    <w:p w14:paraId="34CF4ABF" w14:textId="77777777" w:rsidR="00FE3FAE" w:rsidRDefault="00FE3FAE" w:rsidP="008A6BDD">
      <w:pPr>
        <w:pStyle w:val="NoSpacing"/>
      </w:pPr>
      <w:r>
        <w:t xml:space="preserve">Where </w:t>
      </w:r>
    </w:p>
    <w:p w14:paraId="58D3B48C" w14:textId="58B86388" w:rsidR="00FE3FAE" w:rsidRDefault="00FE3FAE" w:rsidP="00A962CD">
      <w:pPr>
        <w:pStyle w:val="NoSpacing"/>
        <w:numPr>
          <w:ilvl w:val="0"/>
          <w:numId w:val="24"/>
        </w:numPr>
      </w:pPr>
      <w:r>
        <w:t xml:space="preserve">a is the climate zone area, </w:t>
      </w:r>
    </w:p>
    <w:p w14:paraId="58A4C029" w14:textId="77777777" w:rsidR="00FE3FAE" w:rsidRDefault="00FE3FAE" w:rsidP="00A962CD">
      <w:pPr>
        <w:pStyle w:val="NoSpacing"/>
        <w:numPr>
          <w:ilvl w:val="0"/>
          <w:numId w:val="24"/>
        </w:numPr>
      </w:pPr>
      <w:r>
        <w:t xml:space="preserve">h is hour of the year, </w:t>
      </w:r>
    </w:p>
    <w:p w14:paraId="5B32CCE5" w14:textId="77777777" w:rsidR="00FE3FAE" w:rsidRDefault="00FE3FAE" w:rsidP="00A962CD">
      <w:pPr>
        <w:pStyle w:val="NoSpacing"/>
        <w:numPr>
          <w:ilvl w:val="0"/>
          <w:numId w:val="24"/>
        </w:numPr>
      </w:pPr>
      <w:r>
        <w:t xml:space="preserve">Load is the net distribution load, and </w:t>
      </w:r>
    </w:p>
    <w:p w14:paraId="51566584" w14:textId="0C0F22D5" w:rsidR="00A701FB" w:rsidRDefault="00FE3FAE" w:rsidP="00A962CD">
      <w:pPr>
        <w:pStyle w:val="NoSpacing"/>
        <w:numPr>
          <w:ilvl w:val="0"/>
          <w:numId w:val="24"/>
        </w:numPr>
      </w:pPr>
      <w:r>
        <w:t xml:space="preserve">Threshold is the area maximum demand less one standard deviation, or the closest value that satisfies the constraint of between 20 and </w:t>
      </w:r>
      <w:r w:rsidR="0097348C">
        <w:t>250</w:t>
      </w:r>
      <w:r>
        <w:t xml:space="preserve"> hours with loads above the threshold.</w:t>
      </w:r>
    </w:p>
    <w:p w14:paraId="034CB740" w14:textId="06E5C721" w:rsidR="00273CE0" w:rsidRPr="00020926" w:rsidRDefault="002D70BF" w:rsidP="008A6BDD">
      <w:r w:rsidRPr="00C97CE1">
        <w:fldChar w:fldCharType="begin"/>
      </w:r>
      <w:r w:rsidRPr="002D70BF">
        <w:instrText xml:space="preserve"> REF _Ref452192165 \h </w:instrText>
      </w:r>
      <w:r>
        <w:instrText xml:space="preserve"> \* MERGEFORMAT </w:instrText>
      </w:r>
      <w:r w:rsidRPr="00C97CE1">
        <w:fldChar w:fldCharType="separate"/>
      </w:r>
      <w:r w:rsidR="0097492A" w:rsidRPr="002D70BF">
        <w:t xml:space="preserve">Figure </w:t>
      </w:r>
      <w:r w:rsidR="0097492A">
        <w:t>20</w:t>
      </w:r>
      <w:r w:rsidRPr="00C97CE1">
        <w:fldChar w:fldCharType="end"/>
      </w:r>
      <w:r>
        <w:t xml:space="preserve"> shows a summary of the updated T&amp;D allocation factors for Climate Zone 3 (</w:t>
      </w:r>
      <w:r w:rsidR="0052767F">
        <w:t>San Francisco</w:t>
      </w:r>
      <w:r w:rsidR="001A227F">
        <w:t xml:space="preserve"> International Airport</w:t>
      </w:r>
      <w:r>
        <w:t>) in 20</w:t>
      </w:r>
      <w:r w:rsidR="002F7669">
        <w:t>20</w:t>
      </w:r>
      <w:r w:rsidR="005C385F">
        <w:t xml:space="preserve">. </w:t>
      </w:r>
      <w:r>
        <w:t xml:space="preserve">The blue line shows the total allocation weight for each hour of the day (in Pacific Standard Time) and the gray bars show the total allocation weight by </w:t>
      </w:r>
      <w:r>
        <w:lastRenderedPageBreak/>
        <w:t>month (top axis, and right axis)</w:t>
      </w:r>
      <w:r w:rsidR="005C385F">
        <w:t xml:space="preserve">. </w:t>
      </w:r>
      <w:r>
        <w:t>The chart title also indicates that the</w:t>
      </w:r>
      <w:r w:rsidRPr="25ED4B98">
        <w:t xml:space="preserve"> </w:t>
      </w:r>
      <w:r>
        <w:t>allocation factors are based on behind</w:t>
      </w:r>
      <w:r w:rsidRPr="25ED4B98">
        <w:t>-</w:t>
      </w:r>
      <w:r>
        <w:t>the</w:t>
      </w:r>
      <w:r w:rsidRPr="25ED4B98">
        <w:t>-</w:t>
      </w:r>
      <w:r>
        <w:t>meter PV provi</w:t>
      </w:r>
      <w:r w:rsidR="00EA7A15">
        <w:t>di</w:t>
      </w:r>
      <w:r>
        <w:t xml:space="preserve">ng an additional </w:t>
      </w:r>
      <w:r w:rsidR="00DC5B55">
        <w:t>3.5</w:t>
      </w:r>
      <w:r>
        <w:t>% of the electricity needs in the climate zone since 2010</w:t>
      </w:r>
      <w:r w:rsidR="005C385F">
        <w:t xml:space="preserve">. </w:t>
      </w:r>
      <w:r>
        <w:t>The PV values are incremental</w:t>
      </w:r>
      <w:r w:rsidRPr="25ED4B98">
        <w:t xml:space="preserve"> </w:t>
      </w:r>
      <w:r>
        <w:t>to 2010 because that is the year of the</w:t>
      </w:r>
      <w:r w:rsidR="00651754">
        <w:t xml:space="preserve"> utility load data used as the basis for the simulated area loads</w:t>
      </w:r>
      <w:r w:rsidR="005C385F">
        <w:t xml:space="preserve">. </w:t>
      </w:r>
      <w:r w:rsidR="00651754">
        <w:t>The additional PV output is subtracted from the simulated loads to estimate the adjusted net loads for the climate zone.</w:t>
      </w:r>
      <w:r w:rsidRPr="25ED4B98">
        <w:t xml:space="preserve"> </w:t>
      </w:r>
    </w:p>
    <w:p w14:paraId="311EBADD" w14:textId="7B5AB98F" w:rsidR="00273CE0" w:rsidRDefault="00273CE0" w:rsidP="00273CE0">
      <w:pPr>
        <w:pStyle w:val="Caption"/>
      </w:pPr>
      <w:bookmarkStart w:id="71" w:name="_Ref452192165"/>
      <w:bookmarkStart w:id="72" w:name="_Ref452193067"/>
      <w:bookmarkStart w:id="73" w:name="_Ref10615620"/>
      <w:r w:rsidRPr="002D70BF">
        <w:t xml:space="preserve">Figure </w:t>
      </w:r>
      <w:r w:rsidR="00813981" w:rsidRPr="008A6BDD">
        <w:fldChar w:fldCharType="begin"/>
      </w:r>
      <w:r w:rsidR="00813981" w:rsidRPr="002D70BF">
        <w:instrText xml:space="preserve"> SEQ Figure \* ARABIC </w:instrText>
      </w:r>
      <w:r w:rsidR="00813981" w:rsidRPr="008A6BDD">
        <w:fldChar w:fldCharType="separate"/>
      </w:r>
      <w:r w:rsidR="0097492A">
        <w:rPr>
          <w:noProof/>
        </w:rPr>
        <w:t>20</w:t>
      </w:r>
      <w:r w:rsidR="00813981" w:rsidRPr="008A6BDD">
        <w:fldChar w:fldCharType="end"/>
      </w:r>
      <w:bookmarkEnd w:id="71"/>
      <w:r w:rsidRPr="63B5EF78">
        <w:t xml:space="preserve">. </w:t>
      </w:r>
      <w:r w:rsidR="00651754">
        <w:t>Updated T&amp;D Allocation Factors for CZ3 in 20</w:t>
      </w:r>
      <w:bookmarkEnd w:id="72"/>
      <w:r w:rsidR="002F7669">
        <w:t>20</w:t>
      </w:r>
      <w:bookmarkEnd w:id="73"/>
    </w:p>
    <w:p w14:paraId="55A4072D" w14:textId="19D7F52D" w:rsidR="002D70BF" w:rsidRDefault="004F6657" w:rsidP="00273CE0">
      <w:r>
        <w:rPr>
          <w:noProof/>
        </w:rPr>
        <w:drawing>
          <wp:inline distT="0" distB="0" distL="0" distR="0" wp14:anchorId="3DD4A70C" wp14:editId="61C2826E">
            <wp:extent cx="4584700" cy="2755900"/>
            <wp:effectExtent l="0" t="0" r="635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31ACC8B" w14:textId="0470E36B" w:rsidR="00651754" w:rsidRDefault="00651754" w:rsidP="00273CE0">
      <w:r>
        <w:fldChar w:fldCharType="begin"/>
      </w:r>
      <w:r>
        <w:instrText xml:space="preserve"> REF _Ref452192722 \h </w:instrText>
      </w:r>
      <w:r>
        <w:fldChar w:fldCharType="separate"/>
      </w:r>
      <w:r w:rsidR="0097492A" w:rsidRPr="00EB036A">
        <w:t xml:space="preserve">Figure </w:t>
      </w:r>
      <w:r w:rsidR="0097492A">
        <w:rPr>
          <w:noProof/>
        </w:rPr>
        <w:t>21</w:t>
      </w:r>
      <w:r>
        <w:fldChar w:fldCharType="end"/>
      </w:r>
      <w:r>
        <w:t xml:space="preserve"> shows the same information for </w:t>
      </w:r>
      <w:r w:rsidR="00EA7A15">
        <w:t>C</w:t>
      </w:r>
      <w:r>
        <w:t xml:space="preserve">limate </w:t>
      </w:r>
      <w:r w:rsidR="00EA7A15">
        <w:t>Z</w:t>
      </w:r>
      <w:r>
        <w:t>one 3 in 2030</w:t>
      </w:r>
      <w:r w:rsidR="005C385F">
        <w:t xml:space="preserve">. </w:t>
      </w:r>
      <w:r>
        <w:t xml:space="preserve">In 2030 the behind-the-meter PV is modeled as providing </w:t>
      </w:r>
      <w:r w:rsidR="00DC5B55">
        <w:t>5.7</w:t>
      </w:r>
      <w:r>
        <w:t>% of the electricity needs in the climate zone</w:t>
      </w:r>
      <w:r w:rsidR="005C385F">
        <w:t xml:space="preserve">. </w:t>
      </w:r>
      <w:r>
        <w:t>This higher PV output</w:t>
      </w:r>
      <w:r w:rsidR="12C13018">
        <w:t xml:space="preserve"> </w:t>
      </w:r>
      <w:r>
        <w:t>results in less need for summer afternoon peak capacity</w:t>
      </w:r>
      <w:r w:rsidR="005C385F">
        <w:t xml:space="preserve">. </w:t>
      </w:r>
      <w:r>
        <w:t>This shi</w:t>
      </w:r>
      <w:r w:rsidR="00EA7A15">
        <w:t>f</w:t>
      </w:r>
      <w:r>
        <w:t>ts the allocation factors to later in the day/evening, as well as shifting more weight to the non-summer months</w:t>
      </w:r>
      <w:r w:rsidR="005C385F">
        <w:t xml:space="preserve">. </w:t>
      </w:r>
      <w:r>
        <w:t>Summary charts for all 16 climate zones are presented in the Appendix.</w:t>
      </w:r>
      <w:r w:rsidRPr="12C13018">
        <w:t xml:space="preserve"> </w:t>
      </w:r>
    </w:p>
    <w:p w14:paraId="7F59927F" w14:textId="2729181A" w:rsidR="002F7669" w:rsidRDefault="00651754" w:rsidP="00370982">
      <w:pPr>
        <w:pStyle w:val="Caption"/>
      </w:pPr>
      <w:bookmarkStart w:id="74" w:name="_Ref452192722"/>
      <w:bookmarkStart w:id="75" w:name="_Ref10615641"/>
      <w:r w:rsidRPr="00EB036A">
        <w:lastRenderedPageBreak/>
        <w:t xml:space="preserve">Figure </w:t>
      </w:r>
      <w:r w:rsidRPr="008A6BDD">
        <w:fldChar w:fldCharType="begin"/>
      </w:r>
      <w:r w:rsidRPr="00EB036A">
        <w:instrText xml:space="preserve"> SEQ Figure \* ARABIC </w:instrText>
      </w:r>
      <w:r w:rsidRPr="008A6BDD">
        <w:fldChar w:fldCharType="separate"/>
      </w:r>
      <w:r w:rsidR="0097492A">
        <w:rPr>
          <w:noProof/>
        </w:rPr>
        <w:t>21</w:t>
      </w:r>
      <w:r w:rsidRPr="008A6BDD">
        <w:fldChar w:fldCharType="end"/>
      </w:r>
      <w:bookmarkEnd w:id="74"/>
      <w:r w:rsidRPr="00EB036A">
        <w:t xml:space="preserve">. </w:t>
      </w:r>
      <w:r>
        <w:t>Updated T&amp;D Allocation Factors for CZ3 in 2030</w:t>
      </w:r>
      <w:bookmarkEnd w:id="75"/>
    </w:p>
    <w:p w14:paraId="0377B104" w14:textId="74667FA8" w:rsidR="009720CF" w:rsidRDefault="00370982" w:rsidP="00370982">
      <w:pPr>
        <w:jc w:val="center"/>
      </w:pPr>
      <w:r>
        <w:rPr>
          <w:noProof/>
        </w:rPr>
        <w:drawing>
          <wp:inline distT="0" distB="0" distL="0" distR="0" wp14:anchorId="0D9CB77C" wp14:editId="7DF32885">
            <wp:extent cx="4584700" cy="27559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E188736" w14:textId="578CEE1D" w:rsidR="002F7669" w:rsidRDefault="002F7669" w:rsidP="00273CE0">
      <w:r>
        <w:t>The 2020 allocation factors are used for all years up to and including 2020, and the 2030 shapes are used for 2030 and all subsequent years</w:t>
      </w:r>
      <w:r w:rsidR="005C385F">
        <w:t xml:space="preserve">. </w:t>
      </w:r>
      <w:r>
        <w:t>A simple linear interpolation is applied to the interim years.</w:t>
      </w:r>
    </w:p>
    <w:p w14:paraId="56A48B1E" w14:textId="1400A362" w:rsidR="002F7669" w:rsidRDefault="002F7669" w:rsidP="008A6BDD">
      <w:pPr>
        <w:pStyle w:val="Caption"/>
      </w:pPr>
      <w:r w:rsidRPr="00A962CD">
        <w:lastRenderedPageBreak/>
        <w:t xml:space="preserve">Table </w:t>
      </w:r>
      <w:fldSimple w:instr=" SEQ Table \* ARABIC ">
        <w:r w:rsidR="0097492A">
          <w:rPr>
            <w:noProof/>
          </w:rPr>
          <w:t>8</w:t>
        </w:r>
      </w:fldSimple>
      <w:r w:rsidRPr="00A962CD">
        <w:t>:  Percentage of Electricity Demand Met by Behind-the-Meter PV</w:t>
      </w:r>
    </w:p>
    <w:tbl>
      <w:tblPr>
        <w:tblStyle w:val="ListTable3-Accent11"/>
        <w:tblW w:w="0" w:type="auto"/>
        <w:jc w:val="center"/>
        <w:tblLook w:val="04A0" w:firstRow="1" w:lastRow="0" w:firstColumn="1" w:lastColumn="0" w:noHBand="0" w:noVBand="1"/>
      </w:tblPr>
      <w:tblGrid>
        <w:gridCol w:w="1418"/>
        <w:gridCol w:w="961"/>
        <w:gridCol w:w="1244"/>
      </w:tblGrid>
      <w:tr w:rsidR="002F7669" w14:paraId="1FC00400" w14:textId="77777777" w:rsidTr="00A962C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0" w:type="auto"/>
            <w:noWrap/>
            <w:hideMark/>
          </w:tcPr>
          <w:p w14:paraId="231BE34C" w14:textId="4E94C237" w:rsidR="002F7669" w:rsidRPr="008A6BDD" w:rsidRDefault="002F7669" w:rsidP="008A6BDD">
            <w:pPr>
              <w:keepNext/>
              <w:keepLines/>
              <w:spacing w:before="0" w:after="0" w:line="240" w:lineRule="auto"/>
              <w:rPr>
                <w:rFonts w:cs="Times New Roman"/>
                <w:sz w:val="22"/>
                <w:szCs w:val="22"/>
              </w:rPr>
            </w:pPr>
            <w:r>
              <w:rPr>
                <w:sz w:val="22"/>
                <w:szCs w:val="22"/>
              </w:rPr>
              <w:t>Climate Zone</w:t>
            </w:r>
          </w:p>
        </w:tc>
        <w:tc>
          <w:tcPr>
            <w:tcW w:w="0" w:type="auto"/>
            <w:noWrap/>
            <w:hideMark/>
          </w:tcPr>
          <w:p w14:paraId="7FEB9A85" w14:textId="7599B3A4" w:rsidR="002F7669" w:rsidRPr="008A6BDD" w:rsidRDefault="002F7669" w:rsidP="008A6BDD">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8A6BDD">
              <w:rPr>
                <w:color w:val="auto"/>
                <w:sz w:val="22"/>
                <w:szCs w:val="22"/>
              </w:rPr>
              <w:t xml:space="preserve">      </w:t>
            </w:r>
            <w:r>
              <w:rPr>
                <w:sz w:val="22"/>
                <w:szCs w:val="22"/>
              </w:rPr>
              <w:t>2020</w:t>
            </w:r>
            <w:r w:rsidRPr="008A6BDD">
              <w:rPr>
                <w:color w:val="auto"/>
                <w:sz w:val="22"/>
                <w:szCs w:val="22"/>
              </w:rPr>
              <w:t xml:space="preserve"> </w:t>
            </w:r>
          </w:p>
        </w:tc>
        <w:tc>
          <w:tcPr>
            <w:tcW w:w="1244" w:type="dxa"/>
            <w:noWrap/>
            <w:hideMark/>
          </w:tcPr>
          <w:p w14:paraId="0C93DE33" w14:textId="48F6194B" w:rsidR="002F7669" w:rsidRPr="008A6BDD" w:rsidRDefault="002F7669" w:rsidP="008A6BDD">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2030</w:t>
            </w:r>
          </w:p>
        </w:tc>
      </w:tr>
      <w:tr w:rsidR="00A962CD" w14:paraId="36286209" w14:textId="77777777" w:rsidTr="00A962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46633B1" w14:textId="77777777" w:rsidR="00A962CD" w:rsidRDefault="00A962CD" w:rsidP="00A962CD">
            <w:pPr>
              <w:keepNext/>
              <w:keepLines/>
              <w:spacing w:before="0" w:after="0" w:line="240" w:lineRule="auto"/>
              <w:rPr>
                <w:color w:val="000000"/>
                <w:sz w:val="22"/>
                <w:szCs w:val="22"/>
              </w:rPr>
            </w:pPr>
            <w:r>
              <w:rPr>
                <w:color w:val="000000"/>
                <w:sz w:val="22"/>
                <w:szCs w:val="22"/>
              </w:rPr>
              <w:t>CZ1</w:t>
            </w:r>
          </w:p>
        </w:tc>
        <w:tc>
          <w:tcPr>
            <w:tcW w:w="0" w:type="auto"/>
            <w:noWrap/>
            <w:hideMark/>
          </w:tcPr>
          <w:p w14:paraId="7FD9CFE9" w14:textId="627ADF85" w:rsidR="00A962CD" w:rsidRPr="00A962CD" w:rsidRDefault="00A962CD" w:rsidP="00A962C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A962CD">
              <w:rPr>
                <w:sz w:val="22"/>
                <w:szCs w:val="22"/>
              </w:rPr>
              <w:t>3.5%</w:t>
            </w:r>
          </w:p>
        </w:tc>
        <w:tc>
          <w:tcPr>
            <w:tcW w:w="1244" w:type="dxa"/>
            <w:noWrap/>
            <w:hideMark/>
          </w:tcPr>
          <w:p w14:paraId="620A09D7" w14:textId="40F7EA7A" w:rsidR="00A962CD" w:rsidRPr="00A962CD" w:rsidRDefault="00A962CD" w:rsidP="00A962C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A962CD">
              <w:rPr>
                <w:sz w:val="22"/>
                <w:szCs w:val="22"/>
              </w:rPr>
              <w:t>5.7%</w:t>
            </w:r>
          </w:p>
        </w:tc>
      </w:tr>
      <w:tr w:rsidR="00A962CD" w14:paraId="6E7B2AE1" w14:textId="77777777" w:rsidTr="00A962C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645C072" w14:textId="77777777" w:rsidR="00A962CD" w:rsidRDefault="00A962CD" w:rsidP="00A962CD">
            <w:pPr>
              <w:keepNext/>
              <w:keepLines/>
              <w:spacing w:before="0" w:after="0" w:line="240" w:lineRule="auto"/>
              <w:rPr>
                <w:color w:val="000000"/>
                <w:sz w:val="22"/>
                <w:szCs w:val="22"/>
              </w:rPr>
            </w:pPr>
            <w:r>
              <w:rPr>
                <w:color w:val="000000"/>
                <w:sz w:val="22"/>
                <w:szCs w:val="22"/>
              </w:rPr>
              <w:t>CZ2</w:t>
            </w:r>
          </w:p>
        </w:tc>
        <w:tc>
          <w:tcPr>
            <w:tcW w:w="0" w:type="auto"/>
            <w:noWrap/>
            <w:hideMark/>
          </w:tcPr>
          <w:p w14:paraId="7CF4B2B2" w14:textId="31DA6CF8" w:rsidR="00A962CD" w:rsidRPr="00A962CD" w:rsidRDefault="00A962CD" w:rsidP="00A962C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A962CD">
              <w:rPr>
                <w:sz w:val="22"/>
                <w:szCs w:val="22"/>
              </w:rPr>
              <w:t>8.6%</w:t>
            </w:r>
          </w:p>
        </w:tc>
        <w:tc>
          <w:tcPr>
            <w:tcW w:w="1244" w:type="dxa"/>
            <w:noWrap/>
            <w:hideMark/>
          </w:tcPr>
          <w:p w14:paraId="52785C56" w14:textId="6084B977" w:rsidR="00A962CD" w:rsidRPr="00A962CD" w:rsidRDefault="00A962CD" w:rsidP="00A962C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A962CD">
              <w:rPr>
                <w:sz w:val="22"/>
                <w:szCs w:val="22"/>
              </w:rPr>
              <w:t>13.6%</w:t>
            </w:r>
          </w:p>
        </w:tc>
      </w:tr>
      <w:tr w:rsidR="00A962CD" w14:paraId="0129507C" w14:textId="77777777" w:rsidTr="00A962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628D933" w14:textId="77777777" w:rsidR="00A962CD" w:rsidRDefault="00A962CD" w:rsidP="00A962CD">
            <w:pPr>
              <w:keepNext/>
              <w:keepLines/>
              <w:spacing w:before="0" w:after="0" w:line="240" w:lineRule="auto"/>
              <w:rPr>
                <w:color w:val="000000"/>
                <w:sz w:val="22"/>
                <w:szCs w:val="22"/>
              </w:rPr>
            </w:pPr>
            <w:r>
              <w:rPr>
                <w:color w:val="000000"/>
                <w:sz w:val="22"/>
                <w:szCs w:val="22"/>
              </w:rPr>
              <w:t>CZ3</w:t>
            </w:r>
          </w:p>
        </w:tc>
        <w:tc>
          <w:tcPr>
            <w:tcW w:w="0" w:type="auto"/>
            <w:noWrap/>
            <w:hideMark/>
          </w:tcPr>
          <w:p w14:paraId="68213CE3" w14:textId="53A80248" w:rsidR="00A962CD" w:rsidRPr="00A962CD" w:rsidRDefault="00A962CD" w:rsidP="00A962C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A962CD">
              <w:rPr>
                <w:sz w:val="22"/>
                <w:szCs w:val="22"/>
              </w:rPr>
              <w:t>3.5%</w:t>
            </w:r>
          </w:p>
        </w:tc>
        <w:tc>
          <w:tcPr>
            <w:tcW w:w="1244" w:type="dxa"/>
            <w:noWrap/>
            <w:hideMark/>
          </w:tcPr>
          <w:p w14:paraId="5E29B59E" w14:textId="2C7B6482" w:rsidR="00A962CD" w:rsidRPr="00A962CD" w:rsidRDefault="00A962CD" w:rsidP="00A962C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A962CD">
              <w:rPr>
                <w:sz w:val="22"/>
                <w:szCs w:val="22"/>
              </w:rPr>
              <w:t>5.7%</w:t>
            </w:r>
          </w:p>
        </w:tc>
      </w:tr>
      <w:tr w:rsidR="00A962CD" w14:paraId="680E9A3C" w14:textId="77777777" w:rsidTr="00A962C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9014F9C" w14:textId="77777777" w:rsidR="00A962CD" w:rsidRDefault="00A962CD" w:rsidP="00A962CD">
            <w:pPr>
              <w:keepNext/>
              <w:keepLines/>
              <w:spacing w:before="0" w:after="0" w:line="240" w:lineRule="auto"/>
              <w:rPr>
                <w:color w:val="000000"/>
                <w:sz w:val="22"/>
                <w:szCs w:val="22"/>
              </w:rPr>
            </w:pPr>
            <w:r>
              <w:rPr>
                <w:color w:val="000000"/>
                <w:sz w:val="22"/>
                <w:szCs w:val="22"/>
              </w:rPr>
              <w:t>CZ4</w:t>
            </w:r>
          </w:p>
        </w:tc>
        <w:tc>
          <w:tcPr>
            <w:tcW w:w="0" w:type="auto"/>
            <w:noWrap/>
            <w:hideMark/>
          </w:tcPr>
          <w:p w14:paraId="3257CDBE" w14:textId="606D2D86" w:rsidR="00A962CD" w:rsidRPr="00A962CD" w:rsidRDefault="00A962CD" w:rsidP="00A962C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A962CD">
              <w:rPr>
                <w:sz w:val="22"/>
                <w:szCs w:val="22"/>
              </w:rPr>
              <w:t>5.1%</w:t>
            </w:r>
          </w:p>
        </w:tc>
        <w:tc>
          <w:tcPr>
            <w:tcW w:w="1244" w:type="dxa"/>
            <w:noWrap/>
            <w:hideMark/>
          </w:tcPr>
          <w:p w14:paraId="6D7CCE98" w14:textId="3EE06E05" w:rsidR="00A962CD" w:rsidRPr="00A962CD" w:rsidRDefault="00A962CD" w:rsidP="00A962C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A962CD">
              <w:rPr>
                <w:sz w:val="22"/>
                <w:szCs w:val="22"/>
              </w:rPr>
              <w:t>8.2%</w:t>
            </w:r>
          </w:p>
        </w:tc>
      </w:tr>
      <w:tr w:rsidR="00A962CD" w14:paraId="2457FEFE" w14:textId="77777777" w:rsidTr="00A962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33FDF85" w14:textId="77777777" w:rsidR="00A962CD" w:rsidRDefault="00A962CD" w:rsidP="00A962CD">
            <w:pPr>
              <w:keepNext/>
              <w:keepLines/>
              <w:spacing w:before="0" w:after="0" w:line="240" w:lineRule="auto"/>
              <w:rPr>
                <w:color w:val="000000"/>
                <w:sz w:val="22"/>
                <w:szCs w:val="22"/>
              </w:rPr>
            </w:pPr>
            <w:r>
              <w:rPr>
                <w:color w:val="000000"/>
                <w:sz w:val="22"/>
                <w:szCs w:val="22"/>
              </w:rPr>
              <w:t>CZ5</w:t>
            </w:r>
          </w:p>
        </w:tc>
        <w:tc>
          <w:tcPr>
            <w:tcW w:w="0" w:type="auto"/>
            <w:noWrap/>
            <w:hideMark/>
          </w:tcPr>
          <w:p w14:paraId="146E9E20" w14:textId="14CBB69F" w:rsidR="00A962CD" w:rsidRPr="00A962CD" w:rsidRDefault="00A962CD" w:rsidP="00A962C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A962CD">
              <w:rPr>
                <w:sz w:val="22"/>
                <w:szCs w:val="22"/>
              </w:rPr>
              <w:t>6.0%</w:t>
            </w:r>
          </w:p>
        </w:tc>
        <w:tc>
          <w:tcPr>
            <w:tcW w:w="1244" w:type="dxa"/>
            <w:noWrap/>
            <w:hideMark/>
          </w:tcPr>
          <w:p w14:paraId="72B4FCED" w14:textId="671C622D" w:rsidR="00A962CD" w:rsidRPr="00A962CD" w:rsidRDefault="00A962CD" w:rsidP="00A962C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A962CD">
              <w:rPr>
                <w:sz w:val="22"/>
                <w:szCs w:val="22"/>
              </w:rPr>
              <w:t>9.7%</w:t>
            </w:r>
          </w:p>
        </w:tc>
      </w:tr>
      <w:tr w:rsidR="00A962CD" w14:paraId="27C64253" w14:textId="77777777" w:rsidTr="00A962C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EDE2984" w14:textId="77777777" w:rsidR="00A962CD" w:rsidRDefault="00A962CD" w:rsidP="00A962CD">
            <w:pPr>
              <w:keepNext/>
              <w:keepLines/>
              <w:spacing w:before="0" w:after="0" w:line="240" w:lineRule="auto"/>
              <w:rPr>
                <w:color w:val="000000"/>
                <w:sz w:val="22"/>
                <w:szCs w:val="22"/>
              </w:rPr>
            </w:pPr>
            <w:r>
              <w:rPr>
                <w:color w:val="000000"/>
                <w:sz w:val="22"/>
                <w:szCs w:val="22"/>
              </w:rPr>
              <w:t>CZ6</w:t>
            </w:r>
          </w:p>
        </w:tc>
        <w:tc>
          <w:tcPr>
            <w:tcW w:w="0" w:type="auto"/>
            <w:noWrap/>
            <w:hideMark/>
          </w:tcPr>
          <w:p w14:paraId="0BEBA597" w14:textId="62176517" w:rsidR="00A962CD" w:rsidRPr="00A962CD" w:rsidRDefault="00A962CD" w:rsidP="00A962C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A962CD">
              <w:rPr>
                <w:sz w:val="22"/>
                <w:szCs w:val="22"/>
              </w:rPr>
              <w:t>2.6%</w:t>
            </w:r>
          </w:p>
        </w:tc>
        <w:tc>
          <w:tcPr>
            <w:tcW w:w="1244" w:type="dxa"/>
            <w:noWrap/>
            <w:hideMark/>
          </w:tcPr>
          <w:p w14:paraId="6A3C5643" w14:textId="021A231D" w:rsidR="00A962CD" w:rsidRPr="00A962CD" w:rsidRDefault="00A962CD" w:rsidP="00A962C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A962CD">
              <w:rPr>
                <w:sz w:val="22"/>
                <w:szCs w:val="22"/>
              </w:rPr>
              <w:t>4.4%</w:t>
            </w:r>
          </w:p>
        </w:tc>
      </w:tr>
      <w:tr w:rsidR="00A962CD" w14:paraId="1925614C" w14:textId="77777777" w:rsidTr="00A962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BEB38E6" w14:textId="77777777" w:rsidR="00A962CD" w:rsidRDefault="00A962CD" w:rsidP="00A962CD">
            <w:pPr>
              <w:keepNext/>
              <w:keepLines/>
              <w:spacing w:before="0" w:after="0" w:line="240" w:lineRule="auto"/>
              <w:rPr>
                <w:color w:val="000000"/>
                <w:sz w:val="22"/>
                <w:szCs w:val="22"/>
              </w:rPr>
            </w:pPr>
            <w:r>
              <w:rPr>
                <w:color w:val="000000"/>
                <w:sz w:val="22"/>
                <w:szCs w:val="22"/>
              </w:rPr>
              <w:t>CZ7</w:t>
            </w:r>
          </w:p>
        </w:tc>
        <w:tc>
          <w:tcPr>
            <w:tcW w:w="0" w:type="auto"/>
            <w:noWrap/>
            <w:hideMark/>
          </w:tcPr>
          <w:p w14:paraId="09F2CC17" w14:textId="070CDFA6" w:rsidR="00A962CD" w:rsidRPr="00A962CD" w:rsidRDefault="00A962CD" w:rsidP="00A962C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A962CD">
              <w:rPr>
                <w:sz w:val="22"/>
                <w:szCs w:val="22"/>
              </w:rPr>
              <w:t>8.5%</w:t>
            </w:r>
          </w:p>
        </w:tc>
        <w:tc>
          <w:tcPr>
            <w:tcW w:w="1244" w:type="dxa"/>
            <w:noWrap/>
            <w:hideMark/>
          </w:tcPr>
          <w:p w14:paraId="428C3DA3" w14:textId="754A74DF" w:rsidR="00A962CD" w:rsidRPr="00A962CD" w:rsidRDefault="00A962CD" w:rsidP="00A962C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A962CD">
              <w:rPr>
                <w:sz w:val="22"/>
                <w:szCs w:val="22"/>
              </w:rPr>
              <w:t>11.7%</w:t>
            </w:r>
          </w:p>
        </w:tc>
      </w:tr>
      <w:tr w:rsidR="00A962CD" w14:paraId="76F4B06F" w14:textId="77777777" w:rsidTr="00A962C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12543C" w14:textId="77777777" w:rsidR="00A962CD" w:rsidRDefault="00A962CD" w:rsidP="00A962CD">
            <w:pPr>
              <w:keepNext/>
              <w:keepLines/>
              <w:spacing w:before="0" w:after="0" w:line="240" w:lineRule="auto"/>
              <w:rPr>
                <w:color w:val="000000"/>
                <w:sz w:val="22"/>
                <w:szCs w:val="22"/>
              </w:rPr>
            </w:pPr>
            <w:r>
              <w:rPr>
                <w:color w:val="000000"/>
                <w:sz w:val="22"/>
                <w:szCs w:val="22"/>
              </w:rPr>
              <w:t>CZ8</w:t>
            </w:r>
          </w:p>
        </w:tc>
        <w:tc>
          <w:tcPr>
            <w:tcW w:w="0" w:type="auto"/>
            <w:noWrap/>
            <w:hideMark/>
          </w:tcPr>
          <w:p w14:paraId="3C366168" w14:textId="768609D6" w:rsidR="00A962CD" w:rsidRPr="00A962CD" w:rsidRDefault="00A962CD" w:rsidP="00A962C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A962CD">
              <w:rPr>
                <w:sz w:val="22"/>
                <w:szCs w:val="22"/>
              </w:rPr>
              <w:t>3.2%</w:t>
            </w:r>
          </w:p>
        </w:tc>
        <w:tc>
          <w:tcPr>
            <w:tcW w:w="1244" w:type="dxa"/>
            <w:noWrap/>
            <w:hideMark/>
          </w:tcPr>
          <w:p w14:paraId="0D43A3EF" w14:textId="634F1262" w:rsidR="00A962CD" w:rsidRPr="00A962CD" w:rsidRDefault="00A962CD" w:rsidP="00A962C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A962CD">
              <w:rPr>
                <w:sz w:val="22"/>
                <w:szCs w:val="22"/>
              </w:rPr>
              <w:t>5.8%</w:t>
            </w:r>
          </w:p>
        </w:tc>
      </w:tr>
      <w:tr w:rsidR="00A962CD" w14:paraId="2AC9A0F3" w14:textId="77777777" w:rsidTr="00A962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4217D66" w14:textId="77777777" w:rsidR="00A962CD" w:rsidRDefault="00A962CD" w:rsidP="00A962CD">
            <w:pPr>
              <w:keepNext/>
              <w:keepLines/>
              <w:spacing w:before="0" w:after="0" w:line="240" w:lineRule="auto"/>
              <w:rPr>
                <w:color w:val="000000"/>
                <w:sz w:val="22"/>
                <w:szCs w:val="22"/>
              </w:rPr>
            </w:pPr>
            <w:r>
              <w:rPr>
                <w:color w:val="000000"/>
                <w:sz w:val="22"/>
                <w:szCs w:val="22"/>
              </w:rPr>
              <w:t>CZ9</w:t>
            </w:r>
          </w:p>
        </w:tc>
        <w:tc>
          <w:tcPr>
            <w:tcW w:w="0" w:type="auto"/>
            <w:noWrap/>
            <w:hideMark/>
          </w:tcPr>
          <w:p w14:paraId="33D47B43" w14:textId="567C920D" w:rsidR="00A962CD" w:rsidRPr="00A962CD" w:rsidRDefault="00A962CD" w:rsidP="00A962C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A962CD">
              <w:rPr>
                <w:sz w:val="22"/>
                <w:szCs w:val="22"/>
              </w:rPr>
              <w:t>3.8%</w:t>
            </w:r>
          </w:p>
        </w:tc>
        <w:tc>
          <w:tcPr>
            <w:tcW w:w="1244" w:type="dxa"/>
            <w:noWrap/>
            <w:hideMark/>
          </w:tcPr>
          <w:p w14:paraId="79897E92" w14:textId="71BEC8D3" w:rsidR="00A962CD" w:rsidRPr="00A962CD" w:rsidRDefault="00A962CD" w:rsidP="00A962C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A962CD">
              <w:rPr>
                <w:sz w:val="22"/>
                <w:szCs w:val="22"/>
              </w:rPr>
              <w:t>6.9%</w:t>
            </w:r>
          </w:p>
        </w:tc>
      </w:tr>
      <w:tr w:rsidR="00A962CD" w14:paraId="5E856F85" w14:textId="77777777" w:rsidTr="00A962C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4305223" w14:textId="77777777" w:rsidR="00A962CD" w:rsidRDefault="00A962CD" w:rsidP="00A962CD">
            <w:pPr>
              <w:keepNext/>
              <w:keepLines/>
              <w:spacing w:before="0" w:after="0" w:line="240" w:lineRule="auto"/>
              <w:rPr>
                <w:color w:val="000000"/>
                <w:sz w:val="22"/>
                <w:szCs w:val="22"/>
              </w:rPr>
            </w:pPr>
            <w:r>
              <w:rPr>
                <w:color w:val="000000"/>
                <w:sz w:val="22"/>
                <w:szCs w:val="22"/>
              </w:rPr>
              <w:t>CZ10</w:t>
            </w:r>
          </w:p>
        </w:tc>
        <w:tc>
          <w:tcPr>
            <w:tcW w:w="0" w:type="auto"/>
            <w:noWrap/>
            <w:hideMark/>
          </w:tcPr>
          <w:p w14:paraId="1CCBC39C" w14:textId="7702B711" w:rsidR="00A962CD" w:rsidRPr="00A962CD" w:rsidRDefault="00A962CD" w:rsidP="00A962C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A962CD">
              <w:rPr>
                <w:sz w:val="22"/>
                <w:szCs w:val="22"/>
              </w:rPr>
              <w:t>8.3%</w:t>
            </w:r>
          </w:p>
        </w:tc>
        <w:tc>
          <w:tcPr>
            <w:tcW w:w="1244" w:type="dxa"/>
            <w:noWrap/>
            <w:hideMark/>
          </w:tcPr>
          <w:p w14:paraId="501C08AB" w14:textId="371CA4B6" w:rsidR="00A962CD" w:rsidRPr="00A962CD" w:rsidRDefault="00A962CD" w:rsidP="00A962C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A962CD">
              <w:rPr>
                <w:sz w:val="22"/>
                <w:szCs w:val="22"/>
              </w:rPr>
              <w:t>13.2%</w:t>
            </w:r>
          </w:p>
        </w:tc>
      </w:tr>
      <w:tr w:rsidR="00A962CD" w14:paraId="6F1B8852" w14:textId="77777777" w:rsidTr="00A962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01434A2" w14:textId="77777777" w:rsidR="00A962CD" w:rsidRDefault="00A962CD" w:rsidP="00A962CD">
            <w:pPr>
              <w:keepNext/>
              <w:keepLines/>
              <w:spacing w:before="0" w:after="0" w:line="240" w:lineRule="auto"/>
              <w:rPr>
                <w:color w:val="000000"/>
                <w:sz w:val="22"/>
                <w:szCs w:val="22"/>
              </w:rPr>
            </w:pPr>
            <w:r>
              <w:rPr>
                <w:color w:val="000000"/>
                <w:sz w:val="22"/>
                <w:szCs w:val="22"/>
              </w:rPr>
              <w:t>CZ11</w:t>
            </w:r>
          </w:p>
        </w:tc>
        <w:tc>
          <w:tcPr>
            <w:tcW w:w="0" w:type="auto"/>
            <w:noWrap/>
            <w:hideMark/>
          </w:tcPr>
          <w:p w14:paraId="6233F33B" w14:textId="32D8BC39" w:rsidR="00A962CD" w:rsidRPr="00A962CD" w:rsidRDefault="00A962CD" w:rsidP="00A962C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A962CD">
              <w:rPr>
                <w:sz w:val="22"/>
                <w:szCs w:val="22"/>
              </w:rPr>
              <w:t>14.6%</w:t>
            </w:r>
          </w:p>
        </w:tc>
        <w:tc>
          <w:tcPr>
            <w:tcW w:w="1244" w:type="dxa"/>
            <w:noWrap/>
            <w:hideMark/>
          </w:tcPr>
          <w:p w14:paraId="7E070A1A" w14:textId="4E4FC3B7" w:rsidR="00A962CD" w:rsidRPr="00A962CD" w:rsidRDefault="00A962CD" w:rsidP="00A962C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A962CD">
              <w:rPr>
                <w:sz w:val="22"/>
                <w:szCs w:val="22"/>
              </w:rPr>
              <w:t>22.1%</w:t>
            </w:r>
          </w:p>
        </w:tc>
      </w:tr>
      <w:tr w:rsidR="00A962CD" w14:paraId="6B0FD36E" w14:textId="77777777" w:rsidTr="00A962C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E499BD1" w14:textId="77777777" w:rsidR="00A962CD" w:rsidRDefault="00A962CD" w:rsidP="00A962CD">
            <w:pPr>
              <w:keepNext/>
              <w:keepLines/>
              <w:spacing w:before="0" w:after="0" w:line="240" w:lineRule="auto"/>
              <w:rPr>
                <w:color w:val="000000"/>
                <w:sz w:val="22"/>
                <w:szCs w:val="22"/>
              </w:rPr>
            </w:pPr>
            <w:r>
              <w:rPr>
                <w:color w:val="000000"/>
                <w:sz w:val="22"/>
                <w:szCs w:val="22"/>
              </w:rPr>
              <w:t>CZ12</w:t>
            </w:r>
          </w:p>
        </w:tc>
        <w:tc>
          <w:tcPr>
            <w:tcW w:w="0" w:type="auto"/>
            <w:noWrap/>
            <w:hideMark/>
          </w:tcPr>
          <w:p w14:paraId="38EB554D" w14:textId="52CC20E5" w:rsidR="00A962CD" w:rsidRPr="00A962CD" w:rsidRDefault="00A962CD" w:rsidP="00A962C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A962CD">
              <w:rPr>
                <w:sz w:val="22"/>
                <w:szCs w:val="22"/>
              </w:rPr>
              <w:t>10.3%</w:t>
            </w:r>
          </w:p>
        </w:tc>
        <w:tc>
          <w:tcPr>
            <w:tcW w:w="1244" w:type="dxa"/>
            <w:noWrap/>
            <w:hideMark/>
          </w:tcPr>
          <w:p w14:paraId="3734438A" w14:textId="140A05F7" w:rsidR="00A962CD" w:rsidRPr="00A962CD" w:rsidRDefault="00A962CD" w:rsidP="00A962C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A962CD">
              <w:rPr>
                <w:sz w:val="22"/>
                <w:szCs w:val="22"/>
              </w:rPr>
              <w:t>16.0%</w:t>
            </w:r>
          </w:p>
        </w:tc>
      </w:tr>
      <w:tr w:rsidR="00A962CD" w14:paraId="21DDF84F" w14:textId="77777777" w:rsidTr="00A962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92F1C0B" w14:textId="77777777" w:rsidR="00A962CD" w:rsidRDefault="00A962CD" w:rsidP="00A962CD">
            <w:pPr>
              <w:keepNext/>
              <w:keepLines/>
              <w:spacing w:before="0" w:after="0" w:line="240" w:lineRule="auto"/>
              <w:rPr>
                <w:color w:val="000000"/>
                <w:sz w:val="22"/>
                <w:szCs w:val="22"/>
              </w:rPr>
            </w:pPr>
            <w:r>
              <w:rPr>
                <w:color w:val="000000"/>
                <w:sz w:val="22"/>
                <w:szCs w:val="22"/>
              </w:rPr>
              <w:t>CZ13</w:t>
            </w:r>
          </w:p>
        </w:tc>
        <w:tc>
          <w:tcPr>
            <w:tcW w:w="0" w:type="auto"/>
            <w:noWrap/>
            <w:hideMark/>
          </w:tcPr>
          <w:p w14:paraId="7F53C036" w14:textId="3C1C1110" w:rsidR="00A962CD" w:rsidRPr="00A962CD" w:rsidRDefault="00A962CD" w:rsidP="00A962C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A962CD">
              <w:rPr>
                <w:sz w:val="22"/>
                <w:szCs w:val="22"/>
              </w:rPr>
              <w:t>9.4%</w:t>
            </w:r>
          </w:p>
        </w:tc>
        <w:tc>
          <w:tcPr>
            <w:tcW w:w="1244" w:type="dxa"/>
            <w:noWrap/>
            <w:hideMark/>
          </w:tcPr>
          <w:p w14:paraId="4B01DF3D" w14:textId="49C5F530" w:rsidR="00A962CD" w:rsidRPr="00A962CD" w:rsidRDefault="00A962CD" w:rsidP="00A962C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A962CD">
              <w:rPr>
                <w:sz w:val="22"/>
                <w:szCs w:val="22"/>
              </w:rPr>
              <w:t>15.0%</w:t>
            </w:r>
          </w:p>
        </w:tc>
      </w:tr>
      <w:tr w:rsidR="00A962CD" w14:paraId="381888E5" w14:textId="77777777" w:rsidTr="00A962C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8BBDAC" w14:textId="77777777" w:rsidR="00A962CD" w:rsidRDefault="00A962CD" w:rsidP="00A962CD">
            <w:pPr>
              <w:keepNext/>
              <w:keepLines/>
              <w:spacing w:before="0" w:after="0" w:line="240" w:lineRule="auto"/>
              <w:rPr>
                <w:color w:val="000000"/>
                <w:sz w:val="22"/>
                <w:szCs w:val="22"/>
              </w:rPr>
            </w:pPr>
            <w:r>
              <w:rPr>
                <w:color w:val="000000"/>
                <w:sz w:val="22"/>
                <w:szCs w:val="22"/>
              </w:rPr>
              <w:t>CZ14</w:t>
            </w:r>
          </w:p>
        </w:tc>
        <w:tc>
          <w:tcPr>
            <w:tcW w:w="0" w:type="auto"/>
            <w:noWrap/>
            <w:hideMark/>
          </w:tcPr>
          <w:p w14:paraId="1AF85A8F" w14:textId="49E23F5C" w:rsidR="00A962CD" w:rsidRPr="00A962CD" w:rsidRDefault="00A962CD" w:rsidP="00A962C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A962CD">
              <w:rPr>
                <w:sz w:val="22"/>
                <w:szCs w:val="22"/>
              </w:rPr>
              <w:t>9.2%</w:t>
            </w:r>
          </w:p>
        </w:tc>
        <w:tc>
          <w:tcPr>
            <w:tcW w:w="1244" w:type="dxa"/>
            <w:noWrap/>
            <w:hideMark/>
          </w:tcPr>
          <w:p w14:paraId="44B6E914" w14:textId="73D1CD5F" w:rsidR="00A962CD" w:rsidRPr="00A962CD" w:rsidRDefault="00A962CD" w:rsidP="00A962C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A962CD">
              <w:rPr>
                <w:sz w:val="22"/>
                <w:szCs w:val="22"/>
              </w:rPr>
              <w:t>15.7%</w:t>
            </w:r>
          </w:p>
        </w:tc>
      </w:tr>
      <w:tr w:rsidR="00A962CD" w14:paraId="5A6944E0" w14:textId="77777777" w:rsidTr="00A962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04890DC" w14:textId="77777777" w:rsidR="00A962CD" w:rsidRDefault="00A962CD" w:rsidP="00A962CD">
            <w:pPr>
              <w:keepNext/>
              <w:keepLines/>
              <w:spacing w:before="0" w:after="0" w:line="240" w:lineRule="auto"/>
              <w:rPr>
                <w:color w:val="000000"/>
                <w:sz w:val="22"/>
                <w:szCs w:val="22"/>
              </w:rPr>
            </w:pPr>
            <w:r>
              <w:rPr>
                <w:color w:val="000000"/>
                <w:sz w:val="22"/>
                <w:szCs w:val="22"/>
              </w:rPr>
              <w:t>CZ15</w:t>
            </w:r>
          </w:p>
        </w:tc>
        <w:tc>
          <w:tcPr>
            <w:tcW w:w="0" w:type="auto"/>
            <w:noWrap/>
            <w:hideMark/>
          </w:tcPr>
          <w:p w14:paraId="1AEA0F55" w14:textId="44C60DB6" w:rsidR="00A962CD" w:rsidRPr="00A962CD" w:rsidRDefault="00A962CD" w:rsidP="00A962C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A962CD">
              <w:rPr>
                <w:sz w:val="22"/>
                <w:szCs w:val="22"/>
              </w:rPr>
              <w:t>9.3%</w:t>
            </w:r>
          </w:p>
        </w:tc>
        <w:tc>
          <w:tcPr>
            <w:tcW w:w="1244" w:type="dxa"/>
            <w:noWrap/>
            <w:hideMark/>
          </w:tcPr>
          <w:p w14:paraId="205AE754" w14:textId="58A0135B" w:rsidR="00A962CD" w:rsidRPr="00A962CD" w:rsidRDefault="00A962CD" w:rsidP="00A962C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A962CD">
              <w:rPr>
                <w:sz w:val="22"/>
                <w:szCs w:val="22"/>
              </w:rPr>
              <w:t>15.9%</w:t>
            </w:r>
          </w:p>
        </w:tc>
      </w:tr>
      <w:tr w:rsidR="00A962CD" w14:paraId="307D1E4B" w14:textId="77777777" w:rsidTr="00A962C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3842A88" w14:textId="77777777" w:rsidR="00A962CD" w:rsidRDefault="00A962CD" w:rsidP="00A962CD">
            <w:pPr>
              <w:keepLines/>
              <w:spacing w:before="0" w:after="0" w:line="240" w:lineRule="auto"/>
              <w:rPr>
                <w:color w:val="000000"/>
                <w:sz w:val="22"/>
                <w:szCs w:val="22"/>
              </w:rPr>
            </w:pPr>
            <w:r>
              <w:rPr>
                <w:color w:val="000000"/>
                <w:sz w:val="22"/>
                <w:szCs w:val="22"/>
              </w:rPr>
              <w:t>CZ16</w:t>
            </w:r>
          </w:p>
        </w:tc>
        <w:tc>
          <w:tcPr>
            <w:tcW w:w="0" w:type="auto"/>
            <w:noWrap/>
            <w:hideMark/>
          </w:tcPr>
          <w:p w14:paraId="50605F20" w14:textId="527F0524" w:rsidR="00A962CD" w:rsidRPr="00A962CD" w:rsidRDefault="00A962CD" w:rsidP="00A962CD">
            <w:pPr>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A962CD">
              <w:rPr>
                <w:sz w:val="22"/>
                <w:szCs w:val="22"/>
              </w:rPr>
              <w:t>4.5%</w:t>
            </w:r>
          </w:p>
        </w:tc>
        <w:tc>
          <w:tcPr>
            <w:tcW w:w="1244" w:type="dxa"/>
            <w:noWrap/>
            <w:hideMark/>
          </w:tcPr>
          <w:p w14:paraId="1C2E1F8D" w14:textId="6DD7F762" w:rsidR="00A962CD" w:rsidRPr="00A962CD" w:rsidRDefault="00A962CD" w:rsidP="00A962CD">
            <w:pPr>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A962CD">
              <w:rPr>
                <w:sz w:val="22"/>
                <w:szCs w:val="22"/>
              </w:rPr>
              <w:t>7.8%</w:t>
            </w:r>
          </w:p>
        </w:tc>
      </w:tr>
    </w:tbl>
    <w:p w14:paraId="02F37500" w14:textId="59FF7B21" w:rsidR="00273CE0" w:rsidRDefault="002F7669" w:rsidP="00273CE0">
      <w:r w:rsidDel="002D70BF">
        <w:rPr>
          <w:noProof/>
        </w:rPr>
        <w:t xml:space="preserve"> </w:t>
      </w:r>
    </w:p>
    <w:p w14:paraId="26CCCBE9" w14:textId="4815F361" w:rsidR="00AB74AD" w:rsidRDefault="00371BBC">
      <w:pPr>
        <w:pStyle w:val="Heading2"/>
      </w:pPr>
      <w:bookmarkStart w:id="76" w:name="_Toc12445849"/>
      <w:r>
        <w:t>Cap &amp; Trade</w:t>
      </w:r>
      <w:r w:rsidR="00AB74AD">
        <w:t xml:space="preserve"> and </w:t>
      </w:r>
      <w:r w:rsidR="00DD6B5D">
        <w:t>GHG Adder</w:t>
      </w:r>
      <w:r w:rsidR="00AB74AD">
        <w:t xml:space="preserve"> Values</w:t>
      </w:r>
      <w:bookmarkEnd w:id="76"/>
    </w:p>
    <w:p w14:paraId="1D98A87C" w14:textId="269EC5BE" w:rsidR="00115F87" w:rsidRDefault="008B5C2F" w:rsidP="00B76B06">
      <w:pPr>
        <w:pStyle w:val="Heading3"/>
      </w:pPr>
      <w:bookmarkStart w:id="77" w:name="_Ref11839900"/>
      <w:bookmarkStart w:id="78" w:name="_Toc12445850"/>
      <w:r>
        <w:t>Monetized Carbon (</w:t>
      </w:r>
      <w:r w:rsidR="0040453E">
        <w:t>C</w:t>
      </w:r>
      <w:r w:rsidR="00FD431B">
        <w:t xml:space="preserve">ap and </w:t>
      </w:r>
      <w:r w:rsidR="0040453E">
        <w:t>T</w:t>
      </w:r>
      <w:r w:rsidR="00FD431B">
        <w:t>rade</w:t>
      </w:r>
      <w:r>
        <w:t>)</w:t>
      </w:r>
      <w:bookmarkEnd w:id="77"/>
      <w:bookmarkEnd w:id="78"/>
    </w:p>
    <w:p w14:paraId="4AC04457" w14:textId="26B28BA0" w:rsidR="00115F87" w:rsidRDefault="008B5C2F" w:rsidP="005F5AE5">
      <w:r>
        <w:t xml:space="preserve">The </w:t>
      </w:r>
      <w:r w:rsidR="00DD6B5D">
        <w:t xml:space="preserve">cap and trade allowance </w:t>
      </w:r>
      <w:r>
        <w:t xml:space="preserve">cost </w:t>
      </w:r>
      <w:r w:rsidR="00371BBC">
        <w:t xml:space="preserve">is the cost of permits </w:t>
      </w:r>
      <w:r>
        <w:t>that the utility must pay to purchase or generate fossil energy. While this value is currently embedded in energy prices in the CAISO market, we separate this value for avoided cost purposes</w:t>
      </w:r>
      <w:r w:rsidR="00A962CD">
        <w:t>.</w:t>
      </w:r>
      <w:r>
        <w:t xml:space="preserve"> This component </w:t>
      </w:r>
      <w:r w:rsidR="00A701FB">
        <w:t xml:space="preserve">has been updated to use the </w:t>
      </w:r>
      <w:r w:rsidR="00E22D58">
        <w:t>Revised 201</w:t>
      </w:r>
      <w:r w:rsidR="00960924">
        <w:t>9</w:t>
      </w:r>
      <w:r w:rsidR="00E22D58">
        <w:t xml:space="preserve"> </w:t>
      </w:r>
      <w:r w:rsidR="00A701FB">
        <w:t>IEPR Mid-Case forecast values</w:t>
      </w:r>
      <w:r w:rsidR="005C385F">
        <w:t>.</w:t>
      </w:r>
      <w:r w:rsidR="00DB6AE4">
        <w:t>, which extend</w:t>
      </w:r>
      <w:r w:rsidR="00A701FB">
        <w:t xml:space="preserve"> to </w:t>
      </w:r>
      <w:r w:rsidR="7F0F2521">
        <w:t>2030</w:t>
      </w:r>
      <w:r w:rsidR="005C385F">
        <w:t xml:space="preserve">. </w:t>
      </w:r>
      <w:r w:rsidR="00A701FB">
        <w:t>For later years, the forecast is extrapolated using a linear trend of the values in the final five years of the IEPR forecast</w:t>
      </w:r>
      <w:r w:rsidR="008565B2">
        <w:t xml:space="preserve">. </w:t>
      </w:r>
      <w:r w:rsidR="00115F87">
        <w:fldChar w:fldCharType="begin"/>
      </w:r>
      <w:r w:rsidR="00115F87">
        <w:instrText xml:space="preserve"> REF _Ref278722571 \h </w:instrText>
      </w:r>
      <w:r w:rsidR="005F5AE5">
        <w:instrText xml:space="preserve"> \* MERGEFORMAT </w:instrText>
      </w:r>
      <w:r w:rsidR="00115F87">
        <w:fldChar w:fldCharType="separate"/>
      </w:r>
      <w:r w:rsidR="0097492A" w:rsidRPr="28586219">
        <w:t xml:space="preserve">Figure </w:t>
      </w:r>
      <w:r w:rsidR="0097492A">
        <w:rPr>
          <w:noProof/>
        </w:rPr>
        <w:t>22</w:t>
      </w:r>
      <w:r w:rsidR="00115F87">
        <w:fldChar w:fldCharType="end"/>
      </w:r>
      <w:r w:rsidR="00115F87">
        <w:t xml:space="preserve"> shows the </w:t>
      </w:r>
      <w:r w:rsidR="00A701FB">
        <w:t>updated CO</w:t>
      </w:r>
      <w:r w:rsidR="00A701FB" w:rsidRPr="00E7231F">
        <w:rPr>
          <w:vertAlign w:val="subscript"/>
        </w:rPr>
        <w:t>2</w:t>
      </w:r>
      <w:r w:rsidR="00A701FB">
        <w:t xml:space="preserve"> </w:t>
      </w:r>
      <w:r w:rsidR="00115F87">
        <w:t>price forecasts</w:t>
      </w:r>
      <w:r w:rsidR="005C385F">
        <w:t xml:space="preserve">. </w:t>
      </w:r>
      <w:r w:rsidR="00B95560">
        <w:t xml:space="preserve">The blue line is the IEPR forecast </w:t>
      </w:r>
      <w:r w:rsidR="002C21CE">
        <w:t>series</w:t>
      </w:r>
      <w:r w:rsidR="00B95560">
        <w:t xml:space="preserve"> that is embedded in the market price</w:t>
      </w:r>
      <w:r w:rsidR="005C385F">
        <w:t xml:space="preserve">. </w:t>
      </w:r>
      <w:r w:rsidR="00B95560">
        <w:t xml:space="preserve">The dashed gold line is the </w:t>
      </w:r>
      <w:r w:rsidR="00F5344B">
        <w:t>total GHG adder plu</w:t>
      </w:r>
      <w:r w:rsidR="007908A9">
        <w:t>s</w:t>
      </w:r>
      <w:r w:rsidR="00F5344B">
        <w:t xml:space="preserve"> cap and trade allowance</w:t>
      </w:r>
      <w:r w:rsidR="00B95560">
        <w:t xml:space="preserve"> </w:t>
      </w:r>
      <w:r w:rsidR="00327390">
        <w:t>cost of CO</w:t>
      </w:r>
      <w:r w:rsidR="00327390" w:rsidRPr="00E7231F">
        <w:rPr>
          <w:vertAlign w:val="subscript"/>
        </w:rPr>
        <w:t>2</w:t>
      </w:r>
      <w:r w:rsidR="005C385F">
        <w:t xml:space="preserve">. </w:t>
      </w:r>
      <w:r w:rsidR="00327390">
        <w:t xml:space="preserve">The difference between the two series is included as </w:t>
      </w:r>
      <w:r w:rsidR="007908A9">
        <w:t xml:space="preserve">the GHG </w:t>
      </w:r>
      <w:r w:rsidR="001E0B11">
        <w:t>adder for CO</w:t>
      </w:r>
      <w:r w:rsidR="001E0B11" w:rsidRPr="00E7231F">
        <w:rPr>
          <w:vertAlign w:val="subscript"/>
        </w:rPr>
        <w:t>2</w:t>
      </w:r>
      <w:r w:rsidR="001E0B11">
        <w:t>.</w:t>
      </w:r>
    </w:p>
    <w:p w14:paraId="004B6924" w14:textId="46C30CFF" w:rsidR="00F66C6C" w:rsidRDefault="00115F87" w:rsidP="00A962CD">
      <w:pPr>
        <w:pStyle w:val="Caption"/>
      </w:pPr>
      <w:bookmarkStart w:id="79" w:name="_Ref278722571"/>
      <w:r w:rsidRPr="28586219">
        <w:lastRenderedPageBreak/>
        <w:t xml:space="preserve">Figure </w:t>
      </w:r>
      <w:r w:rsidR="00813981" w:rsidRPr="008A6BDD">
        <w:fldChar w:fldCharType="begin"/>
      </w:r>
      <w:r w:rsidR="00813981">
        <w:instrText xml:space="preserve"> SEQ Figure \* ARABIC </w:instrText>
      </w:r>
      <w:r w:rsidR="00813981" w:rsidRPr="008A6BDD">
        <w:fldChar w:fldCharType="separate"/>
      </w:r>
      <w:r w:rsidR="0097492A">
        <w:rPr>
          <w:noProof/>
        </w:rPr>
        <w:t>22</w:t>
      </w:r>
      <w:r w:rsidR="00813981" w:rsidRPr="008A6BDD">
        <w:fldChar w:fldCharType="end"/>
      </w:r>
      <w:bookmarkEnd w:id="79"/>
      <w:r w:rsidRPr="28586219">
        <w:t>. CO</w:t>
      </w:r>
      <w:r w:rsidRPr="00E7231F">
        <w:rPr>
          <w:vertAlign w:val="subscript"/>
        </w:rPr>
        <w:t>2</w:t>
      </w:r>
      <w:r w:rsidRPr="28586219">
        <w:t xml:space="preserve"> </w:t>
      </w:r>
      <w:r w:rsidR="00A962CD">
        <w:t>C</w:t>
      </w:r>
      <w:r w:rsidR="00DD6B5D">
        <w:t xml:space="preserve">ap and </w:t>
      </w:r>
      <w:r w:rsidR="00A962CD">
        <w:t>T</w:t>
      </w:r>
      <w:r w:rsidR="00DD6B5D">
        <w:t xml:space="preserve">rade </w:t>
      </w:r>
      <w:r w:rsidR="00A962CD">
        <w:t>P</w:t>
      </w:r>
      <w:r w:rsidRPr="28586219">
        <w:t xml:space="preserve">rice </w:t>
      </w:r>
      <w:r w:rsidR="00A962CD">
        <w:t>S</w:t>
      </w:r>
      <w:r w:rsidRPr="28586219">
        <w:t xml:space="preserve">eries </w:t>
      </w:r>
    </w:p>
    <w:p w14:paraId="5E3E0372" w14:textId="4029DC2F" w:rsidR="00960924" w:rsidRDefault="00960924" w:rsidP="00A962CD">
      <w:pPr>
        <w:jc w:val="center"/>
      </w:pPr>
      <w:r>
        <w:rPr>
          <w:noProof/>
        </w:rPr>
        <w:drawing>
          <wp:inline distT="0" distB="0" distL="0" distR="0" wp14:anchorId="6E4B8FC3" wp14:editId="44C7CDAA">
            <wp:extent cx="5487035" cy="3438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7035" cy="3438525"/>
                    </a:xfrm>
                    <a:prstGeom prst="rect">
                      <a:avLst/>
                    </a:prstGeom>
                    <a:noFill/>
                  </pic:spPr>
                </pic:pic>
              </a:graphicData>
            </a:graphic>
          </wp:inline>
        </w:drawing>
      </w:r>
    </w:p>
    <w:p w14:paraId="26193B78" w14:textId="547A604E" w:rsidR="00953720" w:rsidRDefault="00115F87" w:rsidP="000145D0">
      <w:r>
        <w:t xml:space="preserve">The marginal rate of carbon emissions </w:t>
      </w:r>
      <w:r w:rsidR="005F5AE5">
        <w:t xml:space="preserve">is calculated </w:t>
      </w:r>
      <w:r w:rsidR="00AD6F76">
        <w:t>in the following fashion:</w:t>
      </w:r>
      <w:r w:rsidR="005C385F">
        <w:t xml:space="preserve"> </w:t>
      </w:r>
      <w:r>
        <w:t>Assuming that natural gas is the marginal fuel in all hours, the hourly emissions rate of the marginal generator is calculated based on the day-ahead market price curve</w:t>
      </w:r>
      <w:r w:rsidR="00953720">
        <w:t xml:space="preserve"> (with the assumption that the price curve also includes the cost of CO</w:t>
      </w:r>
      <w:r w:rsidR="00953720" w:rsidRPr="00E7231F">
        <w:rPr>
          <w:vertAlign w:val="subscript"/>
        </w:rPr>
        <w:t>2</w:t>
      </w:r>
      <w:r w:rsidR="00953720">
        <w:t>)</w:t>
      </w:r>
      <w:r w:rsidR="005C385F">
        <w:t xml:space="preserve">. </w:t>
      </w:r>
    </w:p>
    <w:p w14:paraId="2F0E0B74" w14:textId="6797E151" w:rsidR="00953720" w:rsidRDefault="00953720" w:rsidP="008A6BDD">
      <w:pPr>
        <w:ind w:left="720"/>
      </w:pPr>
      <w:r w:rsidRPr="7A3095AD">
        <w:t xml:space="preserve">HeatRate[h] = (MP[h] </w:t>
      </w:r>
      <w:r w:rsidRPr="25ED4B98">
        <w:t>–</w:t>
      </w:r>
      <w:r w:rsidRPr="7A3095AD">
        <w:t xml:space="preserve"> VOM) / (GasPrice + EF * CO</w:t>
      </w:r>
      <w:r w:rsidRPr="00E7231F">
        <w:rPr>
          <w:vertAlign w:val="subscript"/>
        </w:rPr>
        <w:t>2</w:t>
      </w:r>
      <w:r w:rsidRPr="7A3095AD">
        <w:t>Cost)</w:t>
      </w:r>
    </w:p>
    <w:p w14:paraId="48ABC68E" w14:textId="5681EAEE" w:rsidR="00953720" w:rsidRDefault="00953720" w:rsidP="008A6BDD">
      <w:pPr>
        <w:pStyle w:val="NoSpacing"/>
      </w:pPr>
      <w:r>
        <w:t>Where</w:t>
      </w:r>
    </w:p>
    <w:p w14:paraId="3B98FCD6" w14:textId="4D53A718" w:rsidR="00953720" w:rsidRDefault="00953720" w:rsidP="007B33BE">
      <w:pPr>
        <w:pStyle w:val="NoSpacing"/>
        <w:numPr>
          <w:ilvl w:val="0"/>
          <w:numId w:val="25"/>
        </w:numPr>
      </w:pPr>
      <w:r>
        <w:t>MP is the hourly market price of energy (including cap and trade costs)</w:t>
      </w:r>
    </w:p>
    <w:p w14:paraId="1D3E32D7" w14:textId="2A3D209D" w:rsidR="00953720" w:rsidRDefault="00A05C18" w:rsidP="007B33BE">
      <w:pPr>
        <w:pStyle w:val="NoSpacing"/>
        <w:numPr>
          <w:ilvl w:val="0"/>
          <w:numId w:val="25"/>
        </w:numPr>
      </w:pPr>
      <w:r>
        <w:t>VOM is the variable O&amp;M cost for a natural gas plant</w:t>
      </w:r>
    </w:p>
    <w:p w14:paraId="0619012E" w14:textId="1ED1F94E" w:rsidR="00A05C18" w:rsidRDefault="00A05C18" w:rsidP="007B33BE">
      <w:pPr>
        <w:pStyle w:val="NoSpacing"/>
        <w:numPr>
          <w:ilvl w:val="0"/>
          <w:numId w:val="25"/>
        </w:numPr>
      </w:pPr>
      <w:r>
        <w:t>GasPrice is the cost of natural gas delivered to an electric generator</w:t>
      </w:r>
    </w:p>
    <w:p w14:paraId="7855D609" w14:textId="75BEA758" w:rsidR="00A05C18" w:rsidRDefault="00A05C18" w:rsidP="007B33BE">
      <w:pPr>
        <w:pStyle w:val="NoSpacing"/>
        <w:numPr>
          <w:ilvl w:val="0"/>
          <w:numId w:val="25"/>
        </w:numPr>
      </w:pPr>
      <w:r>
        <w:t>CO</w:t>
      </w:r>
      <w:r w:rsidRPr="00E7231F">
        <w:rPr>
          <w:vertAlign w:val="subscript"/>
        </w:rPr>
        <w:t>2</w:t>
      </w:r>
      <w:r>
        <w:t>Cost is the $/ton cost of CO</w:t>
      </w:r>
      <w:r w:rsidRPr="00E7231F">
        <w:rPr>
          <w:vertAlign w:val="subscript"/>
        </w:rPr>
        <w:t>2</w:t>
      </w:r>
    </w:p>
    <w:p w14:paraId="2E26CA77" w14:textId="13D639DE" w:rsidR="00A05C18" w:rsidRDefault="00A05C18" w:rsidP="007B33BE">
      <w:pPr>
        <w:pStyle w:val="NoSpacing"/>
        <w:numPr>
          <w:ilvl w:val="0"/>
          <w:numId w:val="25"/>
        </w:numPr>
      </w:pPr>
      <w:r>
        <w:t>EF is the emission factor for tons of CO</w:t>
      </w:r>
      <w:r w:rsidRPr="00E7231F">
        <w:rPr>
          <w:vertAlign w:val="subscript"/>
        </w:rPr>
        <w:t>2</w:t>
      </w:r>
      <w:r>
        <w:t xml:space="preserve"> per </w:t>
      </w:r>
      <w:r w:rsidR="007361A6">
        <w:t>MMBTU</w:t>
      </w:r>
      <w:r>
        <w:t xml:space="preserve"> of natural gas</w:t>
      </w:r>
    </w:p>
    <w:p w14:paraId="7775DB92" w14:textId="6DF9BC0F" w:rsidR="00115F87" w:rsidRDefault="00115F87" w:rsidP="000145D0">
      <w:r>
        <w:t>The link between higher market prices and higher emissions rates is intuitive: higher market prices enable lower-efficiency generators to operate, resulting in increased rates of emissions at the margin</w:t>
      </w:r>
      <w:r w:rsidR="005C385F">
        <w:t xml:space="preserve">. </w:t>
      </w:r>
      <w:r>
        <w:t xml:space="preserve">Of course, this relationship holds for a reasonable range of prices but breaks </w:t>
      </w:r>
      <w:r>
        <w:lastRenderedPageBreak/>
        <w:t>down when prices are extremely high or low</w:t>
      </w:r>
      <w:r w:rsidR="005C385F">
        <w:t xml:space="preserve">. </w:t>
      </w:r>
      <w:r>
        <w:t>For this reason, the avoided cost methodology bounds the maximum emissions rates based on the range of heat rates of gas turbine technologies</w:t>
      </w:r>
      <w:r w:rsidR="005C385F">
        <w:t xml:space="preserve">. </w:t>
      </w:r>
      <w:r>
        <w:t xml:space="preserve">The maximum emissions rate </w:t>
      </w:r>
      <w:r w:rsidR="006A5990">
        <w:t>is</w:t>
      </w:r>
      <w:r>
        <w:t xml:space="preserve"> bounded by a range of heat rates for proxy natural gas plants shown in</w:t>
      </w:r>
      <w:r w:rsidR="00A05C18">
        <w:t xml:space="preserve"> </w:t>
      </w:r>
      <w:r w:rsidR="00A05C18">
        <w:fldChar w:fldCharType="begin"/>
      </w:r>
      <w:r w:rsidR="00A05C18">
        <w:instrText xml:space="preserve"> REF _Ref273368045 \h </w:instrText>
      </w:r>
      <w:r w:rsidR="00A05C18">
        <w:fldChar w:fldCharType="separate"/>
      </w:r>
      <w:r w:rsidR="0097492A">
        <w:t xml:space="preserve">Table </w:t>
      </w:r>
      <w:r w:rsidR="0097492A">
        <w:rPr>
          <w:noProof/>
        </w:rPr>
        <w:t>9</w:t>
      </w:r>
      <w:r w:rsidR="00A05C18">
        <w:fldChar w:fldCharType="end"/>
      </w:r>
      <w:r>
        <w:t xml:space="preserve">; the hourly emissions rates derived from this process are shown in </w:t>
      </w:r>
      <w:r>
        <w:fldChar w:fldCharType="begin"/>
      </w:r>
      <w:r>
        <w:instrText xml:space="preserve"> REF _Ref277250352 \h </w:instrText>
      </w:r>
      <w:r>
        <w:fldChar w:fldCharType="separate"/>
      </w:r>
      <w:r w:rsidR="0097492A" w:rsidRPr="48352AEA">
        <w:t xml:space="preserve">Figure </w:t>
      </w:r>
      <w:r w:rsidR="0097492A">
        <w:rPr>
          <w:noProof/>
        </w:rPr>
        <w:t>23</w:t>
      </w:r>
      <w:r>
        <w:fldChar w:fldCharType="end"/>
      </w:r>
      <w:r w:rsidR="005C385F">
        <w:t xml:space="preserve">. </w:t>
      </w:r>
      <w:r w:rsidR="0033103F">
        <w:t xml:space="preserve">The </w:t>
      </w:r>
      <w:bookmarkStart w:id="80" w:name="_Hlk11164409"/>
      <w:r w:rsidR="007B33BE">
        <w:t xml:space="preserve">low efficiency </w:t>
      </w:r>
      <w:r w:rsidR="0033103F">
        <w:t xml:space="preserve">emission rate </w:t>
      </w:r>
      <w:r w:rsidR="007B33BE">
        <w:t xml:space="preserve">has not been updated, while the high efficiency plant </w:t>
      </w:r>
      <w:r w:rsidR="00904CA2">
        <w:t>heat</w:t>
      </w:r>
      <w:r w:rsidR="007B33BE">
        <w:t xml:space="preserve"> rate has been lowered</w:t>
      </w:r>
      <w:r w:rsidR="00DB6AE4">
        <w:t xml:space="preserve"> from 6,900</w:t>
      </w:r>
      <w:r w:rsidR="007B33BE">
        <w:t xml:space="preserve"> to </w:t>
      </w:r>
      <w:r w:rsidR="00F545FD">
        <w:t>zero</w:t>
      </w:r>
      <w:r w:rsidR="007B33BE">
        <w:t xml:space="preserve"> Btu/kWh, to reflect that hours with low implied marginal heat rates may represent averaging of marginal fossil fuel and renewable resources within that hour, either temporally or spatially.</w:t>
      </w:r>
      <w:bookmarkEnd w:id="80"/>
    </w:p>
    <w:p w14:paraId="2FA76F87" w14:textId="2C1EFA12" w:rsidR="00F11CEE" w:rsidRDefault="00F11CEE" w:rsidP="000145D0">
      <w:r w:rsidRPr="00F11CEE">
        <w:t>In the past, if the implied marginal heat rate was less than the high</w:t>
      </w:r>
      <w:r w:rsidR="00050DBF">
        <w:t xml:space="preserve"> </w:t>
      </w:r>
      <w:r w:rsidRPr="00F11CEE">
        <w:t>efficiency threshold (the actual heat rate of the most efficient natural gas turbine), the heat rate was adjusted. For example, if the implied marginal heat rate was 5,000 B</w:t>
      </w:r>
      <w:r>
        <w:t>tu</w:t>
      </w:r>
      <w:r w:rsidRPr="00F11CEE">
        <w:t xml:space="preserve">/kWh, which is lower than the </w:t>
      </w:r>
      <w:r w:rsidR="00050DBF">
        <w:t xml:space="preserve">previous </w:t>
      </w:r>
      <w:r w:rsidRPr="00F11CEE">
        <w:t>high</w:t>
      </w:r>
      <w:r w:rsidR="00050DBF">
        <w:t xml:space="preserve"> </w:t>
      </w:r>
      <w:r w:rsidRPr="00F11CEE">
        <w:t>efficiency threshold of 6,900 B</w:t>
      </w:r>
      <w:r>
        <w:t>tu</w:t>
      </w:r>
      <w:r w:rsidRPr="00F11CEE">
        <w:t>/kW</w:t>
      </w:r>
      <w:r>
        <w:t>h</w:t>
      </w:r>
      <w:r w:rsidRPr="00F11CEE">
        <w:t>, the heat rate used to determine GHG emissions was adjusted to 6,900 B</w:t>
      </w:r>
      <w:r>
        <w:t>tu</w:t>
      </w:r>
      <w:r w:rsidRPr="00F11CEE">
        <w:t>/kWh to reflect the fact that no natural gas turbine could actually be more efficient than 6,900 B</w:t>
      </w:r>
      <w:r>
        <w:t>tu</w:t>
      </w:r>
      <w:r w:rsidRPr="00F11CEE">
        <w:t>/kWh, and that therefore a heat rate of 5,000 B</w:t>
      </w:r>
      <w:r>
        <w:t>tu</w:t>
      </w:r>
      <w:r w:rsidRPr="00F11CEE">
        <w:t>/kWh must reflect an estimation error. However, the increased penetration of renewables means that there are other possible interpretations of a low heat rate.</w:t>
      </w:r>
      <w:r w:rsidR="00050DBF">
        <w:t xml:space="preserve"> For example, i</w:t>
      </w:r>
      <w:r w:rsidRPr="00F11CEE">
        <w:t>t is possible that both a natural gas turbine and a renewable unit could be on the margin during part of an hour, or in different parts of the state.</w:t>
      </w:r>
      <w:r w:rsidR="00050DBF">
        <w:t xml:space="preserve"> To better reflect current market conditions, the high efficiency threshold has therefore been lowered to </w:t>
      </w:r>
      <w:r w:rsidR="00F545FD">
        <w:t>zero</w:t>
      </w:r>
      <w:r w:rsidR="00050DBF">
        <w:t xml:space="preserve"> Btu/kWh.</w:t>
      </w:r>
      <w:r w:rsidR="00F545FD">
        <w:t xml:space="preserve"> The ACC retains the practice of assigning a heat rate of zero when the estimated heat rate is less than zero.</w:t>
      </w:r>
    </w:p>
    <w:p w14:paraId="7F756752" w14:textId="50903D43" w:rsidR="00115F87" w:rsidRDefault="00115F87" w:rsidP="00087461">
      <w:pPr>
        <w:pStyle w:val="Caption"/>
      </w:pPr>
      <w:bookmarkStart w:id="81" w:name="_Ref273368045"/>
      <w:r>
        <w:t xml:space="preserve">Table </w:t>
      </w:r>
      <w:r w:rsidR="00813981" w:rsidRPr="008A6BDD">
        <w:fldChar w:fldCharType="begin"/>
      </w:r>
      <w:r w:rsidR="00813981">
        <w:instrText xml:space="preserve"> SEQ Table \* ARABIC </w:instrText>
      </w:r>
      <w:r w:rsidR="00813981" w:rsidRPr="008A6BDD">
        <w:fldChar w:fldCharType="separate"/>
      </w:r>
      <w:r w:rsidR="0097492A">
        <w:rPr>
          <w:noProof/>
        </w:rPr>
        <w:t>9</w:t>
      </w:r>
      <w:r w:rsidR="00813981" w:rsidRPr="008A6BDD">
        <w:fldChar w:fldCharType="end"/>
      </w:r>
      <w:bookmarkEnd w:id="81"/>
      <w:r>
        <w:t xml:space="preserve">. Bounds on </w:t>
      </w:r>
      <w:r w:rsidR="007B33BE">
        <w:t>E</w:t>
      </w:r>
      <w:r>
        <w:t xml:space="preserve">lectric </w:t>
      </w:r>
      <w:r w:rsidR="007B33BE">
        <w:t>S</w:t>
      </w:r>
      <w:r>
        <w:t xml:space="preserve">ector </w:t>
      </w:r>
      <w:r w:rsidR="007B33BE">
        <w:t>C</w:t>
      </w:r>
      <w:r>
        <w:t xml:space="preserve">arbon </w:t>
      </w:r>
      <w:r w:rsidR="007B33BE">
        <w:t>E</w:t>
      </w:r>
      <w:r>
        <w:t>missions.</w:t>
      </w:r>
    </w:p>
    <w:tbl>
      <w:tblPr>
        <w:tblStyle w:val="ListTable3-Accent11"/>
        <w:tblW w:w="0" w:type="auto"/>
        <w:jc w:val="center"/>
        <w:tblLook w:val="04A0" w:firstRow="1" w:lastRow="0" w:firstColumn="1" w:lastColumn="0" w:noHBand="0" w:noVBand="1"/>
      </w:tblPr>
      <w:tblGrid>
        <w:gridCol w:w="2771"/>
        <w:gridCol w:w="2606"/>
        <w:gridCol w:w="2646"/>
      </w:tblGrid>
      <w:tr w:rsidR="00115F87" w:rsidRPr="00D05611" w14:paraId="3FA0304C" w14:textId="77777777" w:rsidTr="007B33B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Pr>
          <w:p w14:paraId="5609BB96" w14:textId="77777777" w:rsidR="00115F87" w:rsidRPr="008A6BDD" w:rsidRDefault="00115F87" w:rsidP="008A6BDD">
            <w:pPr>
              <w:spacing w:before="0" w:after="0" w:line="240" w:lineRule="auto"/>
              <w:rPr>
                <w:sz w:val="22"/>
              </w:rPr>
            </w:pPr>
          </w:p>
        </w:tc>
        <w:tc>
          <w:tcPr>
            <w:tcW w:w="0" w:type="auto"/>
          </w:tcPr>
          <w:p w14:paraId="4E6E3AA4" w14:textId="77777777" w:rsidR="00115F87" w:rsidRPr="008A6BDD" w:rsidRDefault="00115F87" w:rsidP="008A6BD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8A6BDD">
              <w:rPr>
                <w:sz w:val="22"/>
                <w:szCs w:val="22"/>
              </w:rPr>
              <w:t>Proxy Low Efficiency Plant</w:t>
            </w:r>
          </w:p>
        </w:tc>
        <w:tc>
          <w:tcPr>
            <w:tcW w:w="0" w:type="auto"/>
          </w:tcPr>
          <w:p w14:paraId="75CC748D" w14:textId="77777777" w:rsidR="00115F87" w:rsidRPr="008A6BDD" w:rsidRDefault="00115F87" w:rsidP="008A6BD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8A6BDD">
              <w:rPr>
                <w:sz w:val="22"/>
                <w:szCs w:val="22"/>
              </w:rPr>
              <w:t>Proxy High Efficiency Plant</w:t>
            </w:r>
          </w:p>
        </w:tc>
      </w:tr>
      <w:tr w:rsidR="00115F87" w:rsidRPr="00D05611" w14:paraId="605AE9D5" w14:textId="77777777" w:rsidTr="007B33BE">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0" w:type="auto"/>
          </w:tcPr>
          <w:p w14:paraId="7F699CD0" w14:textId="77777777" w:rsidR="00115F87" w:rsidRPr="008A6BDD" w:rsidRDefault="00115F87" w:rsidP="008A6BDD">
            <w:pPr>
              <w:spacing w:before="0" w:after="0" w:line="240" w:lineRule="auto"/>
              <w:rPr>
                <w:sz w:val="22"/>
              </w:rPr>
            </w:pPr>
            <w:r w:rsidRPr="008A6BDD">
              <w:rPr>
                <w:sz w:val="22"/>
                <w:szCs w:val="22"/>
              </w:rPr>
              <w:t>Heat Rate (Btu/kWh)</w:t>
            </w:r>
          </w:p>
        </w:tc>
        <w:tc>
          <w:tcPr>
            <w:tcW w:w="0" w:type="auto"/>
          </w:tcPr>
          <w:p w14:paraId="11B1C32A" w14:textId="77777777" w:rsidR="00115F87" w:rsidRPr="008A6BDD" w:rsidRDefault="00115F87" w:rsidP="008A6B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A6BDD">
              <w:rPr>
                <w:sz w:val="22"/>
                <w:szCs w:val="22"/>
              </w:rPr>
              <w:t>12,500</w:t>
            </w:r>
          </w:p>
        </w:tc>
        <w:tc>
          <w:tcPr>
            <w:tcW w:w="0" w:type="auto"/>
          </w:tcPr>
          <w:p w14:paraId="6B98CF70" w14:textId="2D70DD75" w:rsidR="00115F87" w:rsidRPr="008A6BDD" w:rsidRDefault="00115F87" w:rsidP="008A6B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A6BDD">
              <w:rPr>
                <w:sz w:val="22"/>
                <w:szCs w:val="22"/>
              </w:rPr>
              <w:t>0</w:t>
            </w:r>
          </w:p>
        </w:tc>
      </w:tr>
      <w:tr w:rsidR="00115F87" w:rsidRPr="00D05611" w14:paraId="7DA29050" w14:textId="77777777" w:rsidTr="007B33BE">
        <w:trPr>
          <w:trHeight w:val="368"/>
          <w:jc w:val="center"/>
        </w:trPr>
        <w:tc>
          <w:tcPr>
            <w:cnfStyle w:val="001000000000" w:firstRow="0" w:lastRow="0" w:firstColumn="1" w:lastColumn="0" w:oddVBand="0" w:evenVBand="0" w:oddHBand="0" w:evenHBand="0" w:firstRowFirstColumn="0" w:firstRowLastColumn="0" w:lastRowFirstColumn="0" w:lastRowLastColumn="0"/>
            <w:tcW w:w="0" w:type="auto"/>
          </w:tcPr>
          <w:p w14:paraId="1AC96AD2" w14:textId="77777777" w:rsidR="00115F87" w:rsidRPr="008A6BDD" w:rsidRDefault="00115F87" w:rsidP="008A6BDD">
            <w:pPr>
              <w:spacing w:before="0" w:after="0" w:line="240" w:lineRule="auto"/>
              <w:rPr>
                <w:sz w:val="22"/>
              </w:rPr>
            </w:pPr>
            <w:r w:rsidRPr="008A6BDD">
              <w:rPr>
                <w:sz w:val="22"/>
                <w:szCs w:val="22"/>
              </w:rPr>
              <w:t>Emissions Rate (tons/MWh)</w:t>
            </w:r>
          </w:p>
        </w:tc>
        <w:tc>
          <w:tcPr>
            <w:tcW w:w="0" w:type="auto"/>
          </w:tcPr>
          <w:p w14:paraId="3C13B6FB" w14:textId="77777777" w:rsidR="00115F87" w:rsidRPr="008A6BDD" w:rsidRDefault="00115F87" w:rsidP="008A6BD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A6BDD">
              <w:rPr>
                <w:sz w:val="22"/>
              </w:rPr>
              <w:t>0.731</w:t>
            </w:r>
          </w:p>
        </w:tc>
        <w:tc>
          <w:tcPr>
            <w:tcW w:w="0" w:type="auto"/>
          </w:tcPr>
          <w:p w14:paraId="5B5F99F7" w14:textId="57938D63" w:rsidR="00115F87" w:rsidRPr="008A6BDD" w:rsidRDefault="00115F87" w:rsidP="008A6BD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A6BDD">
              <w:rPr>
                <w:sz w:val="22"/>
              </w:rPr>
              <w:t>0.0</w:t>
            </w:r>
            <w:r w:rsidR="00152965">
              <w:rPr>
                <w:sz w:val="22"/>
              </w:rPr>
              <w:t>00</w:t>
            </w:r>
          </w:p>
        </w:tc>
      </w:tr>
    </w:tbl>
    <w:p w14:paraId="6A85642B" w14:textId="5CB7B3D9" w:rsidR="716F2FE0" w:rsidRDefault="7AED0FB8">
      <w:bookmarkStart w:id="82" w:name="_Toc271574661"/>
      <w:bookmarkStart w:id="83" w:name="_Toc271575310"/>
      <w:r w:rsidRPr="7AED0FB8">
        <w:t xml:space="preserve">Additionally, if the implied heat rate is calculated to be at or below zero, </w:t>
      </w:r>
      <w:r w:rsidR="4B8DB956" w:rsidRPr="7AED0FB8">
        <w:t xml:space="preserve">it is then assumed that the </w:t>
      </w:r>
      <w:r w:rsidR="7ECC5941" w:rsidRPr="7AED0FB8">
        <w:t>system is in a period of overgeneration and therefore the marginal emission factor is correspondingly zero as well</w:t>
      </w:r>
      <w:r w:rsidR="02BCABCC" w:rsidRPr="7AED0FB8">
        <w:t xml:space="preserve">. </w:t>
      </w:r>
      <w:r w:rsidR="00C81396">
        <w:t>The hourly</w:t>
      </w:r>
      <w:r w:rsidR="02BCABCC" w:rsidRPr="7AED0FB8">
        <w:t xml:space="preserve"> </w:t>
      </w:r>
      <w:r w:rsidR="00C81396">
        <w:t xml:space="preserve">marginal </w:t>
      </w:r>
      <w:r w:rsidR="02BCABCC" w:rsidRPr="7AED0FB8">
        <w:t>emission ra</w:t>
      </w:r>
      <w:r w:rsidR="69271397" w:rsidRPr="7AED0FB8">
        <w:t>te</w:t>
      </w:r>
      <w:r w:rsidR="00C81396">
        <w:t xml:space="preserve">s are </w:t>
      </w:r>
      <w:r w:rsidR="69271397" w:rsidRPr="7AED0FB8">
        <w:t>shown below.</w:t>
      </w:r>
    </w:p>
    <w:p w14:paraId="4DD34FFB" w14:textId="3C042BAB" w:rsidR="00CF2114" w:rsidRDefault="00115F87" w:rsidP="00C00E06">
      <w:pPr>
        <w:pStyle w:val="Caption"/>
        <w:rPr>
          <w:noProof/>
        </w:rPr>
      </w:pPr>
      <w:bookmarkStart w:id="84" w:name="_Ref277250352"/>
      <w:r w:rsidRPr="48352AEA">
        <w:lastRenderedPageBreak/>
        <w:t xml:space="preserve">Figure </w:t>
      </w:r>
      <w:r w:rsidR="00813981" w:rsidRPr="008A6BDD">
        <w:fldChar w:fldCharType="begin"/>
      </w:r>
      <w:r w:rsidR="00813981">
        <w:instrText xml:space="preserve"> SEQ Figure \* ARABIC </w:instrText>
      </w:r>
      <w:r w:rsidR="00813981" w:rsidRPr="008A6BDD">
        <w:fldChar w:fldCharType="separate"/>
      </w:r>
      <w:r w:rsidR="0097492A">
        <w:rPr>
          <w:noProof/>
        </w:rPr>
        <w:t>23</w:t>
      </w:r>
      <w:r w:rsidR="00813981" w:rsidRPr="008A6BDD">
        <w:fldChar w:fldCharType="end"/>
      </w:r>
      <w:bookmarkEnd w:id="84"/>
      <w:r w:rsidRPr="6F9B0FE0">
        <w:t>.</w:t>
      </w:r>
      <w:r w:rsidRPr="48352AEA">
        <w:rPr>
          <w:noProof/>
        </w:rPr>
        <w:t xml:space="preserve"> </w:t>
      </w:r>
      <w:r w:rsidR="00CF2114">
        <w:rPr>
          <w:noProof/>
        </w:rPr>
        <w:t xml:space="preserve">2019 </w:t>
      </w:r>
      <w:r w:rsidRPr="48352AEA">
        <w:rPr>
          <w:noProof/>
        </w:rPr>
        <w:t>Hourly</w:t>
      </w:r>
      <w:r w:rsidR="00C81396">
        <w:rPr>
          <w:noProof/>
        </w:rPr>
        <w:t xml:space="preserve"> </w:t>
      </w:r>
      <w:r w:rsidR="007B33BE">
        <w:rPr>
          <w:noProof/>
        </w:rPr>
        <w:t>M</w:t>
      </w:r>
      <w:r w:rsidR="00C81396">
        <w:rPr>
          <w:noProof/>
        </w:rPr>
        <w:t>arginal</w:t>
      </w:r>
      <w:r w:rsidRPr="48352AEA">
        <w:rPr>
          <w:noProof/>
        </w:rPr>
        <w:t xml:space="preserve"> </w:t>
      </w:r>
      <w:r w:rsidR="007B33BE">
        <w:rPr>
          <w:noProof/>
        </w:rPr>
        <w:t>E</w:t>
      </w:r>
      <w:r w:rsidRPr="48352AEA">
        <w:rPr>
          <w:noProof/>
        </w:rPr>
        <w:t xml:space="preserve">missions </w:t>
      </w:r>
      <w:r w:rsidR="007B33BE">
        <w:rPr>
          <w:noProof/>
        </w:rPr>
        <w:t>R</w:t>
      </w:r>
      <w:r w:rsidRPr="48352AEA">
        <w:rPr>
          <w:noProof/>
        </w:rPr>
        <w:t xml:space="preserve">ates </w:t>
      </w:r>
      <w:r w:rsidR="007B33BE">
        <w:rPr>
          <w:noProof/>
        </w:rPr>
        <w:t>D</w:t>
      </w:r>
      <w:r w:rsidRPr="48352AEA">
        <w:rPr>
          <w:noProof/>
        </w:rPr>
        <w:t xml:space="preserve">erived from </w:t>
      </w:r>
      <w:r w:rsidR="007B33BE">
        <w:rPr>
          <w:noProof/>
        </w:rPr>
        <w:t>M</w:t>
      </w:r>
      <w:r w:rsidRPr="48352AEA">
        <w:rPr>
          <w:noProof/>
        </w:rPr>
        <w:t xml:space="preserve">arket </w:t>
      </w:r>
      <w:r w:rsidR="007B33BE">
        <w:rPr>
          <w:noProof/>
        </w:rPr>
        <w:t>P</w:t>
      </w:r>
      <w:r w:rsidRPr="48352AEA">
        <w:rPr>
          <w:noProof/>
        </w:rPr>
        <w:t>rices (hourly values shown in descending order)</w:t>
      </w:r>
    </w:p>
    <w:p w14:paraId="490150B5" w14:textId="7D6CB224" w:rsidR="00C00E06" w:rsidRDefault="00C00E06" w:rsidP="00813114">
      <w:pPr>
        <w:jc w:val="center"/>
      </w:pPr>
      <w:r>
        <w:rPr>
          <w:noProof/>
        </w:rPr>
        <w:drawing>
          <wp:inline distT="0" distB="0" distL="0" distR="0" wp14:anchorId="60948AF3" wp14:editId="4C6435B1">
            <wp:extent cx="5848350" cy="3070571"/>
            <wp:effectExtent l="0" t="0" r="0" b="0"/>
            <wp:docPr id="1321859136" name="Picture 132185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8806" cy="3076061"/>
                    </a:xfrm>
                    <a:prstGeom prst="rect">
                      <a:avLst/>
                    </a:prstGeom>
                    <a:noFill/>
                  </pic:spPr>
                </pic:pic>
              </a:graphicData>
            </a:graphic>
          </wp:inline>
        </w:drawing>
      </w:r>
    </w:p>
    <w:p w14:paraId="515F47D9" w14:textId="6DA79D37" w:rsidR="00AB74AD" w:rsidRDefault="00CE4649" w:rsidP="00B76B06">
      <w:pPr>
        <w:pStyle w:val="Heading3"/>
      </w:pPr>
      <w:bookmarkStart w:id="85" w:name="_Toc12445851"/>
      <w:r>
        <w:t>GHG Adder</w:t>
      </w:r>
      <w:bookmarkEnd w:id="85"/>
    </w:p>
    <w:p w14:paraId="4F54283F" w14:textId="623C2883" w:rsidR="00AB74AD" w:rsidRDefault="00AB74AD" w:rsidP="00AB74AD">
      <w:r>
        <w:t xml:space="preserve">CPUC Decision </w:t>
      </w:r>
      <w:r w:rsidR="00A61938">
        <w:t>D.18-</w:t>
      </w:r>
      <w:r w:rsidR="00D63038">
        <w:t xml:space="preserve">02-018 adopted </w:t>
      </w:r>
      <w:r w:rsidR="00FD2C50">
        <w:t>CO</w:t>
      </w:r>
      <w:r w:rsidR="00FD2C50" w:rsidRPr="00946C63">
        <w:rPr>
          <w:vertAlign w:val="subscript"/>
        </w:rPr>
        <w:t>2</w:t>
      </w:r>
      <w:r w:rsidR="002C6A66">
        <w:t xml:space="preserve"> costs as reproduced below</w:t>
      </w:r>
      <w:r w:rsidR="00FD2C50">
        <w:t xml:space="preserve"> for the purpose of calculating a greenhouse gas (GHG) adder value</w:t>
      </w:r>
      <w:r w:rsidR="005C385F">
        <w:t xml:space="preserve">. </w:t>
      </w:r>
      <w:r w:rsidR="002C6A66">
        <w:t>The</w:t>
      </w:r>
      <w:r w:rsidR="00FD2C50">
        <w:t xml:space="preserve"> CPUC adopted</w:t>
      </w:r>
      <w:r w:rsidR="002C6A66">
        <w:t xml:space="preserve"> values are in 201</w:t>
      </w:r>
      <w:r w:rsidR="00FD2C50">
        <w:t>6</w:t>
      </w:r>
      <w:r w:rsidR="002C6A66">
        <w:t xml:space="preserve"> constant dollars</w:t>
      </w:r>
      <w:r w:rsidR="005C385F">
        <w:t xml:space="preserve">. </w:t>
      </w:r>
      <w:r w:rsidR="005E212D">
        <w:t>Once converted to nominal dollars</w:t>
      </w:r>
      <w:r w:rsidR="007908A9">
        <w:rPr>
          <w:rStyle w:val="FootnoteReference"/>
        </w:rPr>
        <w:footnoteReference w:id="22"/>
      </w:r>
      <w:r w:rsidR="007908A9">
        <w:t xml:space="preserve"> </w:t>
      </w:r>
      <w:r w:rsidR="005E212D">
        <w:t xml:space="preserve">per short ton, the difference between the costs </w:t>
      </w:r>
      <w:r w:rsidR="00FD2C50">
        <w:t xml:space="preserve">in the table </w:t>
      </w:r>
      <w:r w:rsidR="005E212D">
        <w:t>and the CO</w:t>
      </w:r>
      <w:r w:rsidR="005E212D" w:rsidRPr="00946C63">
        <w:rPr>
          <w:vertAlign w:val="subscript"/>
        </w:rPr>
        <w:t>2</w:t>
      </w:r>
      <w:r w:rsidR="00FD2C50">
        <w:t xml:space="preserve"> monetized</w:t>
      </w:r>
      <w:r w:rsidR="005E212D">
        <w:t xml:space="preserve"> cost embedded in the market prices i</w:t>
      </w:r>
      <w:r w:rsidR="00530B29">
        <w:t xml:space="preserve">s included in the avoided costs as </w:t>
      </w:r>
      <w:r w:rsidR="00FD2C50">
        <w:t>the GHG</w:t>
      </w:r>
      <w:r w:rsidR="00530B29">
        <w:t xml:space="preserve"> adder</w:t>
      </w:r>
      <w:r w:rsidR="005C385F">
        <w:t xml:space="preserve">. </w:t>
      </w:r>
      <w:r w:rsidR="00FD2C50">
        <w:t xml:space="preserve">(Note that while the table has “GHG Adder” in the title, the values are the total of the cap and trade allowance cost </w:t>
      </w:r>
      <w:r w:rsidR="00BA4A48">
        <w:t>plus</w:t>
      </w:r>
      <w:r w:rsidR="00FD2C50">
        <w:t xml:space="preserve"> the GHG adder as defined in the avoided cost calculator). </w:t>
      </w:r>
    </w:p>
    <w:p w14:paraId="1773A4E4" w14:textId="1A3E7985" w:rsidR="002C6A66" w:rsidRDefault="002C6A66" w:rsidP="007B33BE">
      <w:pPr>
        <w:jc w:val="center"/>
      </w:pPr>
      <w:r>
        <w:rPr>
          <w:noProof/>
        </w:rPr>
        <w:lastRenderedPageBreak/>
        <w:drawing>
          <wp:inline distT="0" distB="0" distL="0" distR="0" wp14:anchorId="69C8913F" wp14:editId="51A59181">
            <wp:extent cx="4229484" cy="3609975"/>
            <wp:effectExtent l="0" t="0" r="0" b="0"/>
            <wp:docPr id="60" name="Picture 1">
              <a:extLst xmlns:a="http://schemas.openxmlformats.org/drawingml/2006/main">
                <a:ext uri="{FF2B5EF4-FFF2-40B4-BE49-F238E27FC236}">
                  <a16:creationId xmlns:a16="http://schemas.microsoft.com/office/drawing/2014/main" id="{F73ADC6C-9931-48EC-99F8-D21100D2D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73ADC6C-9931-48EC-99F8-D21100D2D819}"/>
                        </a:ext>
                      </a:extLst>
                    </pic:cNvPr>
                    <pic:cNvPicPr>
                      <a:picLocks noChangeAspect="1"/>
                    </pic:cNvPicPr>
                  </pic:nvPicPr>
                  <pic:blipFill>
                    <a:blip r:embed="rId36"/>
                    <a:stretch>
                      <a:fillRect/>
                    </a:stretch>
                  </pic:blipFill>
                  <pic:spPr>
                    <a:xfrm>
                      <a:off x="0" y="0"/>
                      <a:ext cx="4233371" cy="3613293"/>
                    </a:xfrm>
                    <a:prstGeom prst="rect">
                      <a:avLst/>
                    </a:prstGeom>
                  </pic:spPr>
                </pic:pic>
              </a:graphicData>
            </a:graphic>
          </wp:inline>
        </w:drawing>
      </w:r>
    </w:p>
    <w:p w14:paraId="6A98DF9C" w14:textId="62201A26" w:rsidR="00AB74AD" w:rsidRDefault="00AB74AD" w:rsidP="00AB74AD">
      <w:pPr>
        <w:pStyle w:val="Caption"/>
      </w:pPr>
      <w:r>
        <w:t xml:space="preserve">Table </w:t>
      </w:r>
      <w:r w:rsidR="00D22C95">
        <w:rPr>
          <w:noProof/>
        </w:rPr>
        <w:fldChar w:fldCharType="begin"/>
      </w:r>
      <w:r w:rsidR="00D22C95">
        <w:rPr>
          <w:noProof/>
        </w:rPr>
        <w:instrText xml:space="preserve"> SEQ Table \* ARABIC </w:instrText>
      </w:r>
      <w:r w:rsidR="00D22C95">
        <w:rPr>
          <w:noProof/>
        </w:rPr>
        <w:fldChar w:fldCharType="separate"/>
      </w:r>
      <w:r w:rsidR="0097492A">
        <w:rPr>
          <w:noProof/>
        </w:rPr>
        <w:t>10</w:t>
      </w:r>
      <w:r w:rsidR="00D22C95">
        <w:rPr>
          <w:noProof/>
        </w:rPr>
        <w:fldChar w:fldCharType="end"/>
      </w:r>
      <w:r>
        <w:t xml:space="preserve">: </w:t>
      </w:r>
      <w:r w:rsidR="00FD2C50">
        <w:t>GHG Adder and Cap and Trade Allowance Cost</w:t>
      </w:r>
    </w:p>
    <w:p w14:paraId="05C76501" w14:textId="7E25ABF2" w:rsidR="00AB74AD" w:rsidRDefault="00FD2C50" w:rsidP="007B33BE">
      <w:pPr>
        <w:jc w:val="center"/>
      </w:pPr>
      <w:r w:rsidRPr="00FD2C50">
        <w:rPr>
          <w:noProof/>
        </w:rPr>
        <w:drawing>
          <wp:inline distT="0" distB="0" distL="0" distR="0" wp14:anchorId="1F017A7B" wp14:editId="7CDE7B1B">
            <wp:extent cx="3914775" cy="3057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4775" cy="3057525"/>
                    </a:xfrm>
                    <a:prstGeom prst="rect">
                      <a:avLst/>
                    </a:prstGeom>
                    <a:noFill/>
                    <a:ln>
                      <a:noFill/>
                    </a:ln>
                  </pic:spPr>
                </pic:pic>
              </a:graphicData>
            </a:graphic>
          </wp:inline>
        </w:drawing>
      </w:r>
    </w:p>
    <w:p w14:paraId="6E5E8C1B" w14:textId="6420143A" w:rsidR="00AB74AD" w:rsidRDefault="00AB74AD" w:rsidP="00AB74AD">
      <w:r>
        <w:lastRenderedPageBreak/>
        <w:t xml:space="preserve">The next step to calculating the GHG adder is determining the GHG emission rate in each hour. To determine this, we first calculate an implied heat rate (Btu/kWh) in each hour. The implied heat rate is calculated by subtracting the cap-and-trade emission value and variable operations and maintenance (O&amp;M) expense of a CCGT from the energy price in each hour and then dividing by the natural gas price. This implied heat rate is then multiplied by the GHG intensity of natural gas (ton/Btu) which yields </w:t>
      </w:r>
      <w:r w:rsidR="00E464C7">
        <w:t>the</w:t>
      </w:r>
      <w:r>
        <w:t xml:space="preserve"> emission factor in ton/kWh</w:t>
      </w:r>
      <w:r w:rsidR="007B33BE">
        <w:t>.</w:t>
      </w:r>
      <w:r w:rsidR="00C15663">
        <w:rPr>
          <w:rStyle w:val="FootnoteReference"/>
        </w:rPr>
        <w:footnoteReference w:id="23"/>
      </w:r>
      <w:r>
        <w:t xml:space="preserve"> </w:t>
      </w:r>
    </w:p>
    <w:p w14:paraId="7FE15756" w14:textId="3B1E3FF5" w:rsidR="00AB74AD" w:rsidRDefault="00AB74AD">
      <w:r>
        <w:t>Finally, the incremental portion of the GHG adder price ($/ton) is multiplied by the emission rate (ton</w:t>
      </w:r>
      <w:r w:rsidR="00F33DCC">
        <w:t>s</w:t>
      </w:r>
      <w:r>
        <w:t xml:space="preserve">/kWh) to yield a final GHG adder value ($/kWh) in each hour. </w:t>
      </w:r>
    </w:p>
    <w:p w14:paraId="7B00613E" w14:textId="29A32654" w:rsidR="00931CCE" w:rsidRDefault="00931CCE" w:rsidP="00931CCE">
      <w:pPr>
        <w:pStyle w:val="Heading3"/>
      </w:pPr>
      <w:bookmarkStart w:id="87" w:name="_Toc12445852"/>
      <w:r>
        <w:t>GHG for Natural Gas Avoided Costs</w:t>
      </w:r>
      <w:bookmarkEnd w:id="87"/>
    </w:p>
    <w:p w14:paraId="3C33245C" w14:textId="0AE24498" w:rsidR="00B0433B" w:rsidRPr="00560363" w:rsidRDefault="00B0433B" w:rsidP="00560363">
      <w:r>
        <w:t xml:space="preserve">For avoided natural gas costs, the Interim GHG Adder from </w:t>
      </w:r>
      <w:r w:rsidR="009E32BC">
        <w:t>2017</w:t>
      </w:r>
      <w:r w:rsidR="00964C93">
        <w:t xml:space="preserve"> is used, rather than the GHG Adder plus the Cap and Trade Allowance price used for the avoided electricity costs.</w:t>
      </w:r>
    </w:p>
    <w:p w14:paraId="3401503B" w14:textId="727541BB" w:rsidR="00115F87" w:rsidRDefault="00115F87">
      <w:pPr>
        <w:pStyle w:val="Heading2"/>
      </w:pPr>
      <w:bookmarkStart w:id="88" w:name="_Toc12445853"/>
      <w:r>
        <w:t xml:space="preserve">Avoided </w:t>
      </w:r>
      <w:bookmarkEnd w:id="82"/>
      <w:bookmarkEnd w:id="83"/>
      <w:r w:rsidR="008B5C2F">
        <w:t>RPS Cost</w:t>
      </w:r>
      <w:bookmarkEnd w:id="88"/>
    </w:p>
    <w:p w14:paraId="316FAD31" w14:textId="62A439C4" w:rsidR="005F5AE5" w:rsidRDefault="008B5C2F" w:rsidP="000145D0">
      <w:r>
        <w:t xml:space="preserve">This component </w:t>
      </w:r>
      <w:r w:rsidR="00115F87">
        <w:t>reflect</w:t>
      </w:r>
      <w:r w:rsidR="00E464C7">
        <w:t>ed</w:t>
      </w:r>
      <w:r w:rsidR="00115F87">
        <w:t xml:space="preserve"> the fact that as energy usage declines, the amount of utility renewable purchases required to meet the RPS goals also declines</w:t>
      </w:r>
      <w:r w:rsidR="005C385F">
        <w:t xml:space="preserve">. </w:t>
      </w:r>
      <w:r w:rsidR="00115F87">
        <w:t xml:space="preserve">Since the cost of renewable energy is higher than </w:t>
      </w:r>
      <w:r w:rsidR="00CA07A8">
        <w:t xml:space="preserve">the forecasted cost of </w:t>
      </w:r>
      <w:r w:rsidR="00115F87">
        <w:t>wholesale energy and capacity market</w:t>
      </w:r>
      <w:r w:rsidR="00CA07A8">
        <w:t xml:space="preserve"> purchases</w:t>
      </w:r>
      <w:r w:rsidR="00115F87">
        <w:t>, energy reductions provide some value above the wholesale energy and capacity markets</w:t>
      </w:r>
      <w:r w:rsidR="008565B2">
        <w:t xml:space="preserve">. </w:t>
      </w:r>
    </w:p>
    <w:p w14:paraId="001642CE" w14:textId="695372AD" w:rsidR="00E464C7" w:rsidRDefault="00E464C7" w:rsidP="000145D0">
      <w:r>
        <w:t>With the introduction of the RESOLVE-based GHG adder, the need for CO</w:t>
      </w:r>
      <w:r w:rsidRPr="00946C63">
        <w:rPr>
          <w:vertAlign w:val="subscript"/>
        </w:rPr>
        <w:t>2</w:t>
      </w:r>
      <w:r>
        <w:t xml:space="preserve"> reductions, rather than the need to meet RPS goals</w:t>
      </w:r>
      <w:r w:rsidR="00F0139B">
        <w:t>,</w:t>
      </w:r>
      <w:r>
        <w:t xml:space="preserve"> becomes the binding constraint on the electricity sector</w:t>
      </w:r>
      <w:r w:rsidR="005C385F">
        <w:t xml:space="preserve">. </w:t>
      </w:r>
      <w:r>
        <w:lastRenderedPageBreak/>
        <w:t>Renewable levels are expected to exceed the RPS goals in the future, so there is no longer a</w:t>
      </w:r>
      <w:r w:rsidR="00564398">
        <w:t xml:space="preserve"> firm </w:t>
      </w:r>
      <w:r>
        <w:t>correspondence between usage reductions and renewable energy reductions</w:t>
      </w:r>
      <w:r w:rsidR="005C385F">
        <w:t xml:space="preserve">. </w:t>
      </w:r>
      <w:r w:rsidR="00E73263">
        <w:t>Therefore,</w:t>
      </w:r>
      <w:r>
        <w:t xml:space="preserve"> the </w:t>
      </w:r>
      <w:r w:rsidR="00F0139B">
        <w:t>RPS</w:t>
      </w:r>
      <w:r>
        <w:t xml:space="preserve"> adder is no longer an expected avoided cost benefit of usage </w:t>
      </w:r>
      <w:r w:rsidR="00E73263">
        <w:t>reductions and</w:t>
      </w:r>
      <w:r>
        <w:t xml:space="preserve"> has been removed</w:t>
      </w:r>
      <w:r w:rsidR="005C385F">
        <w:t xml:space="preserve">. </w:t>
      </w:r>
      <w:r w:rsidR="00175286">
        <w:t>Put another way, the additional avoided cost of renewables to meet state goals is now captured in the GHG adder due to GHG goals, and there is no benefit from reducing RPS requirements.</w:t>
      </w:r>
    </w:p>
    <w:p w14:paraId="246A9EB0" w14:textId="3B252B44" w:rsidR="00273CE0" w:rsidRPr="003173B4" w:rsidRDefault="00170CD9" w:rsidP="00C40E73">
      <w:pPr>
        <w:rPr>
          <w:rStyle w:val="Heading2Char"/>
        </w:rPr>
      </w:pPr>
      <w:bookmarkStart w:id="89" w:name="_Toc271574659"/>
      <w:bookmarkStart w:id="90" w:name="_Toc271575308"/>
      <w:r>
        <w:br w:type="page"/>
      </w:r>
      <w:bookmarkStart w:id="91" w:name="_Toc12445854"/>
      <w:bookmarkEnd w:id="89"/>
      <w:bookmarkEnd w:id="90"/>
      <w:r w:rsidR="00273CE0" w:rsidRPr="003173B4">
        <w:rPr>
          <w:rStyle w:val="Heading2Char"/>
        </w:rPr>
        <w:lastRenderedPageBreak/>
        <w:t>Components Not Included</w:t>
      </w:r>
      <w:bookmarkEnd w:id="91"/>
    </w:p>
    <w:p w14:paraId="29569AC2" w14:textId="7A50DD4F" w:rsidR="00F03153" w:rsidRPr="0083579C" w:rsidRDefault="00273CE0" w:rsidP="00C40E73">
      <w:r>
        <w:t>Several components suggested by stakeholders in various proceedings are not currently included in the calculation of avoided costs</w:t>
      </w:r>
      <w:r w:rsidR="005C385F">
        <w:t xml:space="preserve">. </w:t>
      </w:r>
      <w:r>
        <w:t xml:space="preserve">Non-energy Benefits (NEBs), by their nature, are difficult – </w:t>
      </w:r>
      <w:r w:rsidR="009C6E02">
        <w:t xml:space="preserve">and at times </w:t>
      </w:r>
      <w:r>
        <w:t>impossible – to quantify</w:t>
      </w:r>
      <w:r w:rsidR="005C385F">
        <w:t xml:space="preserve">. </w:t>
      </w:r>
      <w:r>
        <w:t>Work has been done to quantify some of these benefits for low income energy efficiency programs.</w:t>
      </w:r>
      <w:r>
        <w:rPr>
          <w:rStyle w:val="FootnoteReference"/>
        </w:rPr>
        <w:footnoteReference w:id="24"/>
      </w:r>
      <w:r>
        <w:t xml:space="preserve"> NEBs are not, however, currently included in the avoided cost methodology. The CPUC has authorized studies and pilot programs regarding embedded energy in water</w:t>
      </w:r>
      <w:r w:rsidR="005C385F">
        <w:t xml:space="preserve">. </w:t>
      </w:r>
      <w:r>
        <w:t>To date a comprehensive framework for calculating embedded energy in water savings or water avoided costs in energy on a statewide basis has not yet been developed.</w:t>
      </w:r>
      <w:r>
        <w:rPr>
          <w:rStyle w:val="FootnoteReference"/>
        </w:rPr>
        <w:footnoteReference w:id="25"/>
      </w:r>
      <w:r w:rsidRPr="25ED4B98">
        <w:t xml:space="preserve"> </w:t>
      </w:r>
      <w:r w:rsidR="00320BF8">
        <w:t>Avoided costs of current or future Ancillary Services associated with renewable integration or overgeneration are also not included</w:t>
      </w:r>
      <w:r w:rsidR="005C385F">
        <w:t xml:space="preserve">. </w:t>
      </w:r>
      <w:r w:rsidR="00320BF8">
        <w:t>The need for flexible resources to provide services such as load following or ramping capability are driven primarily by the variation in, rather than the absolute level of, loads and generation</w:t>
      </w:r>
      <w:r w:rsidR="005C385F">
        <w:t>.</w:t>
      </w:r>
      <w:r w:rsidR="009C6E02">
        <w:t xml:space="preserve"> T</w:t>
      </w:r>
      <w:r>
        <w:t xml:space="preserve">he impacts of power factor and reactive loads are </w:t>
      </w:r>
      <w:r w:rsidR="009C6E02">
        <w:t xml:space="preserve">also </w:t>
      </w:r>
      <w:r>
        <w:t>not currently included in the avoided cost methodology. An EM&amp;V study for the CPUC Operational Energy Efficiency Program for water pumping produced by E3 found that the value of reduced reactive loads (kVAR) and associated line loss reductions ranged from 5 to 12 percent of the $/kWh avoided cost savings.</w:t>
      </w:r>
      <w:r>
        <w:rPr>
          <w:rStyle w:val="FootnoteReference"/>
        </w:rPr>
        <w:footnoteReference w:id="26"/>
      </w:r>
      <w:r>
        <w:t xml:space="preserve"> However</w:t>
      </w:r>
      <w:r w:rsidR="00E701E1">
        <w:t>,</w:t>
      </w:r>
      <w:r>
        <w:t xml:space="preserve"> the savings associated with improved power factor and reduced reactive load depend to a large extent on the type and location of loads on the feeder</w:t>
      </w:r>
      <w:r w:rsidR="005C385F">
        <w:t xml:space="preserve">. </w:t>
      </w:r>
      <w:r>
        <w:t xml:space="preserve">As with embedded energy in water, a generalized framework for a statewide analysis has not yet been </w:t>
      </w:r>
      <w:r w:rsidR="0034295B">
        <w:t>developed</w:t>
      </w:r>
      <w:r>
        <w:t xml:space="preserve">. </w:t>
      </w:r>
      <w:r w:rsidR="009C6E02">
        <w:t xml:space="preserve"> Finally, market and reliability benefits provided by demand-side resources are not currently included in the ACC, although E3 </w:t>
      </w:r>
      <w:r w:rsidR="009C6E02">
        <w:lastRenderedPageBreak/>
        <w:t>is collaborating with the CPUC on research into potential methodologies for quantifying these benefits.</w:t>
      </w:r>
    </w:p>
    <w:p w14:paraId="35AAF834" w14:textId="33272CB7" w:rsidR="009A27D1" w:rsidRPr="001776F0" w:rsidRDefault="009A27D1" w:rsidP="009A27D1">
      <w:pPr>
        <w:spacing w:before="0" w:after="0" w:line="240" w:lineRule="auto"/>
      </w:pPr>
    </w:p>
    <w:p w14:paraId="76BAAD94" w14:textId="31CBF517" w:rsidR="00D44EEC" w:rsidRDefault="5D565534">
      <w:pPr>
        <w:pStyle w:val="Heading1"/>
      </w:pPr>
      <w:bookmarkStart w:id="92" w:name="_Toc271574666"/>
      <w:bookmarkStart w:id="93" w:name="_Toc271575315"/>
      <w:bookmarkStart w:id="94" w:name="_Toc12445855"/>
      <w:r>
        <w:t xml:space="preserve">Appendix: </w:t>
      </w:r>
      <w:r w:rsidR="00D44EEC">
        <w:t>Key Data Sources and Specific Methodology</w:t>
      </w:r>
      <w:bookmarkEnd w:id="92"/>
      <w:bookmarkEnd w:id="93"/>
      <w:bookmarkEnd w:id="94"/>
    </w:p>
    <w:p w14:paraId="72A1FEF3" w14:textId="77777777" w:rsidR="00D44EEC" w:rsidRDefault="00D44EEC" w:rsidP="00FC5D62">
      <w:r>
        <w:t>This section provides further discussion of data sources and methods used in the calculation of the hourly avoided costs.</w:t>
      </w:r>
    </w:p>
    <w:p w14:paraId="4BBE979A" w14:textId="77777777" w:rsidR="00D44EEC" w:rsidRDefault="00D44EEC" w:rsidP="008A6BDD">
      <w:pPr>
        <w:pStyle w:val="Heading2"/>
      </w:pPr>
      <w:bookmarkStart w:id="95" w:name="_Toc271574668"/>
      <w:bookmarkStart w:id="96" w:name="_Toc271575317"/>
      <w:bookmarkStart w:id="97" w:name="_Toc12445856"/>
      <w:r>
        <w:t>Power plant cost assumptions</w:t>
      </w:r>
      <w:bookmarkEnd w:id="95"/>
      <w:bookmarkEnd w:id="96"/>
      <w:bookmarkEnd w:id="97"/>
    </w:p>
    <w:p w14:paraId="06277964" w14:textId="3F76EC2D" w:rsidR="002E1DAD" w:rsidRDefault="00B1567E" w:rsidP="00186B05">
      <w:r>
        <w:t>The c</w:t>
      </w:r>
      <w:r w:rsidR="00D44EEC">
        <w:t xml:space="preserve">ost and performance assumptions for the </w:t>
      </w:r>
      <w:r>
        <w:t xml:space="preserve">new </w:t>
      </w:r>
      <w:r w:rsidR="00D44EEC">
        <w:t>simple cycle plants</w:t>
      </w:r>
      <w:r w:rsidR="00DB6435">
        <w:t xml:space="preserve"> and combined cycle plants are from the CPUC 2017 IRP</w:t>
      </w:r>
      <w:r w:rsidR="002E1DAD">
        <w:t xml:space="preserve"> (R.16-02-007)</w:t>
      </w:r>
      <w:r w:rsidR="008565B2">
        <w:t xml:space="preserve">. </w:t>
      </w:r>
      <w:r w:rsidR="002E1DAD">
        <w:t xml:space="preserve">The IRP ProForma spreadsheet with the data inputs can be found at </w:t>
      </w:r>
      <w:hyperlink r:id="rId38" w:history="1">
        <w:r w:rsidR="002E1DAD" w:rsidRPr="00C032C2">
          <w:rPr>
            <w:rStyle w:val="Hyperlink"/>
          </w:rPr>
          <w:t>http://cpuc.ca.gov/irp/proposedrsp/</w:t>
        </w:r>
      </w:hyperlink>
    </w:p>
    <w:p w14:paraId="69CADB5D" w14:textId="0EBF42B7" w:rsidR="00D44EEC" w:rsidRDefault="00DB6435" w:rsidP="00186B05">
      <w:r>
        <w:t>Where the IRP does not specify an input variable, the values from the 201</w:t>
      </w:r>
      <w:r w:rsidR="00964C93">
        <w:t>8</w:t>
      </w:r>
      <w:r>
        <w:t xml:space="preserve"> avoided cost model are retained</w:t>
      </w:r>
      <w:r w:rsidR="005C385F">
        <w:t xml:space="preserve">. </w:t>
      </w:r>
      <w:r>
        <w:t>Those retained values are from</w:t>
      </w:r>
      <w:r w:rsidR="00D44EEC">
        <w:t xml:space="preserve"> </w:t>
      </w:r>
      <w:r>
        <w:t xml:space="preserve">the </w:t>
      </w:r>
      <w:r w:rsidR="00D44EEC">
        <w:t>California Energy Com</w:t>
      </w:r>
      <w:r w:rsidR="002F0874">
        <w:t>m</w:t>
      </w:r>
      <w:r w:rsidR="00D44EEC">
        <w:t>iss</w:t>
      </w:r>
      <w:r w:rsidR="00B1567E">
        <w:t>ion’s Cost of Generation report</w:t>
      </w:r>
      <w:r>
        <w:t xml:space="preserve"> (</w:t>
      </w:r>
      <w:r w:rsidR="00EA5ACE" w:rsidRPr="00EA5ACE">
        <w:t>CEC 2019, Estimated Cost of New Utility-Scale Generation in California: 2018 Update</w:t>
      </w:r>
      <w:r w:rsidR="00EA5ACE">
        <w:t xml:space="preserve">, and </w:t>
      </w:r>
      <w:r w:rsidRPr="00DB6435">
        <w:t xml:space="preserve">CEC 2015 Cost of New Renewable and Fossil Generation in California, </w:t>
      </w:r>
      <w:r w:rsidR="00EA5ACE">
        <w:t xml:space="preserve">where 2018 update did not include relevant data; </w:t>
      </w:r>
      <w:hyperlink r:id="rId39" w:history="1">
        <w:r w:rsidR="00EA5ACE" w:rsidRPr="00002332">
          <w:rPr>
            <w:rStyle w:val="Hyperlink"/>
          </w:rPr>
          <w:t>https://www.energy.ca.gov/2019publications/CEC-200-2019-005/CEC-200-2019-005.pdf</w:t>
        </w:r>
      </w:hyperlink>
      <w:r w:rsidR="00EA5ACE">
        <w:t xml:space="preserve"> and </w:t>
      </w:r>
      <w:hyperlink r:id="rId40" w:history="1">
        <w:r w:rsidR="005C2E8E">
          <w:rPr>
            <w:rStyle w:val="Hyperlink"/>
          </w:rPr>
          <w:t>http://www.energy.ca.gov/2014publications/CEC-200-2014-003/index.html</w:t>
        </w:r>
      </w:hyperlink>
      <w:r w:rsidR="00EA5ACE">
        <w:t>,</w:t>
      </w:r>
      <w:r w:rsidR="005C2E8E">
        <w:t xml:space="preserve"> Table 8,</w:t>
      </w:r>
      <w:r w:rsidR="00EA5ACE">
        <w:t xml:space="preserve"> respectively</w:t>
      </w:r>
      <w:r w:rsidRPr="00DB6435">
        <w:t>.</w:t>
      </w:r>
      <w:r>
        <w:t>)</w:t>
      </w:r>
    </w:p>
    <w:p w14:paraId="0D2427BA" w14:textId="686DAFE1" w:rsidR="00DB6435" w:rsidRDefault="00DB6435" w:rsidP="00186B05"/>
    <w:p w14:paraId="4E6734D2" w14:textId="42284C7D" w:rsidR="00DB6435" w:rsidRDefault="0048119C" w:rsidP="00F03153">
      <w:pPr>
        <w:pStyle w:val="Caption"/>
      </w:pPr>
      <w:r>
        <w:lastRenderedPageBreak/>
        <w:t xml:space="preserve">Table </w:t>
      </w:r>
      <w:r w:rsidR="00813981" w:rsidRPr="008A6BDD">
        <w:fldChar w:fldCharType="begin"/>
      </w:r>
      <w:r w:rsidR="00813981">
        <w:instrText xml:space="preserve"> SEQ Table \* ARABIC </w:instrText>
      </w:r>
      <w:r w:rsidR="00813981" w:rsidRPr="008A6BDD">
        <w:fldChar w:fldCharType="separate"/>
      </w:r>
      <w:r w:rsidR="0097492A">
        <w:rPr>
          <w:noProof/>
        </w:rPr>
        <w:t>11</w:t>
      </w:r>
      <w:r w:rsidR="00813981" w:rsidRPr="008A6BDD">
        <w:fldChar w:fldCharType="end"/>
      </w:r>
      <w:r w:rsidR="00B1567E" w:rsidRPr="1C3337B9">
        <w:t>.</w:t>
      </w:r>
      <w:r>
        <w:t xml:space="preserve"> Power plant cost and performance </w:t>
      </w:r>
      <w:r w:rsidR="00DB6435">
        <w:t xml:space="preserve">data source </w:t>
      </w:r>
      <w:r w:rsidR="059707EE">
        <w:t xml:space="preserve">for </w:t>
      </w:r>
      <w:r w:rsidR="00DB6435">
        <w:t>new generation</w:t>
      </w:r>
      <w:r w:rsidR="059707EE">
        <w:t xml:space="preserve"> </w:t>
      </w:r>
    </w:p>
    <w:p w14:paraId="79363532" w14:textId="4DADA60E" w:rsidR="00DB6435" w:rsidRPr="003F52C9" w:rsidRDefault="00DB6435" w:rsidP="001760F6">
      <w:pPr>
        <w:jc w:val="center"/>
      </w:pPr>
      <w:r>
        <w:rPr>
          <w:b/>
          <w:bCs/>
          <w:noProof/>
        </w:rPr>
        <w:drawing>
          <wp:inline distT="0" distB="0" distL="0" distR="0" wp14:anchorId="1E6DF11A" wp14:editId="6394BC1F">
            <wp:extent cx="5943600" cy="510286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5102860"/>
                    </a:xfrm>
                    <a:prstGeom prst="rect">
                      <a:avLst/>
                    </a:prstGeom>
                  </pic:spPr>
                </pic:pic>
              </a:graphicData>
            </a:graphic>
          </wp:inline>
        </w:drawing>
      </w:r>
      <w:r>
        <w:rPr>
          <w:i/>
          <w:iCs/>
          <w:sz w:val="20"/>
          <w:szCs w:val="20"/>
        </w:rPr>
        <w:t>Source:  RESOLVE_User_Interface 2017-09-07.xlsm, COSTS_Resource_Char tab.</w:t>
      </w:r>
      <w:r w:rsidR="002E1DAD">
        <w:rPr>
          <w:i/>
          <w:iCs/>
          <w:sz w:val="20"/>
          <w:szCs w:val="20"/>
        </w:rPr>
        <w:t xml:space="preserve"> </w:t>
      </w:r>
      <w:r w:rsidR="002E1DAD" w:rsidRPr="002E1DAD">
        <w:rPr>
          <w:i/>
          <w:iCs/>
          <w:sz w:val="14"/>
          <w:szCs w:val="20"/>
        </w:rPr>
        <w:t>(</w:t>
      </w:r>
      <w:hyperlink r:id="rId42" w:history="1">
        <w:r w:rsidR="002E1DAD" w:rsidRPr="002E1DAD">
          <w:rPr>
            <w:rStyle w:val="Hyperlink"/>
            <w:sz w:val="18"/>
          </w:rPr>
          <w:t>http://cpuc.ca.gov/irp/proposedrsp/</w:t>
        </w:r>
      </w:hyperlink>
      <w:r w:rsidR="002E1DAD">
        <w:t>)</w:t>
      </w:r>
    </w:p>
    <w:p w14:paraId="68FA140E" w14:textId="63E828BE" w:rsidR="00F03153" w:rsidRDefault="00F03153" w:rsidP="00F03153">
      <w:pPr>
        <w:pStyle w:val="Caption"/>
      </w:pPr>
    </w:p>
    <w:p w14:paraId="37D51EF2" w14:textId="77777777" w:rsidR="00F03153" w:rsidRDefault="00925DA2" w:rsidP="008A6BDD">
      <w:pPr>
        <w:pStyle w:val="Heading2"/>
      </w:pPr>
      <w:bookmarkStart w:id="98" w:name="_Toc271574655"/>
      <w:bookmarkStart w:id="99" w:name="_Toc271575304"/>
      <w:bookmarkStart w:id="100" w:name="_Toc12445857"/>
      <w:r>
        <w:t xml:space="preserve">Generation </w:t>
      </w:r>
      <w:r w:rsidR="00F03153">
        <w:t>Loss Factors</w:t>
      </w:r>
      <w:bookmarkEnd w:id="100"/>
      <w:r w:rsidR="00F03153" w:rsidRPr="0A8740F7">
        <w:t xml:space="preserve"> </w:t>
      </w:r>
    </w:p>
    <w:p w14:paraId="0610F658" w14:textId="41A77315" w:rsidR="00F03153" w:rsidRPr="00215903" w:rsidRDefault="00F03153" w:rsidP="00F03153">
      <w:r>
        <w:t>The updated avoided costs incorporate loss factors from the DR proceeding</w:t>
      </w:r>
      <w:r w:rsidR="005C385F">
        <w:t xml:space="preserve">. </w:t>
      </w:r>
      <w:r>
        <w:t xml:space="preserve">The capacity loss factors are applied to the capacity avoided costs to reflect the fact that </w:t>
      </w:r>
      <w:r w:rsidR="009B1072">
        <w:t>dispatched generation capacity is greater than metered loads</w:t>
      </w:r>
      <w:r>
        <w:t xml:space="preserve"> because of losses</w:t>
      </w:r>
      <w:r w:rsidR="005C385F">
        <w:t xml:space="preserve">. </w:t>
      </w:r>
      <w:r>
        <w:t xml:space="preserve">The </w:t>
      </w:r>
      <w:r w:rsidR="009B1072">
        <w:t xml:space="preserve">adjustments assume that the </w:t>
      </w:r>
      <w:r w:rsidR="009B1072">
        <w:lastRenderedPageBreak/>
        <w:t>metered load is at the</w:t>
      </w:r>
      <w:r>
        <w:t xml:space="preserve"> secondary voltage level</w:t>
      </w:r>
      <w:r w:rsidR="005C385F">
        <w:t xml:space="preserve">. </w:t>
      </w:r>
      <w:r>
        <w:t>The loss factors are representative of average peak losses, not incremental losses</w:t>
      </w:r>
      <w:r w:rsidR="005C385F">
        <w:t xml:space="preserve">. </w:t>
      </w:r>
    </w:p>
    <w:p w14:paraId="53C74BEF" w14:textId="1F96702D" w:rsidR="00F03153" w:rsidRDefault="00F03153" w:rsidP="00F03153">
      <w:pPr>
        <w:pStyle w:val="Caption"/>
      </w:pPr>
      <w:r>
        <w:t xml:space="preserve">Table </w:t>
      </w:r>
      <w:r w:rsidR="00813981" w:rsidRPr="008A6BDD">
        <w:fldChar w:fldCharType="begin"/>
      </w:r>
      <w:r w:rsidR="00813981">
        <w:instrText xml:space="preserve"> SEQ Table \* ARABIC </w:instrText>
      </w:r>
      <w:r w:rsidR="00813981" w:rsidRPr="008A6BDD">
        <w:fldChar w:fldCharType="separate"/>
      </w:r>
      <w:r w:rsidR="0097492A">
        <w:rPr>
          <w:noProof/>
        </w:rPr>
        <w:t>12</w:t>
      </w:r>
      <w:r w:rsidR="00813981" w:rsidRPr="008A6BDD">
        <w:fldChar w:fldCharType="end"/>
      </w:r>
      <w:r>
        <w:t xml:space="preserve">:  </w:t>
      </w:r>
      <w:r w:rsidR="009B1072">
        <w:t xml:space="preserve">Generation </w:t>
      </w:r>
      <w:r w:rsidR="001760F6">
        <w:t>C</w:t>
      </w:r>
      <w:r>
        <w:t xml:space="preserve">apacity </w:t>
      </w:r>
      <w:r w:rsidR="001760F6">
        <w:t>L</w:t>
      </w:r>
      <w:r>
        <w:t xml:space="preserve">oss </w:t>
      </w:r>
      <w:r w:rsidR="001760F6">
        <w:t>F</w:t>
      </w:r>
      <w:r>
        <w:t>actors</w:t>
      </w:r>
    </w:p>
    <w:tbl>
      <w:tblPr>
        <w:tblStyle w:val="ListTable3-Accent11"/>
        <w:tblW w:w="0" w:type="auto"/>
        <w:jc w:val="center"/>
        <w:tblLook w:val="04A0" w:firstRow="1" w:lastRow="0" w:firstColumn="1" w:lastColumn="0" w:noHBand="0" w:noVBand="1"/>
      </w:tblPr>
      <w:tblGrid>
        <w:gridCol w:w="2270"/>
        <w:gridCol w:w="783"/>
        <w:gridCol w:w="764"/>
        <w:gridCol w:w="920"/>
      </w:tblGrid>
      <w:tr w:rsidR="00F03153" w:rsidRPr="00856BC0" w14:paraId="464BDA72" w14:textId="77777777" w:rsidTr="001760F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Pr>
          <w:p w14:paraId="1FB8F1FC" w14:textId="77777777" w:rsidR="00F03153" w:rsidRPr="0034779F" w:rsidRDefault="00F03153" w:rsidP="00A14622">
            <w:pPr>
              <w:spacing w:before="0" w:after="0" w:line="240" w:lineRule="auto"/>
            </w:pPr>
          </w:p>
        </w:tc>
        <w:tc>
          <w:tcPr>
            <w:tcW w:w="0" w:type="auto"/>
          </w:tcPr>
          <w:p w14:paraId="15280214" w14:textId="77777777" w:rsidR="00F03153" w:rsidRPr="0034779F" w:rsidRDefault="00F03153" w:rsidP="00156051">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34779F">
              <w:t>PG&amp;E</w:t>
            </w:r>
          </w:p>
        </w:tc>
        <w:tc>
          <w:tcPr>
            <w:tcW w:w="0" w:type="auto"/>
          </w:tcPr>
          <w:p w14:paraId="3AE46F37" w14:textId="77777777" w:rsidR="00F03153" w:rsidRPr="0034779F" w:rsidRDefault="00F03153" w:rsidP="00156051">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34779F">
              <w:t>SCE</w:t>
            </w:r>
          </w:p>
        </w:tc>
        <w:tc>
          <w:tcPr>
            <w:tcW w:w="0" w:type="auto"/>
          </w:tcPr>
          <w:p w14:paraId="688B626D" w14:textId="77777777" w:rsidR="00F03153" w:rsidRPr="0034779F" w:rsidRDefault="00F03153" w:rsidP="00156051">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34779F">
              <w:t>SDG&amp;E</w:t>
            </w:r>
          </w:p>
        </w:tc>
      </w:tr>
      <w:tr w:rsidR="00F03153" w:rsidRPr="00856BC0" w14:paraId="26410575" w14:textId="77777777" w:rsidTr="001760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7082200" w14:textId="77777777" w:rsidR="00F03153" w:rsidRPr="0034779F" w:rsidRDefault="00F03153" w:rsidP="00A14622">
            <w:pPr>
              <w:spacing w:before="0" w:after="0" w:line="240" w:lineRule="auto"/>
            </w:pPr>
            <w:r>
              <w:t>Generation to meter</w:t>
            </w:r>
          </w:p>
        </w:tc>
        <w:tc>
          <w:tcPr>
            <w:tcW w:w="0" w:type="auto"/>
          </w:tcPr>
          <w:p w14:paraId="3E0D4AFE" w14:textId="77777777" w:rsidR="00F03153" w:rsidRPr="00856BC0" w:rsidRDefault="00F03153" w:rsidP="00156051">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56BC0">
              <w:t>1.109</w:t>
            </w:r>
          </w:p>
        </w:tc>
        <w:tc>
          <w:tcPr>
            <w:tcW w:w="0" w:type="auto"/>
          </w:tcPr>
          <w:p w14:paraId="1F02C8D1" w14:textId="77777777" w:rsidR="00F03153" w:rsidRPr="00856BC0" w:rsidRDefault="00F03153" w:rsidP="00156051">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56BC0">
              <w:t>1.084</w:t>
            </w:r>
          </w:p>
        </w:tc>
        <w:tc>
          <w:tcPr>
            <w:tcW w:w="0" w:type="auto"/>
          </w:tcPr>
          <w:p w14:paraId="48DECBE6" w14:textId="77777777" w:rsidR="00F03153" w:rsidRPr="00856BC0" w:rsidRDefault="00F03153" w:rsidP="00156051">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56BC0">
              <w:t>1.081</w:t>
            </w:r>
          </w:p>
        </w:tc>
      </w:tr>
    </w:tbl>
    <w:p w14:paraId="277B173F" w14:textId="77777777" w:rsidR="00F03153" w:rsidRDefault="00F03153" w:rsidP="00F03153">
      <w:pPr>
        <w:pStyle w:val="Caption"/>
      </w:pPr>
      <w:bookmarkStart w:id="101" w:name="_Ref278711682"/>
    </w:p>
    <w:p w14:paraId="38379923" w14:textId="5FFC7372" w:rsidR="00F03153" w:rsidRDefault="00F03153" w:rsidP="00F03153">
      <w:r>
        <w:t>The energy loss factors are applied to the electricity energy costs to reflect energy losses down to the customer secondary meter</w:t>
      </w:r>
      <w:r w:rsidR="005C385F">
        <w:t xml:space="preserve">. </w:t>
      </w:r>
      <w:r>
        <w:t>The loss factors vary by utility time of user period, and represent average losses in each time period</w:t>
      </w:r>
      <w:r w:rsidR="005C385F">
        <w:t xml:space="preserve">. </w:t>
      </w:r>
    </w:p>
    <w:p w14:paraId="47FAB7F8" w14:textId="77777777" w:rsidR="00F03153" w:rsidRPr="00527860" w:rsidRDefault="00F03153" w:rsidP="00F03153">
      <w:pPr>
        <w:rPr>
          <w:sz w:val="22"/>
          <w:szCs w:val="22"/>
        </w:rPr>
      </w:pPr>
      <w:r>
        <w:tab/>
      </w:r>
      <w:r w:rsidRPr="00527860">
        <w:rPr>
          <w:sz w:val="22"/>
          <w:szCs w:val="22"/>
        </w:rPr>
        <w:t>Energy Generated[h] = Metered Load[h] * Energy Loss Factor[TOU]</w:t>
      </w:r>
    </w:p>
    <w:p w14:paraId="78708047" w14:textId="77777777" w:rsidR="00F03153" w:rsidRDefault="00F03153" w:rsidP="00F03153">
      <w:pPr>
        <w:rPr>
          <w:sz w:val="22"/>
          <w:szCs w:val="22"/>
        </w:rPr>
      </w:pPr>
      <w:r w:rsidRPr="00527860">
        <w:rPr>
          <w:sz w:val="22"/>
          <w:szCs w:val="22"/>
        </w:rPr>
        <w:tab/>
        <w:t>Cost of Energy Losses = Energy Cost[h] * Metered Load [h] * (Energy Loss Factor[TOU] – 1)</w:t>
      </w:r>
    </w:p>
    <w:p w14:paraId="0EF6262C" w14:textId="77777777" w:rsidR="00F03153" w:rsidRPr="00527860" w:rsidRDefault="00F03153" w:rsidP="00F03153">
      <w:pPr>
        <w:rPr>
          <w:sz w:val="22"/>
          <w:szCs w:val="22"/>
        </w:rPr>
      </w:pPr>
      <w:r>
        <w:rPr>
          <w:sz w:val="22"/>
          <w:szCs w:val="22"/>
        </w:rPr>
        <w:tab/>
        <w:t>where h = hour, TOU = TOU period corresponding to hour h.</w:t>
      </w:r>
    </w:p>
    <w:p w14:paraId="14231B90" w14:textId="6759C9B2" w:rsidR="00F03153" w:rsidRDefault="00F03153" w:rsidP="00F03153">
      <w:pPr>
        <w:pStyle w:val="Caption"/>
      </w:pPr>
      <w:r>
        <w:t xml:space="preserve">Table </w:t>
      </w:r>
      <w:r w:rsidR="00813981" w:rsidRPr="008A6BDD">
        <w:fldChar w:fldCharType="begin"/>
      </w:r>
      <w:r w:rsidR="00813981">
        <w:instrText xml:space="preserve"> SEQ Table \* ARABIC </w:instrText>
      </w:r>
      <w:r w:rsidR="00813981" w:rsidRPr="008A6BDD">
        <w:fldChar w:fldCharType="separate"/>
      </w:r>
      <w:r w:rsidR="0097492A">
        <w:rPr>
          <w:noProof/>
        </w:rPr>
        <w:t>13</w:t>
      </w:r>
      <w:r w:rsidR="00813981" w:rsidRPr="008A6BDD">
        <w:fldChar w:fldCharType="end"/>
      </w:r>
      <w:bookmarkEnd w:id="101"/>
      <w:r>
        <w:t xml:space="preserve">. Marginal </w:t>
      </w:r>
      <w:r w:rsidR="001760F6">
        <w:t>E</w:t>
      </w:r>
      <w:r>
        <w:t xml:space="preserve">nergy </w:t>
      </w:r>
      <w:r w:rsidR="001760F6">
        <w:t>L</w:t>
      </w:r>
      <w:r>
        <w:t xml:space="preserve">oss </w:t>
      </w:r>
      <w:r w:rsidR="001760F6">
        <w:t>F</w:t>
      </w:r>
      <w:r>
        <w:t xml:space="preserve">actors by </w:t>
      </w:r>
      <w:r w:rsidR="001760F6">
        <w:t>T</w:t>
      </w:r>
      <w:r>
        <w:t xml:space="preserve">ime-of-use </w:t>
      </w:r>
      <w:r w:rsidR="001760F6">
        <w:t>P</w:t>
      </w:r>
      <w:r>
        <w:t xml:space="preserve">eriod and </w:t>
      </w:r>
      <w:r w:rsidR="001760F6">
        <w:t>U</w:t>
      </w:r>
      <w:r>
        <w:t>tility.</w:t>
      </w:r>
    </w:p>
    <w:tbl>
      <w:tblPr>
        <w:tblStyle w:val="ListTable3-Accent11"/>
        <w:tblW w:w="4040" w:type="pct"/>
        <w:jc w:val="center"/>
        <w:tblLook w:val="00A0" w:firstRow="1" w:lastRow="0" w:firstColumn="1" w:lastColumn="0" w:noHBand="0" w:noVBand="0"/>
      </w:tblPr>
      <w:tblGrid>
        <w:gridCol w:w="2783"/>
        <w:gridCol w:w="1531"/>
        <w:gridCol w:w="1532"/>
        <w:gridCol w:w="1709"/>
      </w:tblGrid>
      <w:tr w:rsidR="00156051" w:rsidRPr="00D05611" w14:paraId="77F080A0" w14:textId="77777777" w:rsidTr="001760F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842" w:type="pct"/>
          </w:tcPr>
          <w:p w14:paraId="21E511EC" w14:textId="77777777" w:rsidR="00F03153" w:rsidRPr="0034779F" w:rsidRDefault="00F03153" w:rsidP="00A14622">
            <w:pPr>
              <w:keepNext/>
              <w:keepLines/>
              <w:spacing w:before="0" w:after="0" w:line="240" w:lineRule="auto"/>
            </w:pPr>
            <w:r w:rsidRPr="0034779F">
              <w:t>Time Period</w:t>
            </w:r>
          </w:p>
        </w:tc>
        <w:tc>
          <w:tcPr>
            <w:cnfStyle w:val="000010000000" w:firstRow="0" w:lastRow="0" w:firstColumn="0" w:lastColumn="0" w:oddVBand="1" w:evenVBand="0" w:oddHBand="0" w:evenHBand="0" w:firstRowFirstColumn="0" w:firstRowLastColumn="0" w:lastRowFirstColumn="0" w:lastRowLastColumn="0"/>
            <w:tcW w:w="1013" w:type="pct"/>
          </w:tcPr>
          <w:p w14:paraId="6BED3D75" w14:textId="77777777" w:rsidR="00F03153" w:rsidRPr="0034779F" w:rsidRDefault="00F03153" w:rsidP="008A6BDD">
            <w:pPr>
              <w:keepNext/>
              <w:keepLines/>
              <w:spacing w:before="0" w:after="0" w:line="240" w:lineRule="auto"/>
              <w:jc w:val="center"/>
            </w:pPr>
            <w:r w:rsidRPr="0034779F">
              <w:t>PG&amp;E</w:t>
            </w:r>
          </w:p>
        </w:tc>
        <w:tc>
          <w:tcPr>
            <w:tcW w:w="1014" w:type="pct"/>
          </w:tcPr>
          <w:p w14:paraId="075BB096" w14:textId="77777777" w:rsidR="00F03153" w:rsidRPr="0034779F" w:rsidRDefault="00F03153" w:rsidP="008A6BDD">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34779F">
              <w:t>SCE</w:t>
            </w:r>
          </w:p>
        </w:tc>
        <w:tc>
          <w:tcPr>
            <w:cnfStyle w:val="000010000000" w:firstRow="0" w:lastRow="0" w:firstColumn="0" w:lastColumn="0" w:oddVBand="1" w:evenVBand="0" w:oddHBand="0" w:evenHBand="0" w:firstRowFirstColumn="0" w:firstRowLastColumn="0" w:lastRowFirstColumn="0" w:lastRowLastColumn="0"/>
            <w:tcW w:w="1131" w:type="pct"/>
          </w:tcPr>
          <w:p w14:paraId="6392205D" w14:textId="77777777" w:rsidR="00F03153" w:rsidRPr="0034779F" w:rsidRDefault="00F03153" w:rsidP="008A6BDD">
            <w:pPr>
              <w:keepNext/>
              <w:keepLines/>
              <w:spacing w:before="0" w:after="0" w:line="240" w:lineRule="auto"/>
              <w:jc w:val="center"/>
            </w:pPr>
            <w:r w:rsidRPr="0034779F">
              <w:t>SDG&amp;E</w:t>
            </w:r>
          </w:p>
        </w:tc>
      </w:tr>
      <w:tr w:rsidR="00156051" w:rsidRPr="00D05611" w14:paraId="352DCA9C" w14:textId="77777777" w:rsidTr="001760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pct"/>
          </w:tcPr>
          <w:p w14:paraId="60836918" w14:textId="77777777" w:rsidR="00F03153" w:rsidRPr="0034779F" w:rsidRDefault="00F03153" w:rsidP="00A14622">
            <w:pPr>
              <w:keepNext/>
              <w:keepLines/>
              <w:spacing w:before="0" w:after="0" w:line="240" w:lineRule="auto"/>
            </w:pPr>
            <w:r w:rsidRPr="0034779F">
              <w:t>Summer Peak</w:t>
            </w:r>
          </w:p>
        </w:tc>
        <w:tc>
          <w:tcPr>
            <w:cnfStyle w:val="000010000000" w:firstRow="0" w:lastRow="0" w:firstColumn="0" w:lastColumn="0" w:oddVBand="1" w:evenVBand="0" w:oddHBand="0" w:evenHBand="0" w:firstRowFirstColumn="0" w:firstRowLastColumn="0" w:lastRowFirstColumn="0" w:lastRowLastColumn="0"/>
            <w:tcW w:w="1013" w:type="pct"/>
          </w:tcPr>
          <w:p w14:paraId="2C639802" w14:textId="77777777" w:rsidR="00F03153" w:rsidRPr="00D05611" w:rsidRDefault="00F03153" w:rsidP="008A6BDD">
            <w:pPr>
              <w:keepNext/>
              <w:keepLines/>
              <w:spacing w:before="0" w:after="0" w:line="240" w:lineRule="auto"/>
              <w:jc w:val="center"/>
            </w:pPr>
            <w:r w:rsidRPr="00D05611">
              <w:t>1.109</w:t>
            </w:r>
          </w:p>
        </w:tc>
        <w:tc>
          <w:tcPr>
            <w:tcW w:w="1014" w:type="pct"/>
          </w:tcPr>
          <w:p w14:paraId="03CB59D9" w14:textId="77777777" w:rsidR="00F03153" w:rsidRPr="00D05611" w:rsidRDefault="00F03153"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1.084</w:t>
            </w:r>
          </w:p>
        </w:tc>
        <w:tc>
          <w:tcPr>
            <w:cnfStyle w:val="000010000000" w:firstRow="0" w:lastRow="0" w:firstColumn="0" w:lastColumn="0" w:oddVBand="1" w:evenVBand="0" w:oddHBand="0" w:evenHBand="0" w:firstRowFirstColumn="0" w:firstRowLastColumn="0" w:lastRowFirstColumn="0" w:lastRowLastColumn="0"/>
            <w:tcW w:w="1131" w:type="pct"/>
          </w:tcPr>
          <w:p w14:paraId="2B429A7F" w14:textId="77777777" w:rsidR="00F03153" w:rsidRPr="0034779F" w:rsidRDefault="00F03153" w:rsidP="008A6BDD">
            <w:pPr>
              <w:keepNext/>
              <w:keepLines/>
              <w:spacing w:before="0" w:after="0" w:line="240" w:lineRule="auto"/>
              <w:jc w:val="center"/>
            </w:pPr>
            <w:r w:rsidRPr="0034779F">
              <w:t>1.081</w:t>
            </w:r>
          </w:p>
        </w:tc>
      </w:tr>
      <w:tr w:rsidR="00156051" w:rsidRPr="00D05611" w14:paraId="74722025" w14:textId="77777777" w:rsidTr="001760F6">
        <w:trPr>
          <w:jc w:val="center"/>
        </w:trPr>
        <w:tc>
          <w:tcPr>
            <w:cnfStyle w:val="001000000000" w:firstRow="0" w:lastRow="0" w:firstColumn="1" w:lastColumn="0" w:oddVBand="0" w:evenVBand="0" w:oddHBand="0" w:evenHBand="0" w:firstRowFirstColumn="0" w:firstRowLastColumn="0" w:lastRowFirstColumn="0" w:lastRowLastColumn="0"/>
            <w:tcW w:w="1842" w:type="pct"/>
          </w:tcPr>
          <w:p w14:paraId="38C29FA9" w14:textId="77777777" w:rsidR="00F03153" w:rsidRPr="0034779F" w:rsidRDefault="00F03153" w:rsidP="00A14622">
            <w:pPr>
              <w:keepNext/>
              <w:keepLines/>
              <w:spacing w:before="0" w:after="0" w:line="240" w:lineRule="auto"/>
            </w:pPr>
            <w:r w:rsidRPr="0034779F">
              <w:t>Summer Shoulder</w:t>
            </w:r>
          </w:p>
        </w:tc>
        <w:tc>
          <w:tcPr>
            <w:cnfStyle w:val="000010000000" w:firstRow="0" w:lastRow="0" w:firstColumn="0" w:lastColumn="0" w:oddVBand="1" w:evenVBand="0" w:oddHBand="0" w:evenHBand="0" w:firstRowFirstColumn="0" w:firstRowLastColumn="0" w:lastRowFirstColumn="0" w:lastRowLastColumn="0"/>
            <w:tcW w:w="1013" w:type="pct"/>
          </w:tcPr>
          <w:p w14:paraId="1D73D9D5" w14:textId="77777777" w:rsidR="00F03153" w:rsidRPr="00D05611" w:rsidRDefault="00F03153" w:rsidP="008A6BDD">
            <w:pPr>
              <w:keepNext/>
              <w:keepLines/>
              <w:spacing w:before="0" w:after="0" w:line="240" w:lineRule="auto"/>
              <w:jc w:val="center"/>
            </w:pPr>
            <w:r w:rsidRPr="00D05611">
              <w:t>1.073</w:t>
            </w:r>
          </w:p>
        </w:tc>
        <w:tc>
          <w:tcPr>
            <w:tcW w:w="1014" w:type="pct"/>
          </w:tcPr>
          <w:p w14:paraId="00788624" w14:textId="77777777" w:rsidR="00F03153" w:rsidRPr="00D05611" w:rsidRDefault="00F03153"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1.080</w:t>
            </w:r>
          </w:p>
        </w:tc>
        <w:tc>
          <w:tcPr>
            <w:cnfStyle w:val="000010000000" w:firstRow="0" w:lastRow="0" w:firstColumn="0" w:lastColumn="0" w:oddVBand="1" w:evenVBand="0" w:oddHBand="0" w:evenHBand="0" w:firstRowFirstColumn="0" w:firstRowLastColumn="0" w:lastRowFirstColumn="0" w:lastRowLastColumn="0"/>
            <w:tcW w:w="1131" w:type="pct"/>
          </w:tcPr>
          <w:p w14:paraId="2ABECAAD" w14:textId="77777777" w:rsidR="00F03153" w:rsidRPr="0034779F" w:rsidRDefault="00F03153" w:rsidP="008A6BDD">
            <w:pPr>
              <w:keepNext/>
              <w:keepLines/>
              <w:spacing w:before="0" w:after="0" w:line="240" w:lineRule="auto"/>
              <w:jc w:val="center"/>
            </w:pPr>
            <w:r w:rsidRPr="0034779F">
              <w:t>1.077</w:t>
            </w:r>
          </w:p>
        </w:tc>
      </w:tr>
      <w:tr w:rsidR="00156051" w:rsidRPr="00D05611" w14:paraId="561A5FD9" w14:textId="77777777" w:rsidTr="001760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pct"/>
          </w:tcPr>
          <w:p w14:paraId="594813DA" w14:textId="77777777" w:rsidR="00F03153" w:rsidRPr="0034779F" w:rsidRDefault="00F03153" w:rsidP="00A14622">
            <w:pPr>
              <w:keepNext/>
              <w:keepLines/>
              <w:spacing w:before="0" w:after="0" w:line="240" w:lineRule="auto"/>
            </w:pPr>
            <w:r w:rsidRPr="0034779F">
              <w:t>Summer Off-Peak</w:t>
            </w:r>
          </w:p>
        </w:tc>
        <w:tc>
          <w:tcPr>
            <w:cnfStyle w:val="000010000000" w:firstRow="0" w:lastRow="0" w:firstColumn="0" w:lastColumn="0" w:oddVBand="1" w:evenVBand="0" w:oddHBand="0" w:evenHBand="0" w:firstRowFirstColumn="0" w:firstRowLastColumn="0" w:lastRowFirstColumn="0" w:lastRowLastColumn="0"/>
            <w:tcW w:w="1013" w:type="pct"/>
          </w:tcPr>
          <w:p w14:paraId="3D2E83B6" w14:textId="77777777" w:rsidR="00F03153" w:rsidRPr="00D05611" w:rsidRDefault="00F03153" w:rsidP="008A6BDD">
            <w:pPr>
              <w:keepNext/>
              <w:keepLines/>
              <w:spacing w:before="0" w:after="0" w:line="240" w:lineRule="auto"/>
              <w:jc w:val="center"/>
            </w:pPr>
            <w:r w:rsidRPr="00D05611">
              <w:t>1.057</w:t>
            </w:r>
          </w:p>
        </w:tc>
        <w:tc>
          <w:tcPr>
            <w:tcW w:w="1014" w:type="pct"/>
          </w:tcPr>
          <w:p w14:paraId="3C7FBE13" w14:textId="77777777" w:rsidR="00F03153" w:rsidRPr="00D05611" w:rsidRDefault="00F03153"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1.073</w:t>
            </w:r>
          </w:p>
        </w:tc>
        <w:tc>
          <w:tcPr>
            <w:cnfStyle w:val="000010000000" w:firstRow="0" w:lastRow="0" w:firstColumn="0" w:lastColumn="0" w:oddVBand="1" w:evenVBand="0" w:oddHBand="0" w:evenHBand="0" w:firstRowFirstColumn="0" w:firstRowLastColumn="0" w:lastRowFirstColumn="0" w:lastRowLastColumn="0"/>
            <w:tcW w:w="1131" w:type="pct"/>
          </w:tcPr>
          <w:p w14:paraId="0BABBA65" w14:textId="77777777" w:rsidR="00F03153" w:rsidRPr="0034779F" w:rsidRDefault="00F03153" w:rsidP="008A6BDD">
            <w:pPr>
              <w:keepNext/>
              <w:keepLines/>
              <w:spacing w:before="0" w:after="0" w:line="240" w:lineRule="auto"/>
              <w:jc w:val="center"/>
            </w:pPr>
            <w:r w:rsidRPr="0034779F">
              <w:t>1.068</w:t>
            </w:r>
          </w:p>
        </w:tc>
      </w:tr>
      <w:tr w:rsidR="00156051" w:rsidRPr="00D05611" w14:paraId="4C30F633" w14:textId="77777777" w:rsidTr="001760F6">
        <w:trPr>
          <w:jc w:val="center"/>
        </w:trPr>
        <w:tc>
          <w:tcPr>
            <w:cnfStyle w:val="001000000000" w:firstRow="0" w:lastRow="0" w:firstColumn="1" w:lastColumn="0" w:oddVBand="0" w:evenVBand="0" w:oddHBand="0" w:evenHBand="0" w:firstRowFirstColumn="0" w:firstRowLastColumn="0" w:lastRowFirstColumn="0" w:lastRowLastColumn="0"/>
            <w:tcW w:w="1842" w:type="pct"/>
          </w:tcPr>
          <w:p w14:paraId="4CDBF9A6" w14:textId="77777777" w:rsidR="00F03153" w:rsidRPr="0034779F" w:rsidRDefault="00F03153" w:rsidP="00A14622">
            <w:pPr>
              <w:keepNext/>
              <w:keepLines/>
              <w:spacing w:before="0" w:after="0" w:line="240" w:lineRule="auto"/>
            </w:pPr>
            <w:r w:rsidRPr="0034779F">
              <w:t>Winter Peak</w:t>
            </w:r>
          </w:p>
        </w:tc>
        <w:tc>
          <w:tcPr>
            <w:cnfStyle w:val="000010000000" w:firstRow="0" w:lastRow="0" w:firstColumn="0" w:lastColumn="0" w:oddVBand="1" w:evenVBand="0" w:oddHBand="0" w:evenHBand="0" w:firstRowFirstColumn="0" w:firstRowLastColumn="0" w:lastRowFirstColumn="0" w:lastRowLastColumn="0"/>
            <w:tcW w:w="1013" w:type="pct"/>
          </w:tcPr>
          <w:p w14:paraId="2E052BC6" w14:textId="77777777" w:rsidR="00F03153" w:rsidRPr="00D05611" w:rsidRDefault="00F03153" w:rsidP="008A6BDD">
            <w:pPr>
              <w:keepNext/>
              <w:keepLines/>
              <w:spacing w:before="0" w:after="0" w:line="240" w:lineRule="auto"/>
              <w:jc w:val="center"/>
            </w:pPr>
            <w:r w:rsidRPr="25ED4B98">
              <w:t>-</w:t>
            </w:r>
          </w:p>
        </w:tc>
        <w:tc>
          <w:tcPr>
            <w:tcW w:w="1014" w:type="pct"/>
          </w:tcPr>
          <w:p w14:paraId="176D15F0" w14:textId="77777777" w:rsidR="00F03153" w:rsidRPr="00D05611" w:rsidRDefault="00F03153"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25ED4B98">
              <w:t>-</w:t>
            </w:r>
          </w:p>
        </w:tc>
        <w:tc>
          <w:tcPr>
            <w:cnfStyle w:val="000010000000" w:firstRow="0" w:lastRow="0" w:firstColumn="0" w:lastColumn="0" w:oddVBand="1" w:evenVBand="0" w:oddHBand="0" w:evenHBand="0" w:firstRowFirstColumn="0" w:firstRowLastColumn="0" w:lastRowFirstColumn="0" w:lastRowLastColumn="0"/>
            <w:tcW w:w="1131" w:type="pct"/>
          </w:tcPr>
          <w:p w14:paraId="4EEF44D8" w14:textId="77777777" w:rsidR="00F03153" w:rsidRPr="0034779F" w:rsidRDefault="00F03153" w:rsidP="008A6BDD">
            <w:pPr>
              <w:keepNext/>
              <w:keepLines/>
              <w:spacing w:before="0" w:after="0" w:line="240" w:lineRule="auto"/>
              <w:jc w:val="center"/>
            </w:pPr>
            <w:r w:rsidRPr="0034779F">
              <w:t>1.083</w:t>
            </w:r>
          </w:p>
        </w:tc>
      </w:tr>
      <w:tr w:rsidR="00156051" w:rsidRPr="00D05611" w14:paraId="559D3DCA" w14:textId="77777777" w:rsidTr="001760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pct"/>
          </w:tcPr>
          <w:p w14:paraId="0D61D34E" w14:textId="77777777" w:rsidR="00F03153" w:rsidRPr="0034779F" w:rsidRDefault="00F03153" w:rsidP="00A14622">
            <w:pPr>
              <w:keepNext/>
              <w:keepLines/>
              <w:spacing w:before="0" w:after="0" w:line="240" w:lineRule="auto"/>
            </w:pPr>
            <w:r w:rsidRPr="0034779F">
              <w:t>Winter Shoulder</w:t>
            </w:r>
          </w:p>
        </w:tc>
        <w:tc>
          <w:tcPr>
            <w:cnfStyle w:val="000010000000" w:firstRow="0" w:lastRow="0" w:firstColumn="0" w:lastColumn="0" w:oddVBand="1" w:evenVBand="0" w:oddHBand="0" w:evenHBand="0" w:firstRowFirstColumn="0" w:firstRowLastColumn="0" w:lastRowFirstColumn="0" w:lastRowLastColumn="0"/>
            <w:tcW w:w="1013" w:type="pct"/>
          </w:tcPr>
          <w:p w14:paraId="7CF40377" w14:textId="77777777" w:rsidR="00F03153" w:rsidRPr="00D05611" w:rsidRDefault="00F03153" w:rsidP="008A6BDD">
            <w:pPr>
              <w:keepNext/>
              <w:keepLines/>
              <w:spacing w:before="0" w:after="0" w:line="240" w:lineRule="auto"/>
              <w:jc w:val="center"/>
            </w:pPr>
            <w:r w:rsidRPr="00D05611">
              <w:t>1.090</w:t>
            </w:r>
          </w:p>
        </w:tc>
        <w:tc>
          <w:tcPr>
            <w:tcW w:w="1014" w:type="pct"/>
          </w:tcPr>
          <w:p w14:paraId="3835EBE9" w14:textId="77777777" w:rsidR="00F03153" w:rsidRPr="00D05611" w:rsidRDefault="00F03153"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1.077</w:t>
            </w:r>
          </w:p>
        </w:tc>
        <w:tc>
          <w:tcPr>
            <w:cnfStyle w:val="000010000000" w:firstRow="0" w:lastRow="0" w:firstColumn="0" w:lastColumn="0" w:oddVBand="1" w:evenVBand="0" w:oddHBand="0" w:evenHBand="0" w:firstRowFirstColumn="0" w:firstRowLastColumn="0" w:lastRowFirstColumn="0" w:lastRowLastColumn="0"/>
            <w:tcW w:w="1131" w:type="pct"/>
          </w:tcPr>
          <w:p w14:paraId="07A810E8" w14:textId="77777777" w:rsidR="00F03153" w:rsidRPr="0034779F" w:rsidRDefault="00F03153" w:rsidP="008A6BDD">
            <w:pPr>
              <w:keepNext/>
              <w:keepLines/>
              <w:spacing w:before="0" w:after="0" w:line="240" w:lineRule="auto"/>
              <w:jc w:val="center"/>
            </w:pPr>
            <w:r w:rsidRPr="0034779F">
              <w:t>1.076</w:t>
            </w:r>
          </w:p>
        </w:tc>
      </w:tr>
      <w:tr w:rsidR="00156051" w:rsidRPr="00D05611" w14:paraId="0B65190E" w14:textId="77777777" w:rsidTr="001760F6">
        <w:trPr>
          <w:jc w:val="center"/>
        </w:trPr>
        <w:tc>
          <w:tcPr>
            <w:cnfStyle w:val="001000000000" w:firstRow="0" w:lastRow="0" w:firstColumn="1" w:lastColumn="0" w:oddVBand="0" w:evenVBand="0" w:oddHBand="0" w:evenHBand="0" w:firstRowFirstColumn="0" w:firstRowLastColumn="0" w:lastRowFirstColumn="0" w:lastRowLastColumn="0"/>
            <w:tcW w:w="1842" w:type="pct"/>
          </w:tcPr>
          <w:p w14:paraId="0C58605A" w14:textId="77777777" w:rsidR="00F03153" w:rsidRPr="0034779F" w:rsidRDefault="00F03153" w:rsidP="00A14622">
            <w:pPr>
              <w:keepNext/>
              <w:keepLines/>
              <w:spacing w:before="0" w:after="0" w:line="240" w:lineRule="auto"/>
            </w:pPr>
            <w:r w:rsidRPr="0034779F">
              <w:t>Winter Off-Peak</w:t>
            </w:r>
          </w:p>
        </w:tc>
        <w:tc>
          <w:tcPr>
            <w:cnfStyle w:val="000010000000" w:firstRow="0" w:lastRow="0" w:firstColumn="0" w:lastColumn="0" w:oddVBand="1" w:evenVBand="0" w:oddHBand="0" w:evenHBand="0" w:firstRowFirstColumn="0" w:firstRowLastColumn="0" w:lastRowFirstColumn="0" w:lastRowLastColumn="0"/>
            <w:tcW w:w="1013" w:type="pct"/>
          </w:tcPr>
          <w:p w14:paraId="35751ABD" w14:textId="77777777" w:rsidR="00F03153" w:rsidRPr="0034779F" w:rsidRDefault="00F03153" w:rsidP="008A6BDD">
            <w:pPr>
              <w:keepNext/>
              <w:keepLines/>
              <w:spacing w:before="0" w:after="0" w:line="240" w:lineRule="auto"/>
              <w:jc w:val="center"/>
            </w:pPr>
            <w:r w:rsidRPr="0034779F">
              <w:t>1.061</w:t>
            </w:r>
          </w:p>
        </w:tc>
        <w:tc>
          <w:tcPr>
            <w:tcW w:w="1014" w:type="pct"/>
          </w:tcPr>
          <w:p w14:paraId="688F876B" w14:textId="77777777" w:rsidR="00F03153" w:rsidRPr="0034779F" w:rsidRDefault="00F03153"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34779F">
              <w:t>1.070</w:t>
            </w:r>
          </w:p>
        </w:tc>
        <w:tc>
          <w:tcPr>
            <w:cnfStyle w:val="000010000000" w:firstRow="0" w:lastRow="0" w:firstColumn="0" w:lastColumn="0" w:oddVBand="1" w:evenVBand="0" w:oddHBand="0" w:evenHBand="0" w:firstRowFirstColumn="0" w:firstRowLastColumn="0" w:lastRowFirstColumn="0" w:lastRowLastColumn="0"/>
            <w:tcW w:w="1131" w:type="pct"/>
          </w:tcPr>
          <w:p w14:paraId="654B0E01" w14:textId="77777777" w:rsidR="00F03153" w:rsidRPr="0034779F" w:rsidRDefault="00F03153" w:rsidP="008A6BDD">
            <w:pPr>
              <w:keepNext/>
              <w:keepLines/>
              <w:spacing w:before="0" w:after="0" w:line="240" w:lineRule="auto"/>
              <w:jc w:val="center"/>
            </w:pPr>
            <w:r w:rsidRPr="0034779F">
              <w:t>1.068</w:t>
            </w:r>
          </w:p>
        </w:tc>
      </w:tr>
      <w:bookmarkEnd w:id="98"/>
      <w:bookmarkEnd w:id="99"/>
    </w:tbl>
    <w:p w14:paraId="407ED5A6" w14:textId="77777777" w:rsidR="00F03153" w:rsidRDefault="00F03153" w:rsidP="00F03153">
      <w:r>
        <w:br w:type="page"/>
      </w:r>
    </w:p>
    <w:p w14:paraId="5CD7178C" w14:textId="77777777" w:rsidR="00B82BCB" w:rsidRDefault="00B82BCB" w:rsidP="008A6BDD">
      <w:pPr>
        <w:pStyle w:val="Heading2"/>
      </w:pPr>
      <w:bookmarkStart w:id="102" w:name="_Toc271574652"/>
      <w:bookmarkStart w:id="103" w:name="_Toc271575301"/>
      <w:bookmarkStart w:id="104" w:name="_Toc12445858"/>
      <w:r>
        <w:lastRenderedPageBreak/>
        <w:t>Climate Zones</w:t>
      </w:r>
      <w:bookmarkEnd w:id="102"/>
      <w:bookmarkEnd w:id="103"/>
      <w:bookmarkEnd w:id="104"/>
      <w:r>
        <w:t xml:space="preserve"> </w:t>
      </w:r>
    </w:p>
    <w:p w14:paraId="42AF3252" w14:textId="1CB8B6DD" w:rsidR="00B82BCB" w:rsidRDefault="00B82BCB" w:rsidP="00FC5D62">
      <w:r>
        <w:t>In each hour, the value of electricity delivered to the grid depends on the point of delivery. The DG Cost-effectiveness Framework adopts the sixteen California climate zones defined by the Title 24 building standards in order to differentiate between the value of electricity in different regions in the California</w:t>
      </w:r>
      <w:r w:rsidR="005C385F">
        <w:t xml:space="preserve">. </w:t>
      </w:r>
      <w:r>
        <w:t xml:space="preserve">These climate zones group together areas with similar climates, temperature profiles, and energy use patterns in order to differentiate regions in a manner that captures the effects of weather on energy use. </w:t>
      </w:r>
      <w:r>
        <w:fldChar w:fldCharType="begin"/>
      </w:r>
      <w:r>
        <w:instrText xml:space="preserve"> REF _Ref248224774 \h </w:instrText>
      </w:r>
      <w:r w:rsidR="00FC5D62">
        <w:instrText xml:space="preserve"> \* MERGEFORMAT </w:instrText>
      </w:r>
      <w:r>
        <w:fldChar w:fldCharType="separate"/>
      </w:r>
      <w:r w:rsidR="0097492A">
        <w:t xml:space="preserve">Figure </w:t>
      </w:r>
      <w:r w:rsidR="0097492A">
        <w:rPr>
          <w:noProof/>
        </w:rPr>
        <w:t>24</w:t>
      </w:r>
      <w:r>
        <w:fldChar w:fldCharType="end"/>
      </w:r>
      <w:r>
        <w:t xml:space="preserve"> is a map of the climate zones in California.</w:t>
      </w:r>
    </w:p>
    <w:p w14:paraId="562A532C" w14:textId="47360B89" w:rsidR="00B82BCB" w:rsidRPr="00B25020" w:rsidRDefault="00B82BCB" w:rsidP="00087461">
      <w:pPr>
        <w:pStyle w:val="Caption"/>
      </w:pPr>
      <w:bookmarkStart w:id="105" w:name="_Ref248224774"/>
      <w:r>
        <w:lastRenderedPageBreak/>
        <w:t xml:space="preserve">Figure </w:t>
      </w:r>
      <w:r w:rsidR="00813981" w:rsidRPr="008A6BDD">
        <w:fldChar w:fldCharType="begin"/>
      </w:r>
      <w:r w:rsidR="00813981">
        <w:instrText xml:space="preserve"> SEQ Figure \* ARABIC </w:instrText>
      </w:r>
      <w:r w:rsidR="00813981" w:rsidRPr="008A6BDD">
        <w:fldChar w:fldCharType="separate"/>
      </w:r>
      <w:r w:rsidR="0097492A">
        <w:rPr>
          <w:noProof/>
        </w:rPr>
        <w:t>24</w:t>
      </w:r>
      <w:r w:rsidR="00813981" w:rsidRPr="008A6BDD">
        <w:fldChar w:fldCharType="end"/>
      </w:r>
      <w:bookmarkEnd w:id="105"/>
      <w:r>
        <w:t>. California Climate Zones</w:t>
      </w:r>
      <w:r w:rsidR="00F65B87">
        <w:rPr>
          <w:rStyle w:val="FootnoteReference"/>
        </w:rPr>
        <w:footnoteReference w:id="27"/>
      </w:r>
    </w:p>
    <w:p w14:paraId="30C5A197" w14:textId="4C879CBC" w:rsidR="00B82BCB" w:rsidRDefault="007A19C3" w:rsidP="00F65B87">
      <w:pPr>
        <w:pStyle w:val="SeattleBody"/>
        <w:jc w:val="center"/>
      </w:pPr>
      <w:r>
        <w:rPr>
          <w:noProof/>
        </w:rPr>
        <w:drawing>
          <wp:inline distT="0" distB="0" distL="0" distR="0" wp14:anchorId="096CBC94" wp14:editId="602D7FAB">
            <wp:extent cx="3409950" cy="4476750"/>
            <wp:effectExtent l="0" t="0" r="0" b="0"/>
            <wp:docPr id="30" name="Picture 30" descr="map showing climate zones in Cal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p showing climate zones in Cal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09950" cy="4476750"/>
                    </a:xfrm>
                    <a:prstGeom prst="rect">
                      <a:avLst/>
                    </a:prstGeom>
                    <a:noFill/>
                    <a:ln>
                      <a:noFill/>
                    </a:ln>
                  </pic:spPr>
                </pic:pic>
              </a:graphicData>
            </a:graphic>
          </wp:inline>
        </w:drawing>
      </w:r>
    </w:p>
    <w:p w14:paraId="28D4F932" w14:textId="1FE9ABCA" w:rsidR="00B82BCB" w:rsidRDefault="00B82BCB" w:rsidP="000145D0">
      <w:r>
        <w:t>Each climate zone has a representative city, which is specified by the California Energy Commission. Hourly avoided costs are calculated for each climate zone</w:t>
      </w:r>
      <w:r w:rsidR="001C2C48">
        <w:t>,</w:t>
      </w:r>
      <w:r w:rsidR="00BE699E">
        <w:t xml:space="preserve"> using representative cities</w:t>
      </w:r>
      <w:r w:rsidR="001C2C48">
        <w:t xml:space="preserve"> unless weather data is unavailable (in which case weather from a nearby location is </w:t>
      </w:r>
      <w:r w:rsidR="005E58FD">
        <w:t>used instead).</w:t>
      </w:r>
      <w:r w:rsidR="000450DC">
        <w:t xml:space="preserve"> The cities </w:t>
      </w:r>
      <w:r w:rsidR="00160D97">
        <w:t>used for weather data from each climate zone</w:t>
      </w:r>
      <w:r w:rsidR="000450DC">
        <w:t xml:space="preserve"> are listed in </w:t>
      </w:r>
      <w:r w:rsidR="000450DC">
        <w:fldChar w:fldCharType="begin"/>
      </w:r>
      <w:r w:rsidR="000450DC">
        <w:instrText xml:space="preserve"> REF _Ref278711631 \h </w:instrText>
      </w:r>
      <w:r w:rsidR="000450DC">
        <w:fldChar w:fldCharType="separate"/>
      </w:r>
      <w:r w:rsidR="0097492A">
        <w:t xml:space="preserve">Table </w:t>
      </w:r>
      <w:r w:rsidR="0097492A">
        <w:rPr>
          <w:noProof/>
        </w:rPr>
        <w:t>14</w:t>
      </w:r>
      <w:r w:rsidR="000450DC">
        <w:fldChar w:fldCharType="end"/>
      </w:r>
      <w:r w:rsidR="000450DC">
        <w:t>.</w:t>
      </w:r>
    </w:p>
    <w:p w14:paraId="0D68B6C1" w14:textId="77777777" w:rsidR="00B82BCB" w:rsidRDefault="00B82BCB" w:rsidP="000145D0">
      <w:pPr>
        <w:pStyle w:val="SeattleBody"/>
      </w:pPr>
    </w:p>
    <w:p w14:paraId="0537B773" w14:textId="1D334875" w:rsidR="00B82BCB" w:rsidRDefault="00B82BCB" w:rsidP="00087461">
      <w:pPr>
        <w:pStyle w:val="Caption"/>
      </w:pPr>
      <w:bookmarkStart w:id="106" w:name="_Ref278711631"/>
      <w:r>
        <w:lastRenderedPageBreak/>
        <w:t xml:space="preserve">Table </w:t>
      </w:r>
      <w:r w:rsidR="00813981" w:rsidRPr="008A6BDD">
        <w:fldChar w:fldCharType="begin"/>
      </w:r>
      <w:r w:rsidR="00813981">
        <w:instrText xml:space="preserve"> SEQ Table \* ARABIC </w:instrText>
      </w:r>
      <w:r w:rsidR="00813981" w:rsidRPr="008A6BDD">
        <w:fldChar w:fldCharType="separate"/>
      </w:r>
      <w:r w:rsidR="0097492A">
        <w:rPr>
          <w:noProof/>
        </w:rPr>
        <w:t>14</w:t>
      </w:r>
      <w:r w:rsidR="00813981" w:rsidRPr="008A6BDD">
        <w:fldChar w:fldCharType="end"/>
      </w:r>
      <w:bookmarkEnd w:id="106"/>
      <w:r>
        <w:t xml:space="preserve">. </w:t>
      </w:r>
      <w:r w:rsidR="005E58FD">
        <w:t>C</w:t>
      </w:r>
      <w:r>
        <w:t xml:space="preserve">ities and </w:t>
      </w:r>
      <w:r w:rsidR="005E58FD">
        <w:t>U</w:t>
      </w:r>
      <w:r>
        <w:t xml:space="preserve">tilities </w:t>
      </w:r>
      <w:r w:rsidR="0096028A">
        <w:t xml:space="preserve">Used </w:t>
      </w:r>
      <w:r w:rsidR="000C1FB2">
        <w:t xml:space="preserve">to Represent Weather in </w:t>
      </w:r>
      <w:r>
        <w:t xml:space="preserve">the California </w:t>
      </w:r>
      <w:r w:rsidR="000C1FB2">
        <w:t>C</w:t>
      </w:r>
      <w:r>
        <w:t xml:space="preserve">limate </w:t>
      </w:r>
      <w:r w:rsidR="000C1FB2">
        <w:t>Z</w:t>
      </w:r>
      <w:r>
        <w:t>ones.</w:t>
      </w:r>
    </w:p>
    <w:tbl>
      <w:tblPr>
        <w:tblStyle w:val="ListTable3-Accent11"/>
        <w:tblW w:w="8005" w:type="dxa"/>
        <w:jc w:val="center"/>
        <w:tblLayout w:type="fixed"/>
        <w:tblLook w:val="00A0" w:firstRow="1" w:lastRow="0" w:firstColumn="1" w:lastColumn="0" w:noHBand="0" w:noVBand="0"/>
        <w:tblCaption w:val=""/>
        <w:tblDescription w:val=""/>
      </w:tblPr>
      <w:tblGrid>
        <w:gridCol w:w="2055"/>
        <w:gridCol w:w="1990"/>
        <w:gridCol w:w="3960"/>
      </w:tblGrid>
      <w:tr w:rsidR="00B82BCB" w:rsidRPr="00D05611" w14:paraId="56F8DBB7" w14:textId="77777777" w:rsidTr="00964D5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055" w:type="dxa"/>
            <w:tcBorders>
              <w:bottom w:val="none" w:sz="0" w:space="0" w:color="auto"/>
              <w:right w:val="none" w:sz="0" w:space="0" w:color="auto"/>
            </w:tcBorders>
          </w:tcPr>
          <w:p w14:paraId="45856622" w14:textId="77777777" w:rsidR="00B82BCB" w:rsidRPr="00D05611" w:rsidRDefault="00B82BCB" w:rsidP="008A6BDD">
            <w:pPr>
              <w:keepNext/>
              <w:keepLines/>
              <w:spacing w:before="0" w:after="0" w:line="240" w:lineRule="auto"/>
              <w:jc w:val="center"/>
            </w:pPr>
            <w:r w:rsidRPr="00D05611">
              <w:t>Climate Zone</w:t>
            </w:r>
          </w:p>
        </w:tc>
        <w:tc>
          <w:tcPr>
            <w:cnfStyle w:val="000010000000" w:firstRow="0" w:lastRow="0" w:firstColumn="0" w:lastColumn="0" w:oddVBand="1" w:evenVBand="0" w:oddHBand="0" w:evenHBand="0" w:firstRowFirstColumn="0" w:firstRowLastColumn="0" w:lastRowFirstColumn="0" w:lastRowLastColumn="0"/>
            <w:tcW w:w="1990" w:type="dxa"/>
            <w:tcBorders>
              <w:left w:val="none" w:sz="0" w:space="0" w:color="auto"/>
              <w:right w:val="none" w:sz="0" w:space="0" w:color="auto"/>
            </w:tcBorders>
          </w:tcPr>
          <w:p w14:paraId="29ABF866" w14:textId="77777777" w:rsidR="00B82BCB" w:rsidRPr="00D05611" w:rsidRDefault="00B82BCB" w:rsidP="008A6BDD">
            <w:pPr>
              <w:keepNext/>
              <w:keepLines/>
              <w:spacing w:before="0" w:after="0" w:line="240" w:lineRule="auto"/>
              <w:jc w:val="center"/>
            </w:pPr>
            <w:r w:rsidRPr="00D05611">
              <w:t>Utility Territory</w:t>
            </w:r>
          </w:p>
        </w:tc>
        <w:tc>
          <w:tcPr>
            <w:tcW w:w="3960" w:type="dxa"/>
          </w:tcPr>
          <w:p w14:paraId="456536EC" w14:textId="77777777" w:rsidR="00B82BCB" w:rsidRPr="00D05611" w:rsidRDefault="00B82BCB" w:rsidP="008A6BDD">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D05611">
              <w:t>Representative City</w:t>
            </w:r>
          </w:p>
        </w:tc>
      </w:tr>
      <w:tr w:rsidR="00B82BCB" w:rsidRPr="00D05611" w14:paraId="22CDCCF8" w14:textId="77777777" w:rsidTr="00964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5" w:type="dxa"/>
            <w:tcBorders>
              <w:top w:val="none" w:sz="0" w:space="0" w:color="auto"/>
              <w:bottom w:val="none" w:sz="0" w:space="0" w:color="auto"/>
              <w:right w:val="none" w:sz="0" w:space="0" w:color="auto"/>
            </w:tcBorders>
          </w:tcPr>
          <w:p w14:paraId="2411EF79" w14:textId="77777777" w:rsidR="00B82BCB" w:rsidRPr="00D05611" w:rsidRDefault="00B82BCB" w:rsidP="008A6BDD">
            <w:pPr>
              <w:keepNext/>
              <w:keepLines/>
              <w:spacing w:before="0" w:after="0" w:line="240" w:lineRule="auto"/>
              <w:jc w:val="center"/>
            </w:pPr>
            <w:r w:rsidRPr="00D05611">
              <w:t>CEC Zone 1</w:t>
            </w:r>
          </w:p>
        </w:tc>
        <w:tc>
          <w:tcPr>
            <w:cnfStyle w:val="000010000000" w:firstRow="0" w:lastRow="0" w:firstColumn="0" w:lastColumn="0" w:oddVBand="1" w:evenVBand="0" w:oddHBand="0" w:evenHBand="0" w:firstRowFirstColumn="0" w:firstRowLastColumn="0" w:lastRowFirstColumn="0" w:lastRowLastColumn="0"/>
            <w:tcW w:w="1990" w:type="dxa"/>
            <w:tcBorders>
              <w:top w:val="none" w:sz="0" w:space="0" w:color="auto"/>
              <w:left w:val="none" w:sz="0" w:space="0" w:color="auto"/>
              <w:bottom w:val="none" w:sz="0" w:space="0" w:color="auto"/>
              <w:right w:val="none" w:sz="0" w:space="0" w:color="auto"/>
            </w:tcBorders>
          </w:tcPr>
          <w:p w14:paraId="5F1CAF53" w14:textId="77777777" w:rsidR="00B82BCB" w:rsidRPr="00D05611" w:rsidRDefault="00B82BCB" w:rsidP="008A6BDD">
            <w:pPr>
              <w:keepNext/>
              <w:keepLines/>
              <w:spacing w:before="0" w:after="0" w:line="240" w:lineRule="auto"/>
              <w:jc w:val="center"/>
            </w:pPr>
            <w:r w:rsidRPr="00D05611">
              <w:t>PG&amp;E</w:t>
            </w:r>
          </w:p>
        </w:tc>
        <w:tc>
          <w:tcPr>
            <w:tcW w:w="3960" w:type="dxa"/>
            <w:tcBorders>
              <w:top w:val="none" w:sz="0" w:space="0" w:color="auto"/>
              <w:bottom w:val="none" w:sz="0" w:space="0" w:color="auto"/>
            </w:tcBorders>
          </w:tcPr>
          <w:p w14:paraId="6A7EF019"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Arcata</w:t>
            </w:r>
          </w:p>
        </w:tc>
      </w:tr>
      <w:tr w:rsidR="00B82BCB" w:rsidRPr="00D05611" w14:paraId="6F99B94B" w14:textId="77777777" w:rsidTr="00964D51">
        <w:trPr>
          <w:jc w:val="center"/>
        </w:trPr>
        <w:tc>
          <w:tcPr>
            <w:cnfStyle w:val="001000000000" w:firstRow="0" w:lastRow="0" w:firstColumn="1" w:lastColumn="0" w:oddVBand="0" w:evenVBand="0" w:oddHBand="0" w:evenHBand="0" w:firstRowFirstColumn="0" w:firstRowLastColumn="0" w:lastRowFirstColumn="0" w:lastRowLastColumn="0"/>
            <w:tcW w:w="2055" w:type="dxa"/>
            <w:tcBorders>
              <w:right w:val="none" w:sz="0" w:space="0" w:color="auto"/>
            </w:tcBorders>
          </w:tcPr>
          <w:p w14:paraId="4C3D106C" w14:textId="77777777" w:rsidR="00B82BCB" w:rsidRPr="00D05611" w:rsidRDefault="00B82BCB" w:rsidP="008A6BDD">
            <w:pPr>
              <w:keepNext/>
              <w:keepLines/>
              <w:spacing w:before="0" w:after="0" w:line="240" w:lineRule="auto"/>
              <w:jc w:val="center"/>
            </w:pPr>
            <w:r w:rsidRPr="00D05611">
              <w:t>CEC Zone 2</w:t>
            </w:r>
          </w:p>
        </w:tc>
        <w:tc>
          <w:tcPr>
            <w:cnfStyle w:val="000010000000" w:firstRow="0" w:lastRow="0" w:firstColumn="0" w:lastColumn="0" w:oddVBand="1" w:evenVBand="0" w:oddHBand="0" w:evenHBand="0" w:firstRowFirstColumn="0" w:firstRowLastColumn="0" w:lastRowFirstColumn="0" w:lastRowLastColumn="0"/>
            <w:tcW w:w="1990" w:type="dxa"/>
            <w:tcBorders>
              <w:left w:val="none" w:sz="0" w:space="0" w:color="auto"/>
              <w:right w:val="none" w:sz="0" w:space="0" w:color="auto"/>
            </w:tcBorders>
          </w:tcPr>
          <w:p w14:paraId="5DABE044" w14:textId="77777777" w:rsidR="00B82BCB" w:rsidRPr="00D05611" w:rsidRDefault="00B82BCB" w:rsidP="008A6BDD">
            <w:pPr>
              <w:keepNext/>
              <w:keepLines/>
              <w:spacing w:before="0" w:after="0" w:line="240" w:lineRule="auto"/>
              <w:jc w:val="center"/>
            </w:pPr>
            <w:r w:rsidRPr="00D05611">
              <w:t>PG&amp;E</w:t>
            </w:r>
          </w:p>
        </w:tc>
        <w:tc>
          <w:tcPr>
            <w:tcW w:w="3960" w:type="dxa"/>
          </w:tcPr>
          <w:p w14:paraId="25C77329" w14:textId="77777777" w:rsidR="00B82BCB" w:rsidRPr="00D05611" w:rsidRDefault="00B82BCB"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Santa Rosa</w:t>
            </w:r>
          </w:p>
        </w:tc>
      </w:tr>
      <w:tr w:rsidR="00B82BCB" w:rsidRPr="00D05611" w14:paraId="04A499CE" w14:textId="77777777" w:rsidTr="00964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5" w:type="dxa"/>
            <w:tcBorders>
              <w:top w:val="none" w:sz="0" w:space="0" w:color="auto"/>
              <w:bottom w:val="none" w:sz="0" w:space="0" w:color="auto"/>
              <w:right w:val="none" w:sz="0" w:space="0" w:color="auto"/>
            </w:tcBorders>
          </w:tcPr>
          <w:p w14:paraId="7766646F" w14:textId="77777777" w:rsidR="00B82BCB" w:rsidRPr="00D05611" w:rsidRDefault="00B82BCB" w:rsidP="008A6BDD">
            <w:pPr>
              <w:keepNext/>
              <w:keepLines/>
              <w:spacing w:before="0" w:after="0" w:line="240" w:lineRule="auto"/>
              <w:jc w:val="center"/>
            </w:pPr>
            <w:r w:rsidRPr="00D05611">
              <w:t>CEC Zone 3</w:t>
            </w:r>
          </w:p>
        </w:tc>
        <w:tc>
          <w:tcPr>
            <w:cnfStyle w:val="000010000000" w:firstRow="0" w:lastRow="0" w:firstColumn="0" w:lastColumn="0" w:oddVBand="1" w:evenVBand="0" w:oddHBand="0" w:evenHBand="0" w:firstRowFirstColumn="0" w:firstRowLastColumn="0" w:lastRowFirstColumn="0" w:lastRowLastColumn="0"/>
            <w:tcW w:w="1990" w:type="dxa"/>
            <w:tcBorders>
              <w:top w:val="none" w:sz="0" w:space="0" w:color="auto"/>
              <w:left w:val="none" w:sz="0" w:space="0" w:color="auto"/>
              <w:bottom w:val="none" w:sz="0" w:space="0" w:color="auto"/>
              <w:right w:val="none" w:sz="0" w:space="0" w:color="auto"/>
            </w:tcBorders>
          </w:tcPr>
          <w:p w14:paraId="2E27EFA2" w14:textId="77777777" w:rsidR="00B82BCB" w:rsidRPr="00D05611" w:rsidRDefault="00B82BCB" w:rsidP="008A6BDD">
            <w:pPr>
              <w:keepNext/>
              <w:keepLines/>
              <w:spacing w:before="0" w:after="0" w:line="240" w:lineRule="auto"/>
              <w:jc w:val="center"/>
            </w:pPr>
            <w:r w:rsidRPr="00D05611">
              <w:t>PG&amp;E</w:t>
            </w:r>
          </w:p>
        </w:tc>
        <w:tc>
          <w:tcPr>
            <w:tcW w:w="3960" w:type="dxa"/>
            <w:tcBorders>
              <w:top w:val="none" w:sz="0" w:space="0" w:color="auto"/>
              <w:bottom w:val="none" w:sz="0" w:space="0" w:color="auto"/>
            </w:tcBorders>
          </w:tcPr>
          <w:p w14:paraId="4D20F6B0" w14:textId="2D646135" w:rsidR="00B82BCB" w:rsidRPr="00D05611" w:rsidRDefault="00C365E3"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SF Peninsula (SFO)</w:t>
            </w:r>
          </w:p>
        </w:tc>
      </w:tr>
      <w:tr w:rsidR="00B82BCB" w:rsidRPr="00D05611" w14:paraId="5B1C0020" w14:textId="77777777" w:rsidTr="00964D51">
        <w:trPr>
          <w:jc w:val="center"/>
        </w:trPr>
        <w:tc>
          <w:tcPr>
            <w:cnfStyle w:val="001000000000" w:firstRow="0" w:lastRow="0" w:firstColumn="1" w:lastColumn="0" w:oddVBand="0" w:evenVBand="0" w:oddHBand="0" w:evenHBand="0" w:firstRowFirstColumn="0" w:firstRowLastColumn="0" w:lastRowFirstColumn="0" w:lastRowLastColumn="0"/>
            <w:tcW w:w="2055" w:type="dxa"/>
            <w:tcBorders>
              <w:right w:val="none" w:sz="0" w:space="0" w:color="auto"/>
            </w:tcBorders>
          </w:tcPr>
          <w:p w14:paraId="39AD1B79" w14:textId="77777777" w:rsidR="00B82BCB" w:rsidRPr="00D05611" w:rsidRDefault="00B82BCB" w:rsidP="008A6BDD">
            <w:pPr>
              <w:keepNext/>
              <w:keepLines/>
              <w:spacing w:before="0" w:after="0" w:line="240" w:lineRule="auto"/>
              <w:jc w:val="center"/>
            </w:pPr>
            <w:r w:rsidRPr="00D05611">
              <w:t>CEC Zone 4</w:t>
            </w:r>
          </w:p>
        </w:tc>
        <w:tc>
          <w:tcPr>
            <w:cnfStyle w:val="000010000000" w:firstRow="0" w:lastRow="0" w:firstColumn="0" w:lastColumn="0" w:oddVBand="1" w:evenVBand="0" w:oddHBand="0" w:evenHBand="0" w:firstRowFirstColumn="0" w:firstRowLastColumn="0" w:lastRowFirstColumn="0" w:lastRowLastColumn="0"/>
            <w:tcW w:w="1990" w:type="dxa"/>
            <w:tcBorders>
              <w:left w:val="none" w:sz="0" w:space="0" w:color="auto"/>
              <w:right w:val="none" w:sz="0" w:space="0" w:color="auto"/>
            </w:tcBorders>
          </w:tcPr>
          <w:p w14:paraId="4103CE2B" w14:textId="77777777" w:rsidR="00B82BCB" w:rsidRPr="00D05611" w:rsidRDefault="00B82BCB" w:rsidP="008A6BDD">
            <w:pPr>
              <w:keepNext/>
              <w:keepLines/>
              <w:spacing w:before="0" w:after="0" w:line="240" w:lineRule="auto"/>
              <w:jc w:val="center"/>
            </w:pPr>
            <w:r w:rsidRPr="00D05611">
              <w:t>PG&amp;E</w:t>
            </w:r>
          </w:p>
        </w:tc>
        <w:tc>
          <w:tcPr>
            <w:tcW w:w="3960" w:type="dxa"/>
          </w:tcPr>
          <w:p w14:paraId="4A091FF6" w14:textId="564A136F" w:rsidR="00B82BCB" w:rsidRPr="00D05611" w:rsidRDefault="00964D51"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Paso Robles</w:t>
            </w:r>
          </w:p>
        </w:tc>
      </w:tr>
      <w:tr w:rsidR="00B82BCB" w:rsidRPr="00D05611" w14:paraId="28995D1F" w14:textId="77777777" w:rsidTr="00964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5" w:type="dxa"/>
            <w:tcBorders>
              <w:top w:val="none" w:sz="0" w:space="0" w:color="auto"/>
              <w:bottom w:val="none" w:sz="0" w:space="0" w:color="auto"/>
              <w:right w:val="none" w:sz="0" w:space="0" w:color="auto"/>
            </w:tcBorders>
          </w:tcPr>
          <w:p w14:paraId="5C3DAAB5" w14:textId="77777777" w:rsidR="00B82BCB" w:rsidRPr="00D05611" w:rsidRDefault="00B82BCB" w:rsidP="008A6BDD">
            <w:pPr>
              <w:keepNext/>
              <w:keepLines/>
              <w:spacing w:before="0" w:after="0" w:line="240" w:lineRule="auto"/>
              <w:jc w:val="center"/>
            </w:pPr>
            <w:r w:rsidRPr="00D05611">
              <w:t>CEC Zone 5</w:t>
            </w:r>
          </w:p>
        </w:tc>
        <w:tc>
          <w:tcPr>
            <w:cnfStyle w:val="000010000000" w:firstRow="0" w:lastRow="0" w:firstColumn="0" w:lastColumn="0" w:oddVBand="1" w:evenVBand="0" w:oddHBand="0" w:evenHBand="0" w:firstRowFirstColumn="0" w:firstRowLastColumn="0" w:lastRowFirstColumn="0" w:lastRowLastColumn="0"/>
            <w:tcW w:w="1990" w:type="dxa"/>
            <w:tcBorders>
              <w:top w:val="none" w:sz="0" w:space="0" w:color="auto"/>
              <w:left w:val="none" w:sz="0" w:space="0" w:color="auto"/>
              <w:bottom w:val="none" w:sz="0" w:space="0" w:color="auto"/>
              <w:right w:val="none" w:sz="0" w:space="0" w:color="auto"/>
            </w:tcBorders>
          </w:tcPr>
          <w:p w14:paraId="44CACED9" w14:textId="77777777" w:rsidR="00B82BCB" w:rsidRPr="00D05611" w:rsidRDefault="00B82BCB" w:rsidP="008A6BDD">
            <w:pPr>
              <w:keepNext/>
              <w:keepLines/>
              <w:spacing w:before="0" w:after="0" w:line="240" w:lineRule="auto"/>
              <w:jc w:val="center"/>
            </w:pPr>
            <w:r w:rsidRPr="00D05611">
              <w:t>PG&amp;E/SCE</w:t>
            </w:r>
          </w:p>
        </w:tc>
        <w:tc>
          <w:tcPr>
            <w:tcW w:w="3960" w:type="dxa"/>
            <w:tcBorders>
              <w:top w:val="none" w:sz="0" w:space="0" w:color="auto"/>
              <w:bottom w:val="none" w:sz="0" w:space="0" w:color="auto"/>
            </w:tcBorders>
          </w:tcPr>
          <w:p w14:paraId="336E46A8"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Santa Maria</w:t>
            </w:r>
          </w:p>
        </w:tc>
      </w:tr>
      <w:tr w:rsidR="00B82BCB" w:rsidRPr="00D05611" w14:paraId="41D7C1CA" w14:textId="77777777" w:rsidTr="00964D51">
        <w:trPr>
          <w:jc w:val="center"/>
        </w:trPr>
        <w:tc>
          <w:tcPr>
            <w:cnfStyle w:val="001000000000" w:firstRow="0" w:lastRow="0" w:firstColumn="1" w:lastColumn="0" w:oddVBand="0" w:evenVBand="0" w:oddHBand="0" w:evenHBand="0" w:firstRowFirstColumn="0" w:firstRowLastColumn="0" w:lastRowFirstColumn="0" w:lastRowLastColumn="0"/>
            <w:tcW w:w="2055" w:type="dxa"/>
            <w:tcBorders>
              <w:right w:val="none" w:sz="0" w:space="0" w:color="auto"/>
            </w:tcBorders>
          </w:tcPr>
          <w:p w14:paraId="1E9629AF" w14:textId="77777777" w:rsidR="00B82BCB" w:rsidRPr="00D05611" w:rsidRDefault="00B82BCB" w:rsidP="008A6BDD">
            <w:pPr>
              <w:keepNext/>
              <w:keepLines/>
              <w:spacing w:before="0" w:after="0" w:line="240" w:lineRule="auto"/>
              <w:jc w:val="center"/>
            </w:pPr>
            <w:r w:rsidRPr="00D05611">
              <w:t>CEC Zone 6</w:t>
            </w:r>
          </w:p>
        </w:tc>
        <w:tc>
          <w:tcPr>
            <w:cnfStyle w:val="000010000000" w:firstRow="0" w:lastRow="0" w:firstColumn="0" w:lastColumn="0" w:oddVBand="1" w:evenVBand="0" w:oddHBand="0" w:evenHBand="0" w:firstRowFirstColumn="0" w:firstRowLastColumn="0" w:lastRowFirstColumn="0" w:lastRowLastColumn="0"/>
            <w:tcW w:w="1990" w:type="dxa"/>
            <w:tcBorders>
              <w:left w:val="none" w:sz="0" w:space="0" w:color="auto"/>
              <w:right w:val="none" w:sz="0" w:space="0" w:color="auto"/>
            </w:tcBorders>
          </w:tcPr>
          <w:p w14:paraId="01C9D3A1" w14:textId="77777777" w:rsidR="00B82BCB" w:rsidRPr="00D05611" w:rsidRDefault="00B82BCB" w:rsidP="008A6BDD">
            <w:pPr>
              <w:keepNext/>
              <w:keepLines/>
              <w:spacing w:before="0" w:after="0" w:line="240" w:lineRule="auto"/>
              <w:jc w:val="center"/>
            </w:pPr>
            <w:r w:rsidRPr="00D05611">
              <w:t>SCE</w:t>
            </w:r>
          </w:p>
        </w:tc>
        <w:tc>
          <w:tcPr>
            <w:tcW w:w="3960" w:type="dxa"/>
          </w:tcPr>
          <w:p w14:paraId="36C86BAE" w14:textId="09922D15" w:rsidR="00B82BCB" w:rsidRPr="00D05611" w:rsidRDefault="00B82BCB"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Los Angeles</w:t>
            </w:r>
            <w:r w:rsidR="00C365E3">
              <w:t xml:space="preserve"> (LAX)</w:t>
            </w:r>
          </w:p>
        </w:tc>
      </w:tr>
      <w:tr w:rsidR="00B82BCB" w:rsidRPr="00D05611" w14:paraId="5D2C0D02" w14:textId="77777777" w:rsidTr="00964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5" w:type="dxa"/>
            <w:tcBorders>
              <w:top w:val="none" w:sz="0" w:space="0" w:color="auto"/>
              <w:bottom w:val="none" w:sz="0" w:space="0" w:color="auto"/>
              <w:right w:val="none" w:sz="0" w:space="0" w:color="auto"/>
            </w:tcBorders>
          </w:tcPr>
          <w:p w14:paraId="0D32291E" w14:textId="77777777" w:rsidR="00B82BCB" w:rsidRPr="00D05611" w:rsidRDefault="00B82BCB" w:rsidP="008A6BDD">
            <w:pPr>
              <w:keepNext/>
              <w:keepLines/>
              <w:spacing w:before="0" w:after="0" w:line="240" w:lineRule="auto"/>
              <w:jc w:val="center"/>
            </w:pPr>
            <w:r w:rsidRPr="00D05611">
              <w:t>CEC Zone 7</w:t>
            </w:r>
          </w:p>
        </w:tc>
        <w:tc>
          <w:tcPr>
            <w:cnfStyle w:val="000010000000" w:firstRow="0" w:lastRow="0" w:firstColumn="0" w:lastColumn="0" w:oddVBand="1" w:evenVBand="0" w:oddHBand="0" w:evenHBand="0" w:firstRowFirstColumn="0" w:firstRowLastColumn="0" w:lastRowFirstColumn="0" w:lastRowLastColumn="0"/>
            <w:tcW w:w="1990" w:type="dxa"/>
            <w:tcBorders>
              <w:top w:val="none" w:sz="0" w:space="0" w:color="auto"/>
              <w:left w:val="none" w:sz="0" w:space="0" w:color="auto"/>
              <w:bottom w:val="none" w:sz="0" w:space="0" w:color="auto"/>
              <w:right w:val="none" w:sz="0" w:space="0" w:color="auto"/>
            </w:tcBorders>
          </w:tcPr>
          <w:p w14:paraId="5860295B" w14:textId="77777777" w:rsidR="00B82BCB" w:rsidRPr="00D05611" w:rsidRDefault="00B82BCB" w:rsidP="008A6BDD">
            <w:pPr>
              <w:keepNext/>
              <w:keepLines/>
              <w:spacing w:before="0" w:after="0" w:line="240" w:lineRule="auto"/>
              <w:jc w:val="center"/>
            </w:pPr>
            <w:r w:rsidRPr="00D05611">
              <w:t>SDG&amp;E</w:t>
            </w:r>
          </w:p>
        </w:tc>
        <w:tc>
          <w:tcPr>
            <w:tcW w:w="3960" w:type="dxa"/>
            <w:tcBorders>
              <w:top w:val="none" w:sz="0" w:space="0" w:color="auto"/>
              <w:bottom w:val="none" w:sz="0" w:space="0" w:color="auto"/>
            </w:tcBorders>
          </w:tcPr>
          <w:p w14:paraId="7C1F7081"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San Diego</w:t>
            </w:r>
          </w:p>
        </w:tc>
      </w:tr>
      <w:tr w:rsidR="00B82BCB" w:rsidRPr="00D05611" w14:paraId="6BD3C5E4" w14:textId="77777777" w:rsidTr="00964D51">
        <w:trPr>
          <w:jc w:val="center"/>
        </w:trPr>
        <w:tc>
          <w:tcPr>
            <w:cnfStyle w:val="001000000000" w:firstRow="0" w:lastRow="0" w:firstColumn="1" w:lastColumn="0" w:oddVBand="0" w:evenVBand="0" w:oddHBand="0" w:evenHBand="0" w:firstRowFirstColumn="0" w:firstRowLastColumn="0" w:lastRowFirstColumn="0" w:lastRowLastColumn="0"/>
            <w:tcW w:w="2055" w:type="dxa"/>
            <w:tcBorders>
              <w:right w:val="none" w:sz="0" w:space="0" w:color="auto"/>
            </w:tcBorders>
          </w:tcPr>
          <w:p w14:paraId="7DFBE136" w14:textId="77777777" w:rsidR="00B82BCB" w:rsidRPr="00D05611" w:rsidRDefault="00B82BCB" w:rsidP="008A6BDD">
            <w:pPr>
              <w:keepNext/>
              <w:keepLines/>
              <w:spacing w:before="0" w:after="0" w:line="240" w:lineRule="auto"/>
              <w:jc w:val="center"/>
            </w:pPr>
            <w:r w:rsidRPr="00D05611">
              <w:t>CEC Zone 8</w:t>
            </w:r>
          </w:p>
        </w:tc>
        <w:tc>
          <w:tcPr>
            <w:cnfStyle w:val="000010000000" w:firstRow="0" w:lastRow="0" w:firstColumn="0" w:lastColumn="0" w:oddVBand="1" w:evenVBand="0" w:oddHBand="0" w:evenHBand="0" w:firstRowFirstColumn="0" w:firstRowLastColumn="0" w:lastRowFirstColumn="0" w:lastRowLastColumn="0"/>
            <w:tcW w:w="1990" w:type="dxa"/>
            <w:tcBorders>
              <w:left w:val="none" w:sz="0" w:space="0" w:color="auto"/>
              <w:right w:val="none" w:sz="0" w:space="0" w:color="auto"/>
            </w:tcBorders>
          </w:tcPr>
          <w:p w14:paraId="42FBCC81" w14:textId="77777777" w:rsidR="00B82BCB" w:rsidRPr="00D05611" w:rsidRDefault="00B82BCB" w:rsidP="008A6BDD">
            <w:pPr>
              <w:keepNext/>
              <w:keepLines/>
              <w:spacing w:before="0" w:after="0" w:line="240" w:lineRule="auto"/>
              <w:jc w:val="center"/>
            </w:pPr>
            <w:r w:rsidRPr="00D05611">
              <w:t>SCE</w:t>
            </w:r>
          </w:p>
        </w:tc>
        <w:tc>
          <w:tcPr>
            <w:tcW w:w="3960" w:type="dxa"/>
          </w:tcPr>
          <w:p w14:paraId="50E13C51" w14:textId="301E27C7" w:rsidR="00B82BCB" w:rsidRPr="00D05611" w:rsidRDefault="002C3D17"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Long Beach</w:t>
            </w:r>
          </w:p>
        </w:tc>
      </w:tr>
      <w:tr w:rsidR="00B82BCB" w:rsidRPr="00D05611" w14:paraId="4CB68980" w14:textId="77777777" w:rsidTr="00964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5" w:type="dxa"/>
            <w:tcBorders>
              <w:top w:val="none" w:sz="0" w:space="0" w:color="auto"/>
              <w:bottom w:val="none" w:sz="0" w:space="0" w:color="auto"/>
              <w:right w:val="none" w:sz="0" w:space="0" w:color="auto"/>
            </w:tcBorders>
          </w:tcPr>
          <w:p w14:paraId="365BAD32" w14:textId="77777777" w:rsidR="00B82BCB" w:rsidRPr="00D05611" w:rsidRDefault="00B82BCB" w:rsidP="008A6BDD">
            <w:pPr>
              <w:keepNext/>
              <w:keepLines/>
              <w:spacing w:before="0" w:after="0" w:line="240" w:lineRule="auto"/>
              <w:jc w:val="center"/>
            </w:pPr>
            <w:r w:rsidRPr="00D05611">
              <w:t>CEC Zone 9</w:t>
            </w:r>
          </w:p>
        </w:tc>
        <w:tc>
          <w:tcPr>
            <w:cnfStyle w:val="000010000000" w:firstRow="0" w:lastRow="0" w:firstColumn="0" w:lastColumn="0" w:oddVBand="1" w:evenVBand="0" w:oddHBand="0" w:evenHBand="0" w:firstRowFirstColumn="0" w:firstRowLastColumn="0" w:lastRowFirstColumn="0" w:lastRowLastColumn="0"/>
            <w:tcW w:w="1990" w:type="dxa"/>
            <w:tcBorders>
              <w:top w:val="none" w:sz="0" w:space="0" w:color="auto"/>
              <w:left w:val="none" w:sz="0" w:space="0" w:color="auto"/>
              <w:bottom w:val="none" w:sz="0" w:space="0" w:color="auto"/>
              <w:right w:val="none" w:sz="0" w:space="0" w:color="auto"/>
            </w:tcBorders>
          </w:tcPr>
          <w:p w14:paraId="76102A42" w14:textId="77777777" w:rsidR="00B82BCB" w:rsidRPr="00D05611" w:rsidRDefault="00B82BCB" w:rsidP="008A6BDD">
            <w:pPr>
              <w:keepNext/>
              <w:keepLines/>
              <w:spacing w:before="0" w:after="0" w:line="240" w:lineRule="auto"/>
              <w:jc w:val="center"/>
            </w:pPr>
            <w:r w:rsidRPr="00D05611">
              <w:t>SCE</w:t>
            </w:r>
          </w:p>
        </w:tc>
        <w:tc>
          <w:tcPr>
            <w:tcW w:w="3960" w:type="dxa"/>
            <w:tcBorders>
              <w:top w:val="none" w:sz="0" w:space="0" w:color="auto"/>
              <w:bottom w:val="none" w:sz="0" w:space="0" w:color="auto"/>
            </w:tcBorders>
          </w:tcPr>
          <w:p w14:paraId="653210AC" w14:textId="6714A980" w:rsidR="00B82BCB" w:rsidRPr="00D05611" w:rsidRDefault="000450DC"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Downtown LA (USC)</w:t>
            </w:r>
          </w:p>
        </w:tc>
      </w:tr>
      <w:tr w:rsidR="00B82BCB" w:rsidRPr="00D05611" w14:paraId="57721371" w14:textId="77777777" w:rsidTr="00964D51">
        <w:trPr>
          <w:jc w:val="center"/>
        </w:trPr>
        <w:tc>
          <w:tcPr>
            <w:cnfStyle w:val="001000000000" w:firstRow="0" w:lastRow="0" w:firstColumn="1" w:lastColumn="0" w:oddVBand="0" w:evenVBand="0" w:oddHBand="0" w:evenHBand="0" w:firstRowFirstColumn="0" w:firstRowLastColumn="0" w:lastRowFirstColumn="0" w:lastRowLastColumn="0"/>
            <w:tcW w:w="2055" w:type="dxa"/>
            <w:tcBorders>
              <w:right w:val="none" w:sz="0" w:space="0" w:color="auto"/>
            </w:tcBorders>
          </w:tcPr>
          <w:p w14:paraId="11C5C660" w14:textId="77777777" w:rsidR="00B82BCB" w:rsidRPr="00D05611" w:rsidRDefault="00B82BCB" w:rsidP="008A6BDD">
            <w:pPr>
              <w:keepNext/>
              <w:keepLines/>
              <w:spacing w:before="0" w:after="0" w:line="240" w:lineRule="auto"/>
              <w:jc w:val="center"/>
            </w:pPr>
            <w:r w:rsidRPr="00D05611">
              <w:t>CEC Zone 10</w:t>
            </w:r>
          </w:p>
        </w:tc>
        <w:tc>
          <w:tcPr>
            <w:cnfStyle w:val="000010000000" w:firstRow="0" w:lastRow="0" w:firstColumn="0" w:lastColumn="0" w:oddVBand="1" w:evenVBand="0" w:oddHBand="0" w:evenHBand="0" w:firstRowFirstColumn="0" w:firstRowLastColumn="0" w:lastRowFirstColumn="0" w:lastRowLastColumn="0"/>
            <w:tcW w:w="1990" w:type="dxa"/>
            <w:tcBorders>
              <w:left w:val="none" w:sz="0" w:space="0" w:color="auto"/>
              <w:right w:val="none" w:sz="0" w:space="0" w:color="auto"/>
            </w:tcBorders>
          </w:tcPr>
          <w:p w14:paraId="6B58004D" w14:textId="77777777" w:rsidR="00B82BCB" w:rsidRPr="00D05611" w:rsidRDefault="00B82BCB" w:rsidP="008A6BDD">
            <w:pPr>
              <w:keepNext/>
              <w:keepLines/>
              <w:spacing w:before="0" w:after="0" w:line="240" w:lineRule="auto"/>
              <w:jc w:val="center"/>
            </w:pPr>
            <w:r w:rsidRPr="00D05611">
              <w:t>SCE/SDG&amp;E</w:t>
            </w:r>
          </w:p>
        </w:tc>
        <w:tc>
          <w:tcPr>
            <w:tcW w:w="3960" w:type="dxa"/>
          </w:tcPr>
          <w:p w14:paraId="2A10895A" w14:textId="77777777" w:rsidR="00B82BCB" w:rsidRPr="00D05611" w:rsidRDefault="00B82BCB"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Riverside</w:t>
            </w:r>
          </w:p>
        </w:tc>
      </w:tr>
      <w:tr w:rsidR="00B82BCB" w:rsidRPr="00D05611" w14:paraId="2F560CB2" w14:textId="77777777" w:rsidTr="00964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5" w:type="dxa"/>
            <w:tcBorders>
              <w:top w:val="none" w:sz="0" w:space="0" w:color="auto"/>
              <w:bottom w:val="none" w:sz="0" w:space="0" w:color="auto"/>
              <w:right w:val="none" w:sz="0" w:space="0" w:color="auto"/>
            </w:tcBorders>
          </w:tcPr>
          <w:p w14:paraId="4E60B668" w14:textId="77777777" w:rsidR="00B82BCB" w:rsidRPr="00D05611" w:rsidRDefault="00B82BCB" w:rsidP="008A6BDD">
            <w:pPr>
              <w:keepNext/>
              <w:keepLines/>
              <w:spacing w:before="0" w:after="0" w:line="240" w:lineRule="auto"/>
              <w:jc w:val="center"/>
            </w:pPr>
            <w:r w:rsidRPr="00D05611">
              <w:t>CEC Zone 11</w:t>
            </w:r>
          </w:p>
        </w:tc>
        <w:tc>
          <w:tcPr>
            <w:cnfStyle w:val="000010000000" w:firstRow="0" w:lastRow="0" w:firstColumn="0" w:lastColumn="0" w:oddVBand="1" w:evenVBand="0" w:oddHBand="0" w:evenHBand="0" w:firstRowFirstColumn="0" w:firstRowLastColumn="0" w:lastRowFirstColumn="0" w:lastRowLastColumn="0"/>
            <w:tcW w:w="1990" w:type="dxa"/>
            <w:tcBorders>
              <w:top w:val="none" w:sz="0" w:space="0" w:color="auto"/>
              <w:left w:val="none" w:sz="0" w:space="0" w:color="auto"/>
              <w:bottom w:val="none" w:sz="0" w:space="0" w:color="auto"/>
              <w:right w:val="none" w:sz="0" w:space="0" w:color="auto"/>
            </w:tcBorders>
          </w:tcPr>
          <w:p w14:paraId="6F42A43F" w14:textId="77777777" w:rsidR="00B82BCB" w:rsidRPr="00D05611" w:rsidRDefault="00B82BCB" w:rsidP="008A6BDD">
            <w:pPr>
              <w:keepNext/>
              <w:keepLines/>
              <w:spacing w:before="0" w:after="0" w:line="240" w:lineRule="auto"/>
              <w:jc w:val="center"/>
            </w:pPr>
            <w:r w:rsidRPr="00D05611">
              <w:t>PG&amp;E</w:t>
            </w:r>
          </w:p>
        </w:tc>
        <w:tc>
          <w:tcPr>
            <w:tcW w:w="3960" w:type="dxa"/>
            <w:tcBorders>
              <w:top w:val="none" w:sz="0" w:space="0" w:color="auto"/>
              <w:bottom w:val="none" w:sz="0" w:space="0" w:color="auto"/>
            </w:tcBorders>
          </w:tcPr>
          <w:p w14:paraId="6AA3F760"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Red Bluff</w:t>
            </w:r>
          </w:p>
        </w:tc>
      </w:tr>
      <w:tr w:rsidR="00B82BCB" w:rsidRPr="00D05611" w14:paraId="1679BB6C" w14:textId="77777777" w:rsidTr="00964D51">
        <w:trPr>
          <w:jc w:val="center"/>
        </w:trPr>
        <w:tc>
          <w:tcPr>
            <w:cnfStyle w:val="001000000000" w:firstRow="0" w:lastRow="0" w:firstColumn="1" w:lastColumn="0" w:oddVBand="0" w:evenVBand="0" w:oddHBand="0" w:evenHBand="0" w:firstRowFirstColumn="0" w:firstRowLastColumn="0" w:lastRowFirstColumn="0" w:lastRowLastColumn="0"/>
            <w:tcW w:w="2055" w:type="dxa"/>
            <w:tcBorders>
              <w:right w:val="none" w:sz="0" w:space="0" w:color="auto"/>
            </w:tcBorders>
          </w:tcPr>
          <w:p w14:paraId="1331D4F2" w14:textId="77777777" w:rsidR="00B82BCB" w:rsidRPr="00D05611" w:rsidRDefault="00B82BCB" w:rsidP="008A6BDD">
            <w:pPr>
              <w:keepNext/>
              <w:keepLines/>
              <w:spacing w:before="0" w:after="0" w:line="240" w:lineRule="auto"/>
              <w:jc w:val="center"/>
            </w:pPr>
            <w:r w:rsidRPr="00D05611">
              <w:t>CEC Zone 12</w:t>
            </w:r>
          </w:p>
        </w:tc>
        <w:tc>
          <w:tcPr>
            <w:cnfStyle w:val="000010000000" w:firstRow="0" w:lastRow="0" w:firstColumn="0" w:lastColumn="0" w:oddVBand="1" w:evenVBand="0" w:oddHBand="0" w:evenHBand="0" w:firstRowFirstColumn="0" w:firstRowLastColumn="0" w:lastRowFirstColumn="0" w:lastRowLastColumn="0"/>
            <w:tcW w:w="1990" w:type="dxa"/>
            <w:tcBorders>
              <w:left w:val="none" w:sz="0" w:space="0" w:color="auto"/>
              <w:right w:val="none" w:sz="0" w:space="0" w:color="auto"/>
            </w:tcBorders>
          </w:tcPr>
          <w:p w14:paraId="79C2F7F1" w14:textId="77777777" w:rsidR="00B82BCB" w:rsidRPr="00D05611" w:rsidRDefault="00B82BCB" w:rsidP="008A6BDD">
            <w:pPr>
              <w:keepNext/>
              <w:keepLines/>
              <w:spacing w:before="0" w:after="0" w:line="240" w:lineRule="auto"/>
              <w:jc w:val="center"/>
            </w:pPr>
            <w:r w:rsidRPr="00D05611">
              <w:t>PG&amp;E</w:t>
            </w:r>
          </w:p>
        </w:tc>
        <w:tc>
          <w:tcPr>
            <w:tcW w:w="3960" w:type="dxa"/>
          </w:tcPr>
          <w:p w14:paraId="47AEC2F3" w14:textId="77777777" w:rsidR="00B82BCB" w:rsidRPr="00D05611" w:rsidRDefault="00B82BCB"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Sacramento</w:t>
            </w:r>
          </w:p>
        </w:tc>
      </w:tr>
      <w:tr w:rsidR="00B82BCB" w:rsidRPr="00D05611" w14:paraId="29584DE8" w14:textId="77777777" w:rsidTr="00964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5" w:type="dxa"/>
            <w:tcBorders>
              <w:top w:val="none" w:sz="0" w:space="0" w:color="auto"/>
              <w:bottom w:val="none" w:sz="0" w:space="0" w:color="auto"/>
              <w:right w:val="none" w:sz="0" w:space="0" w:color="auto"/>
            </w:tcBorders>
          </w:tcPr>
          <w:p w14:paraId="5717DB3A" w14:textId="77777777" w:rsidR="00B82BCB" w:rsidRPr="00D05611" w:rsidRDefault="00B82BCB" w:rsidP="008A6BDD">
            <w:pPr>
              <w:keepNext/>
              <w:keepLines/>
              <w:spacing w:before="0" w:after="0" w:line="240" w:lineRule="auto"/>
              <w:jc w:val="center"/>
            </w:pPr>
            <w:r w:rsidRPr="00D05611">
              <w:t>CEC Zone 13</w:t>
            </w:r>
          </w:p>
        </w:tc>
        <w:tc>
          <w:tcPr>
            <w:cnfStyle w:val="000010000000" w:firstRow="0" w:lastRow="0" w:firstColumn="0" w:lastColumn="0" w:oddVBand="1" w:evenVBand="0" w:oddHBand="0" w:evenHBand="0" w:firstRowFirstColumn="0" w:firstRowLastColumn="0" w:lastRowFirstColumn="0" w:lastRowLastColumn="0"/>
            <w:tcW w:w="1990" w:type="dxa"/>
            <w:tcBorders>
              <w:top w:val="none" w:sz="0" w:space="0" w:color="auto"/>
              <w:left w:val="none" w:sz="0" w:space="0" w:color="auto"/>
              <w:bottom w:val="none" w:sz="0" w:space="0" w:color="auto"/>
              <w:right w:val="none" w:sz="0" w:space="0" w:color="auto"/>
            </w:tcBorders>
          </w:tcPr>
          <w:p w14:paraId="4942145D" w14:textId="77777777" w:rsidR="00B82BCB" w:rsidRPr="00D05611" w:rsidRDefault="00B82BCB" w:rsidP="008A6BDD">
            <w:pPr>
              <w:keepNext/>
              <w:keepLines/>
              <w:spacing w:before="0" w:after="0" w:line="240" w:lineRule="auto"/>
              <w:jc w:val="center"/>
            </w:pPr>
            <w:r w:rsidRPr="00D05611">
              <w:t>PG&amp;E</w:t>
            </w:r>
          </w:p>
        </w:tc>
        <w:tc>
          <w:tcPr>
            <w:tcW w:w="3960" w:type="dxa"/>
            <w:tcBorders>
              <w:top w:val="none" w:sz="0" w:space="0" w:color="auto"/>
              <w:bottom w:val="none" w:sz="0" w:space="0" w:color="auto"/>
            </w:tcBorders>
          </w:tcPr>
          <w:p w14:paraId="07141AE4"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Fresno</w:t>
            </w:r>
          </w:p>
        </w:tc>
      </w:tr>
      <w:tr w:rsidR="00B82BCB" w:rsidRPr="00D05611" w14:paraId="16625493" w14:textId="77777777" w:rsidTr="00964D51">
        <w:trPr>
          <w:jc w:val="center"/>
        </w:trPr>
        <w:tc>
          <w:tcPr>
            <w:cnfStyle w:val="001000000000" w:firstRow="0" w:lastRow="0" w:firstColumn="1" w:lastColumn="0" w:oddVBand="0" w:evenVBand="0" w:oddHBand="0" w:evenHBand="0" w:firstRowFirstColumn="0" w:firstRowLastColumn="0" w:lastRowFirstColumn="0" w:lastRowLastColumn="0"/>
            <w:tcW w:w="2055" w:type="dxa"/>
            <w:tcBorders>
              <w:right w:val="none" w:sz="0" w:space="0" w:color="auto"/>
            </w:tcBorders>
          </w:tcPr>
          <w:p w14:paraId="3BB19626" w14:textId="77777777" w:rsidR="00B82BCB" w:rsidRPr="00D05611" w:rsidRDefault="00B82BCB" w:rsidP="008A6BDD">
            <w:pPr>
              <w:keepNext/>
              <w:keepLines/>
              <w:spacing w:before="0" w:after="0" w:line="240" w:lineRule="auto"/>
              <w:jc w:val="center"/>
            </w:pPr>
            <w:r w:rsidRPr="00D05611">
              <w:t>CEC Zone 14</w:t>
            </w:r>
          </w:p>
        </w:tc>
        <w:tc>
          <w:tcPr>
            <w:cnfStyle w:val="000010000000" w:firstRow="0" w:lastRow="0" w:firstColumn="0" w:lastColumn="0" w:oddVBand="1" w:evenVBand="0" w:oddHBand="0" w:evenHBand="0" w:firstRowFirstColumn="0" w:firstRowLastColumn="0" w:lastRowFirstColumn="0" w:lastRowLastColumn="0"/>
            <w:tcW w:w="1990" w:type="dxa"/>
            <w:tcBorders>
              <w:left w:val="none" w:sz="0" w:space="0" w:color="auto"/>
              <w:right w:val="none" w:sz="0" w:space="0" w:color="auto"/>
            </w:tcBorders>
          </w:tcPr>
          <w:p w14:paraId="26D9F39E" w14:textId="77777777" w:rsidR="00B82BCB" w:rsidRPr="00D05611" w:rsidRDefault="00B82BCB" w:rsidP="008A6BDD">
            <w:pPr>
              <w:keepNext/>
              <w:keepLines/>
              <w:spacing w:before="0" w:after="0" w:line="240" w:lineRule="auto"/>
              <w:jc w:val="center"/>
            </w:pPr>
            <w:r w:rsidRPr="00D05611">
              <w:t>SCE/SDG&amp;E</w:t>
            </w:r>
          </w:p>
        </w:tc>
        <w:tc>
          <w:tcPr>
            <w:tcW w:w="3960" w:type="dxa"/>
          </w:tcPr>
          <w:p w14:paraId="1263B6A3" w14:textId="77777777" w:rsidR="00B82BCB" w:rsidRPr="00D05611" w:rsidRDefault="00B82BCB"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China Lake</w:t>
            </w:r>
          </w:p>
        </w:tc>
      </w:tr>
      <w:tr w:rsidR="00B82BCB" w:rsidRPr="00D05611" w14:paraId="43D85BF3" w14:textId="77777777" w:rsidTr="00964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5" w:type="dxa"/>
            <w:tcBorders>
              <w:top w:val="none" w:sz="0" w:space="0" w:color="auto"/>
              <w:bottom w:val="none" w:sz="0" w:space="0" w:color="auto"/>
              <w:right w:val="none" w:sz="0" w:space="0" w:color="auto"/>
            </w:tcBorders>
          </w:tcPr>
          <w:p w14:paraId="55533835" w14:textId="77777777" w:rsidR="00B82BCB" w:rsidRPr="00D05611" w:rsidRDefault="00B82BCB" w:rsidP="008A6BDD">
            <w:pPr>
              <w:keepNext/>
              <w:keepLines/>
              <w:spacing w:before="0" w:after="0" w:line="240" w:lineRule="auto"/>
              <w:jc w:val="center"/>
            </w:pPr>
            <w:r w:rsidRPr="00D05611">
              <w:t>CEC Zone 15</w:t>
            </w:r>
          </w:p>
        </w:tc>
        <w:tc>
          <w:tcPr>
            <w:cnfStyle w:val="000010000000" w:firstRow="0" w:lastRow="0" w:firstColumn="0" w:lastColumn="0" w:oddVBand="1" w:evenVBand="0" w:oddHBand="0" w:evenHBand="0" w:firstRowFirstColumn="0" w:firstRowLastColumn="0" w:lastRowFirstColumn="0" w:lastRowLastColumn="0"/>
            <w:tcW w:w="1990" w:type="dxa"/>
            <w:tcBorders>
              <w:top w:val="none" w:sz="0" w:space="0" w:color="auto"/>
              <w:left w:val="none" w:sz="0" w:space="0" w:color="auto"/>
              <w:bottom w:val="none" w:sz="0" w:space="0" w:color="auto"/>
              <w:right w:val="none" w:sz="0" w:space="0" w:color="auto"/>
            </w:tcBorders>
          </w:tcPr>
          <w:p w14:paraId="74A03AEB" w14:textId="77777777" w:rsidR="00B82BCB" w:rsidRPr="00D05611" w:rsidRDefault="00B82BCB" w:rsidP="008A6BDD">
            <w:pPr>
              <w:keepNext/>
              <w:keepLines/>
              <w:spacing w:before="0" w:after="0" w:line="240" w:lineRule="auto"/>
              <w:jc w:val="center"/>
            </w:pPr>
            <w:r w:rsidRPr="00D05611">
              <w:t>SCE/SDG&amp;E</w:t>
            </w:r>
          </w:p>
        </w:tc>
        <w:tc>
          <w:tcPr>
            <w:tcW w:w="3960" w:type="dxa"/>
            <w:tcBorders>
              <w:top w:val="none" w:sz="0" w:space="0" w:color="auto"/>
              <w:bottom w:val="none" w:sz="0" w:space="0" w:color="auto"/>
            </w:tcBorders>
          </w:tcPr>
          <w:p w14:paraId="42013844"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El Centro</w:t>
            </w:r>
          </w:p>
        </w:tc>
      </w:tr>
      <w:tr w:rsidR="00B82BCB" w:rsidRPr="00D05611" w14:paraId="6B38A6B4" w14:textId="77777777" w:rsidTr="00964D51">
        <w:trPr>
          <w:jc w:val="center"/>
        </w:trPr>
        <w:tc>
          <w:tcPr>
            <w:cnfStyle w:val="001000000000" w:firstRow="0" w:lastRow="0" w:firstColumn="1" w:lastColumn="0" w:oddVBand="0" w:evenVBand="0" w:oddHBand="0" w:evenHBand="0" w:firstRowFirstColumn="0" w:firstRowLastColumn="0" w:lastRowFirstColumn="0" w:lastRowLastColumn="0"/>
            <w:tcW w:w="2055" w:type="dxa"/>
            <w:tcBorders>
              <w:right w:val="none" w:sz="0" w:space="0" w:color="auto"/>
            </w:tcBorders>
          </w:tcPr>
          <w:p w14:paraId="5E4C4B8C" w14:textId="77777777" w:rsidR="00B82BCB" w:rsidRPr="00D05611" w:rsidRDefault="00B82BCB" w:rsidP="008A6BDD">
            <w:pPr>
              <w:keepNext/>
              <w:keepLines/>
              <w:spacing w:before="0" w:after="0" w:line="240" w:lineRule="auto"/>
              <w:jc w:val="center"/>
            </w:pPr>
            <w:r w:rsidRPr="00D05611">
              <w:t>CEC Zone 16</w:t>
            </w:r>
          </w:p>
        </w:tc>
        <w:tc>
          <w:tcPr>
            <w:cnfStyle w:val="000010000000" w:firstRow="0" w:lastRow="0" w:firstColumn="0" w:lastColumn="0" w:oddVBand="1" w:evenVBand="0" w:oddHBand="0" w:evenHBand="0" w:firstRowFirstColumn="0" w:firstRowLastColumn="0" w:lastRowFirstColumn="0" w:lastRowLastColumn="0"/>
            <w:tcW w:w="1990" w:type="dxa"/>
            <w:tcBorders>
              <w:left w:val="none" w:sz="0" w:space="0" w:color="auto"/>
              <w:right w:val="none" w:sz="0" w:space="0" w:color="auto"/>
            </w:tcBorders>
          </w:tcPr>
          <w:p w14:paraId="2FFB24A2" w14:textId="77777777" w:rsidR="00B82BCB" w:rsidRPr="00D05611" w:rsidRDefault="00B82BCB" w:rsidP="008A6BDD">
            <w:pPr>
              <w:keepNext/>
              <w:keepLines/>
              <w:spacing w:before="0" w:after="0" w:line="240" w:lineRule="auto"/>
              <w:jc w:val="center"/>
            </w:pPr>
            <w:r w:rsidRPr="00D05611">
              <w:t>PG&amp;E/SCE</w:t>
            </w:r>
          </w:p>
        </w:tc>
        <w:tc>
          <w:tcPr>
            <w:tcW w:w="3960" w:type="dxa"/>
          </w:tcPr>
          <w:p w14:paraId="50B92E79" w14:textId="1E496E8E" w:rsidR="00B82BCB" w:rsidRPr="00D05611" w:rsidRDefault="000450DC"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Bishop</w:t>
            </w:r>
          </w:p>
        </w:tc>
      </w:tr>
    </w:tbl>
    <w:p w14:paraId="776043EB" w14:textId="373CBAB5" w:rsidR="00B82BCB" w:rsidRDefault="00B82BCB" w:rsidP="000145D0">
      <w:pPr>
        <w:pStyle w:val="SeattleBody"/>
      </w:pPr>
    </w:p>
    <w:p w14:paraId="2FD381B4" w14:textId="5874F159" w:rsidR="00DC492E" w:rsidRPr="002E1DAD" w:rsidRDefault="000C7C10" w:rsidP="002E1DAD">
      <w:pPr>
        <w:pStyle w:val="Heading2"/>
      </w:pPr>
      <w:bookmarkStart w:id="107" w:name="_Toc12445859"/>
      <w:r>
        <w:t>T&amp;D Allocation Factors</w:t>
      </w:r>
      <w:bookmarkEnd w:id="107"/>
    </w:p>
    <w:p w14:paraId="75012A43" w14:textId="2531081C" w:rsidR="00AD5BFE" w:rsidRPr="00AD5BFE" w:rsidRDefault="000C7C10" w:rsidP="00AD5BFE">
      <w:r>
        <w:t xml:space="preserve">For a description of the charts, refer to the discussion of </w:t>
      </w:r>
      <w:r w:rsidR="002B3468">
        <w:fldChar w:fldCharType="begin"/>
      </w:r>
      <w:r w:rsidR="002B3468">
        <w:instrText xml:space="preserve"> REF _Ref10615620 \h </w:instrText>
      </w:r>
      <w:r w:rsidR="002B3468">
        <w:fldChar w:fldCharType="separate"/>
      </w:r>
      <w:r w:rsidR="0097492A" w:rsidRPr="002D70BF">
        <w:t xml:space="preserve">Figure </w:t>
      </w:r>
      <w:r w:rsidR="0097492A">
        <w:rPr>
          <w:noProof/>
        </w:rPr>
        <w:t>20</w:t>
      </w:r>
      <w:r w:rsidR="0097492A" w:rsidRPr="63B5EF78">
        <w:t xml:space="preserve">. </w:t>
      </w:r>
      <w:r w:rsidR="0097492A">
        <w:t>Updated T&amp;D Allocation Factors for CZ3 in 2020</w:t>
      </w:r>
      <w:r w:rsidR="002B3468">
        <w:fldChar w:fldCharType="end"/>
      </w:r>
      <w:r w:rsidR="002B3468">
        <w:t xml:space="preserve"> </w:t>
      </w:r>
      <w:r>
        <w:t xml:space="preserve">and </w:t>
      </w:r>
      <w:r w:rsidR="002B3468">
        <w:fldChar w:fldCharType="begin"/>
      </w:r>
      <w:r w:rsidR="002B3468">
        <w:instrText xml:space="preserve"> REF _Ref10615641 \h </w:instrText>
      </w:r>
      <w:r w:rsidR="002B3468">
        <w:fldChar w:fldCharType="separate"/>
      </w:r>
      <w:r w:rsidR="0097492A" w:rsidRPr="00EB036A">
        <w:t xml:space="preserve">Figure </w:t>
      </w:r>
      <w:r w:rsidR="0097492A">
        <w:rPr>
          <w:noProof/>
        </w:rPr>
        <w:t>21</w:t>
      </w:r>
      <w:r w:rsidR="0097492A" w:rsidRPr="00EB036A">
        <w:t xml:space="preserve">. </w:t>
      </w:r>
      <w:r w:rsidR="0097492A">
        <w:t>Updated T&amp;D Allocation Factors for CZ3 in 2030</w:t>
      </w:r>
      <w:r w:rsidR="002B3468">
        <w:fldChar w:fldCharType="end"/>
      </w:r>
      <w:r w:rsidR="002B3468">
        <w:t xml:space="preserve"> </w:t>
      </w:r>
      <w:r w:rsidR="00334F55">
        <w:t>i</w:t>
      </w:r>
      <w:r>
        <w:t>n</w:t>
      </w:r>
      <w:r w:rsidR="002B3468">
        <w:t xml:space="preserve"> Section </w:t>
      </w:r>
      <w:r w:rsidR="002B3468">
        <w:fldChar w:fldCharType="begin"/>
      </w:r>
      <w:r w:rsidR="002B3468">
        <w:instrText xml:space="preserve"> REF _Ref10615569 \r \h </w:instrText>
      </w:r>
      <w:r w:rsidR="002B3468">
        <w:fldChar w:fldCharType="separate"/>
      </w:r>
      <w:r w:rsidR="0097492A">
        <w:t>4.5.1</w:t>
      </w:r>
      <w:r w:rsidR="002B3468">
        <w:fldChar w:fldCharType="end"/>
      </w:r>
      <w:r>
        <w:t>.</w:t>
      </w:r>
    </w:p>
    <w:p w14:paraId="346DEE26" w14:textId="77777777" w:rsidR="00540449" w:rsidRDefault="00540449" w:rsidP="00540449"/>
    <w:p w14:paraId="7855E6F7" w14:textId="77777777" w:rsidR="00540449" w:rsidRDefault="00540449" w:rsidP="00540449">
      <w:r>
        <w:rPr>
          <w:noProof/>
        </w:rPr>
        <w:lastRenderedPageBreak/>
        <w:drawing>
          <wp:inline distT="0" distB="0" distL="0" distR="0" wp14:anchorId="1D365DD3" wp14:editId="49BA3C79">
            <wp:extent cx="2935224" cy="3611880"/>
            <wp:effectExtent l="0" t="0" r="0" b="7620"/>
            <wp:docPr id="35" name="Picture 35">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505"/>
                        </a:ext>
                      </a:extLst>
                    </pic:cNvPicPr>
                  </pic:nvPicPr>
                  <pic:blipFill rotWithShape="1">
                    <a:blip r:embed="rId44"/>
                    <a:srcRect t="34244" r="2168"/>
                    <a:stretch/>
                  </pic:blipFill>
                  <pic:spPr bwMode="auto">
                    <a:xfrm>
                      <a:off x="0" y="0"/>
                      <a:ext cx="2935224" cy="3611880"/>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8AEB91D" wp14:editId="3D2399C6">
            <wp:extent cx="2953512" cy="3611880"/>
            <wp:effectExtent l="0" t="0" r="0" b="7620"/>
            <wp:docPr id="55"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505"/>
                        </a:ext>
                      </a:extLst>
                    </pic:cNvPicPr>
                  </pic:nvPicPr>
                  <pic:blipFill rotWithShape="1">
                    <a:blip r:embed="rId45"/>
                    <a:srcRect t="34244" r="1517"/>
                    <a:stretch/>
                  </pic:blipFill>
                  <pic:spPr bwMode="auto">
                    <a:xfrm>
                      <a:off x="0" y="0"/>
                      <a:ext cx="2953512" cy="3611880"/>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FDBF57A" wp14:editId="44651AD8">
            <wp:extent cx="2944368" cy="3611880"/>
            <wp:effectExtent l="0" t="0" r="8890" b="7620"/>
            <wp:docPr id="358334400"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50"/>
                        </a:ext>
                      </a:extLst>
                    </pic:cNvPicPr>
                  </pic:nvPicPr>
                  <pic:blipFill rotWithShape="1">
                    <a:blip r:embed="rId46"/>
                    <a:srcRect t="34096" r="1527"/>
                    <a:stretch/>
                  </pic:blipFill>
                  <pic:spPr bwMode="auto">
                    <a:xfrm>
                      <a:off x="0" y="0"/>
                      <a:ext cx="2944368" cy="3611880"/>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C39BEB" wp14:editId="6C418333">
            <wp:extent cx="2945920" cy="3633302"/>
            <wp:effectExtent l="0" t="0" r="6985" b="5715"/>
            <wp:docPr id="358334401"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50"/>
                        </a:ext>
                      </a:extLst>
                    </pic:cNvPicPr>
                  </pic:nvPicPr>
                  <pic:blipFill rotWithShape="1">
                    <a:blip r:embed="rId47"/>
                    <a:srcRect t="34096" r="2068"/>
                    <a:stretch/>
                  </pic:blipFill>
                  <pic:spPr bwMode="auto">
                    <a:xfrm>
                      <a:off x="0" y="0"/>
                      <a:ext cx="2950305" cy="3638710"/>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p>
    <w:p w14:paraId="128A96A8" w14:textId="77777777" w:rsidR="00540449" w:rsidRDefault="00540449" w:rsidP="00540449">
      <w:r>
        <w:rPr>
          <w:noProof/>
        </w:rPr>
        <w:lastRenderedPageBreak/>
        <w:drawing>
          <wp:inline distT="0" distB="0" distL="0" distR="0" wp14:anchorId="28532D0C" wp14:editId="19F3E008">
            <wp:extent cx="2916936" cy="3611880"/>
            <wp:effectExtent l="0" t="0" r="0" b="7620"/>
            <wp:docPr id="7"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52"/>
                        </a:ext>
                      </a:extLst>
                    </pic:cNvPicPr>
                  </pic:nvPicPr>
                  <pic:blipFill rotWithShape="1">
                    <a:blip r:embed="rId48"/>
                    <a:srcRect t="34096" r="2338"/>
                    <a:stretch/>
                  </pic:blipFill>
                  <pic:spPr bwMode="auto">
                    <a:xfrm>
                      <a:off x="0" y="0"/>
                      <a:ext cx="2916936" cy="3611880"/>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BE64F00" wp14:editId="0D718068">
            <wp:extent cx="2916936" cy="3602736"/>
            <wp:effectExtent l="0" t="0" r="0" b="0"/>
            <wp:docPr id="8"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52"/>
                        </a:ext>
                      </a:extLst>
                    </pic:cNvPicPr>
                  </pic:nvPicPr>
                  <pic:blipFill rotWithShape="1">
                    <a:blip r:embed="rId49"/>
                    <a:srcRect t="34244" r="2338"/>
                    <a:stretch/>
                  </pic:blipFill>
                  <pic:spPr bwMode="auto">
                    <a:xfrm>
                      <a:off x="0" y="0"/>
                      <a:ext cx="2916936" cy="3602736"/>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p>
    <w:p w14:paraId="69C2677F" w14:textId="77777777" w:rsidR="00540449" w:rsidRDefault="00540449" w:rsidP="00540449">
      <w:r>
        <w:rPr>
          <w:noProof/>
        </w:rPr>
        <w:drawing>
          <wp:inline distT="0" distB="0" distL="0" distR="0" wp14:anchorId="5657BB3F" wp14:editId="7EB732D4">
            <wp:extent cx="2916936" cy="3611880"/>
            <wp:effectExtent l="0" t="0" r="0" b="7620"/>
            <wp:docPr id="358334402"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49"/>
                        </a:ext>
                      </a:extLst>
                    </pic:cNvPicPr>
                  </pic:nvPicPr>
                  <pic:blipFill rotWithShape="1">
                    <a:blip r:embed="rId50"/>
                    <a:srcRect t="34096" r="2338"/>
                    <a:stretch/>
                  </pic:blipFill>
                  <pic:spPr bwMode="auto">
                    <a:xfrm>
                      <a:off x="0" y="0"/>
                      <a:ext cx="2916936" cy="3611880"/>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25F224" wp14:editId="2BC72420">
            <wp:extent cx="2916936" cy="3593592"/>
            <wp:effectExtent l="0" t="0" r="0" b="6985"/>
            <wp:docPr id="358334403"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49"/>
                        </a:ext>
                      </a:extLst>
                    </pic:cNvPicPr>
                  </pic:nvPicPr>
                  <pic:blipFill rotWithShape="1">
                    <a:blip r:embed="rId51"/>
                    <a:srcRect t="34392" r="2338"/>
                    <a:stretch/>
                  </pic:blipFill>
                  <pic:spPr bwMode="auto">
                    <a:xfrm>
                      <a:off x="0" y="0"/>
                      <a:ext cx="2916936" cy="3593592"/>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p>
    <w:p w14:paraId="62096361" w14:textId="77777777" w:rsidR="00540449" w:rsidRDefault="00540449" w:rsidP="00540449">
      <w:r>
        <w:rPr>
          <w:noProof/>
        </w:rPr>
        <w:lastRenderedPageBreak/>
        <w:drawing>
          <wp:inline distT="0" distB="0" distL="0" distR="0" wp14:anchorId="11C19953" wp14:editId="4B23B362">
            <wp:extent cx="2935224" cy="3611880"/>
            <wp:effectExtent l="0" t="0" r="0" b="7620"/>
            <wp:docPr id="358334404"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82"/>
                        </a:ext>
                      </a:extLst>
                    </pic:cNvPicPr>
                  </pic:nvPicPr>
                  <pic:blipFill rotWithShape="1">
                    <a:blip r:embed="rId52"/>
                    <a:srcRect t="34096" r="1797"/>
                    <a:stretch/>
                  </pic:blipFill>
                  <pic:spPr bwMode="auto">
                    <a:xfrm>
                      <a:off x="0" y="0"/>
                      <a:ext cx="2935224" cy="3611880"/>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3A59337" wp14:editId="720D6BEF">
            <wp:extent cx="2935224" cy="3602736"/>
            <wp:effectExtent l="0" t="0" r="0" b="0"/>
            <wp:docPr id="11"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82"/>
                        </a:ext>
                      </a:extLst>
                    </pic:cNvPicPr>
                  </pic:nvPicPr>
                  <pic:blipFill rotWithShape="1">
                    <a:blip r:embed="rId53"/>
                    <a:srcRect t="34244" r="1797"/>
                    <a:stretch/>
                  </pic:blipFill>
                  <pic:spPr bwMode="auto">
                    <a:xfrm>
                      <a:off x="0" y="0"/>
                      <a:ext cx="2935224" cy="3602736"/>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F2B08E" wp14:editId="046BED77">
            <wp:extent cx="2935224" cy="3593592"/>
            <wp:effectExtent l="0" t="0" r="0" b="6985"/>
            <wp:docPr id="358334405"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60"/>
                        </a:ext>
                      </a:extLst>
                    </pic:cNvPicPr>
                  </pic:nvPicPr>
                  <pic:blipFill rotWithShape="1">
                    <a:blip r:embed="rId54"/>
                    <a:srcRect t="34392" r="1797"/>
                    <a:stretch/>
                  </pic:blipFill>
                  <pic:spPr bwMode="auto">
                    <a:xfrm>
                      <a:off x="0" y="0"/>
                      <a:ext cx="2935224" cy="3593592"/>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B819259" wp14:editId="74D828EF">
            <wp:extent cx="2944368" cy="3593592"/>
            <wp:effectExtent l="0" t="0" r="8890" b="6985"/>
            <wp:docPr id="358334406"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60"/>
                        </a:ext>
                      </a:extLst>
                    </pic:cNvPicPr>
                  </pic:nvPicPr>
                  <pic:blipFill rotWithShape="1">
                    <a:blip r:embed="rId55"/>
                    <a:srcRect t="34392" r="1526"/>
                    <a:stretch/>
                  </pic:blipFill>
                  <pic:spPr bwMode="auto">
                    <a:xfrm>
                      <a:off x="0" y="0"/>
                      <a:ext cx="2944368" cy="3593592"/>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3A75967" wp14:editId="661D9291">
            <wp:extent cx="2935224" cy="3611880"/>
            <wp:effectExtent l="0" t="0" r="0" b="7620"/>
            <wp:docPr id="358334407"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84"/>
                        </a:ext>
                      </a:extLst>
                    </pic:cNvPicPr>
                  </pic:nvPicPr>
                  <pic:blipFill rotWithShape="1">
                    <a:blip r:embed="rId56"/>
                    <a:srcRect t="34096" r="1797"/>
                    <a:stretch/>
                  </pic:blipFill>
                  <pic:spPr bwMode="auto">
                    <a:xfrm>
                      <a:off x="0" y="0"/>
                      <a:ext cx="2935224" cy="3611880"/>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78CAFD3" wp14:editId="0B4201C1">
            <wp:extent cx="2935224" cy="3611880"/>
            <wp:effectExtent l="0" t="0" r="0" b="7620"/>
            <wp:docPr id="358334408"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84"/>
                        </a:ext>
                      </a:extLst>
                    </pic:cNvPicPr>
                  </pic:nvPicPr>
                  <pic:blipFill rotWithShape="1">
                    <a:blip r:embed="rId57"/>
                    <a:srcRect t="34096" r="1797"/>
                    <a:stretch/>
                  </pic:blipFill>
                  <pic:spPr bwMode="auto">
                    <a:xfrm>
                      <a:off x="0" y="0"/>
                      <a:ext cx="2935224" cy="3611880"/>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E4A0341" wp14:editId="786BD304">
            <wp:extent cx="2935224" cy="3602736"/>
            <wp:effectExtent l="0" t="0" r="0" b="0"/>
            <wp:docPr id="18"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58"/>
                        </a:ext>
                      </a:extLst>
                    </pic:cNvPicPr>
                  </pic:nvPicPr>
                  <pic:blipFill rotWithShape="1">
                    <a:blip r:embed="rId58"/>
                    <a:srcRect t="34245" r="1786" b="-1"/>
                    <a:stretch/>
                  </pic:blipFill>
                  <pic:spPr bwMode="auto">
                    <a:xfrm>
                      <a:off x="0" y="0"/>
                      <a:ext cx="2935224" cy="3602736"/>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8B2AC6" wp14:editId="04F4E48C">
            <wp:extent cx="2916936" cy="3602736"/>
            <wp:effectExtent l="0" t="0" r="0" b="0"/>
            <wp:docPr id="17"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58"/>
                        </a:ext>
                      </a:extLst>
                    </pic:cNvPicPr>
                  </pic:nvPicPr>
                  <pic:blipFill rotWithShape="1">
                    <a:blip r:embed="rId59"/>
                    <a:srcRect t="34244" r="2338"/>
                    <a:stretch/>
                  </pic:blipFill>
                  <pic:spPr bwMode="auto">
                    <a:xfrm>
                      <a:off x="0" y="0"/>
                      <a:ext cx="2916936" cy="3602736"/>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1F07094" wp14:editId="401BAD91">
            <wp:extent cx="2935224" cy="3611880"/>
            <wp:effectExtent l="0" t="0" r="0" b="7620"/>
            <wp:docPr id="20"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74"/>
                        </a:ext>
                      </a:extLst>
                    </pic:cNvPicPr>
                  </pic:nvPicPr>
                  <pic:blipFill rotWithShape="1">
                    <a:blip r:embed="rId60"/>
                    <a:srcRect t="34096" r="1797"/>
                    <a:stretch/>
                  </pic:blipFill>
                  <pic:spPr bwMode="auto">
                    <a:xfrm>
                      <a:off x="0" y="0"/>
                      <a:ext cx="2935224" cy="3611880"/>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DE5850" wp14:editId="6CEEB739">
            <wp:extent cx="2944368" cy="3593592"/>
            <wp:effectExtent l="0" t="0" r="8890" b="6985"/>
            <wp:docPr id="19"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74"/>
                        </a:ext>
                      </a:extLst>
                    </pic:cNvPicPr>
                  </pic:nvPicPr>
                  <pic:blipFill rotWithShape="1">
                    <a:blip r:embed="rId61"/>
                    <a:srcRect t="34392" r="1526"/>
                    <a:stretch/>
                  </pic:blipFill>
                  <pic:spPr bwMode="auto">
                    <a:xfrm>
                      <a:off x="0" y="0"/>
                      <a:ext cx="2944368" cy="3593592"/>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F7EE76" wp14:editId="6E83E155">
            <wp:extent cx="2926080" cy="3611880"/>
            <wp:effectExtent l="0" t="0" r="7620" b="7620"/>
            <wp:docPr id="22"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86"/>
                        </a:ext>
                      </a:extLst>
                    </pic:cNvPicPr>
                  </pic:nvPicPr>
                  <pic:blipFill rotWithShape="1">
                    <a:blip r:embed="rId62"/>
                    <a:srcRect t="34096" r="2068"/>
                    <a:stretch/>
                  </pic:blipFill>
                  <pic:spPr bwMode="auto">
                    <a:xfrm>
                      <a:off x="0" y="0"/>
                      <a:ext cx="2926080" cy="3611880"/>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686A1F" wp14:editId="44BC04FF">
            <wp:extent cx="2944368" cy="3602736"/>
            <wp:effectExtent l="0" t="0" r="8890" b="0"/>
            <wp:docPr id="21"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86"/>
                        </a:ext>
                      </a:extLst>
                    </pic:cNvPicPr>
                  </pic:nvPicPr>
                  <pic:blipFill rotWithShape="1">
                    <a:blip r:embed="rId63"/>
                    <a:srcRect t="34244" r="1527"/>
                    <a:stretch/>
                  </pic:blipFill>
                  <pic:spPr bwMode="auto">
                    <a:xfrm>
                      <a:off x="0" y="0"/>
                      <a:ext cx="2944368" cy="3602736"/>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C188D64" wp14:editId="54F51E9A">
            <wp:extent cx="2944368" cy="3611880"/>
            <wp:effectExtent l="0" t="0" r="8890" b="7620"/>
            <wp:docPr id="24"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a:ext>
                      </a:extLst>
                    </pic:cNvPicPr>
                  </pic:nvPicPr>
                  <pic:blipFill rotWithShape="1">
                    <a:blip r:embed="rId64"/>
                    <a:srcRect t="34096" r="1527"/>
                    <a:stretch/>
                  </pic:blipFill>
                  <pic:spPr bwMode="auto">
                    <a:xfrm>
                      <a:off x="0" y="0"/>
                      <a:ext cx="2944368" cy="3611880"/>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AA3DBBA" wp14:editId="5B3149FB">
            <wp:extent cx="2953512" cy="3611880"/>
            <wp:effectExtent l="0" t="0" r="0" b="7620"/>
            <wp:docPr id="23"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a:ext>
                      </a:extLst>
                    </pic:cNvPicPr>
                  </pic:nvPicPr>
                  <pic:blipFill rotWithShape="1">
                    <a:blip r:embed="rId65"/>
                    <a:srcRect t="34096" r="1256"/>
                    <a:stretch/>
                  </pic:blipFill>
                  <pic:spPr bwMode="auto">
                    <a:xfrm>
                      <a:off x="0" y="0"/>
                      <a:ext cx="2953512" cy="3611880"/>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F0131B" wp14:editId="71199C04">
            <wp:extent cx="2916936" cy="3602736"/>
            <wp:effectExtent l="0" t="0" r="0" b="0"/>
            <wp:docPr id="26"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60"/>
                        </a:ext>
                      </a:extLst>
                    </pic:cNvPicPr>
                  </pic:nvPicPr>
                  <pic:blipFill rotWithShape="1">
                    <a:blip r:embed="rId66"/>
                    <a:srcRect t="34242" r="1853"/>
                    <a:stretch/>
                  </pic:blipFill>
                  <pic:spPr bwMode="auto">
                    <a:xfrm>
                      <a:off x="0" y="0"/>
                      <a:ext cx="2916936" cy="3602736"/>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E8341E8" wp14:editId="0C84563F">
            <wp:extent cx="2926080" cy="3602736"/>
            <wp:effectExtent l="0" t="0" r="7620" b="0"/>
            <wp:docPr id="25"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60"/>
                        </a:ext>
                      </a:extLst>
                    </pic:cNvPicPr>
                  </pic:nvPicPr>
                  <pic:blipFill rotWithShape="1">
                    <a:blip r:embed="rId67"/>
                    <a:srcRect t="34242" r="1309"/>
                    <a:stretch/>
                  </pic:blipFill>
                  <pic:spPr bwMode="auto">
                    <a:xfrm>
                      <a:off x="0" y="0"/>
                      <a:ext cx="2926080" cy="3602736"/>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BED7731" wp14:editId="70027780">
            <wp:extent cx="2944368" cy="3593592"/>
            <wp:effectExtent l="0" t="0" r="8890" b="6985"/>
            <wp:docPr id="28"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72"/>
                        </a:ext>
                      </a:extLst>
                    </pic:cNvPicPr>
                  </pic:nvPicPr>
                  <pic:blipFill rotWithShape="1">
                    <a:blip r:embed="rId68"/>
                    <a:srcRect t="34392" r="1526"/>
                    <a:stretch/>
                  </pic:blipFill>
                  <pic:spPr bwMode="auto">
                    <a:xfrm>
                      <a:off x="0" y="0"/>
                      <a:ext cx="2944368" cy="3593592"/>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AF6E80" wp14:editId="4A2EE7DC">
            <wp:extent cx="2944368" cy="3602736"/>
            <wp:effectExtent l="0" t="0" r="8890" b="0"/>
            <wp:docPr id="27"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72"/>
                        </a:ext>
                      </a:extLst>
                    </pic:cNvPicPr>
                  </pic:nvPicPr>
                  <pic:blipFill rotWithShape="1">
                    <a:blip r:embed="rId69"/>
                    <a:srcRect t="34244" r="1527"/>
                    <a:stretch/>
                  </pic:blipFill>
                  <pic:spPr bwMode="auto">
                    <a:xfrm>
                      <a:off x="0" y="0"/>
                      <a:ext cx="2944368" cy="3602736"/>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81C814" wp14:editId="01E562FD">
            <wp:extent cx="2916936" cy="3602736"/>
            <wp:effectExtent l="0" t="0" r="0" b="0"/>
            <wp:docPr id="358334409"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74"/>
                        </a:ext>
                      </a:extLst>
                    </pic:cNvPicPr>
                  </pic:nvPicPr>
                  <pic:blipFill rotWithShape="1">
                    <a:blip r:embed="rId70"/>
                    <a:srcRect t="34244" r="2338"/>
                    <a:stretch/>
                  </pic:blipFill>
                  <pic:spPr bwMode="auto">
                    <a:xfrm>
                      <a:off x="0" y="0"/>
                      <a:ext cx="2916936" cy="3602736"/>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8132E78" wp14:editId="72EA9207">
            <wp:extent cx="2916936" cy="3593592"/>
            <wp:effectExtent l="0" t="0" r="0" b="6985"/>
            <wp:docPr id="29"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74"/>
                        </a:ext>
                      </a:extLst>
                    </pic:cNvPicPr>
                  </pic:nvPicPr>
                  <pic:blipFill rotWithShape="1">
                    <a:blip r:embed="rId71"/>
                    <a:srcRect t="34392" r="2338"/>
                    <a:stretch/>
                  </pic:blipFill>
                  <pic:spPr bwMode="auto">
                    <a:xfrm>
                      <a:off x="0" y="0"/>
                      <a:ext cx="2916936" cy="3593592"/>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BF0FE9F" wp14:editId="5764D8C6">
            <wp:extent cx="2935224" cy="3611880"/>
            <wp:effectExtent l="0" t="0" r="0" b="7620"/>
            <wp:docPr id="32"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64"/>
                        </a:ext>
                      </a:extLst>
                    </pic:cNvPicPr>
                  </pic:nvPicPr>
                  <pic:blipFill rotWithShape="1">
                    <a:blip r:embed="rId72"/>
                    <a:srcRect t="34096" r="1797"/>
                    <a:stretch/>
                  </pic:blipFill>
                  <pic:spPr bwMode="auto">
                    <a:xfrm>
                      <a:off x="0" y="0"/>
                      <a:ext cx="2935224" cy="3611880"/>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2DD1AEA" wp14:editId="075E6DEF">
            <wp:extent cx="2944368" cy="3593592"/>
            <wp:effectExtent l="0" t="0" r="8890" b="6985"/>
            <wp:docPr id="31"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64"/>
                        </a:ext>
                      </a:extLst>
                    </pic:cNvPicPr>
                  </pic:nvPicPr>
                  <pic:blipFill rotWithShape="1">
                    <a:blip r:embed="rId73"/>
                    <a:srcRect t="34392" r="1526"/>
                    <a:stretch/>
                  </pic:blipFill>
                  <pic:spPr bwMode="auto">
                    <a:xfrm>
                      <a:off x="0" y="0"/>
                      <a:ext cx="2944368" cy="3593592"/>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AC2504" wp14:editId="0314F754">
            <wp:extent cx="2916936" cy="3602736"/>
            <wp:effectExtent l="0" t="0" r="0" b="0"/>
            <wp:docPr id="34"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80"/>
                        </a:ext>
                      </a:extLst>
                    </pic:cNvPicPr>
                  </pic:nvPicPr>
                  <pic:blipFill rotWithShape="1">
                    <a:blip r:embed="rId74"/>
                    <a:srcRect t="34244" r="2338"/>
                    <a:stretch/>
                  </pic:blipFill>
                  <pic:spPr bwMode="auto">
                    <a:xfrm>
                      <a:off x="0" y="0"/>
                      <a:ext cx="2916936" cy="3602736"/>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610211" wp14:editId="62993AFD">
            <wp:extent cx="2944368" cy="3611880"/>
            <wp:effectExtent l="0" t="0" r="8890" b="7620"/>
            <wp:docPr id="33"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Results!$CS$7:$CZ$51" spid="_x0000_s7480"/>
                        </a:ext>
                      </a:extLst>
                    </pic:cNvPicPr>
                  </pic:nvPicPr>
                  <pic:blipFill rotWithShape="1">
                    <a:blip r:embed="rId75"/>
                    <a:srcRect t="34096" r="1527"/>
                    <a:stretch/>
                  </pic:blipFill>
                  <pic:spPr bwMode="auto">
                    <a:xfrm>
                      <a:off x="0" y="0"/>
                      <a:ext cx="2944368" cy="3611880"/>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inline>
        </w:drawing>
      </w:r>
    </w:p>
    <w:p w14:paraId="2A0760FB" w14:textId="77777777" w:rsidR="004602D4" w:rsidRDefault="004602D4" w:rsidP="004602D4"/>
    <w:p w14:paraId="09D9E419" w14:textId="2AA0765F" w:rsidR="007876A4" w:rsidRDefault="00DC492E" w:rsidP="008A6BDD">
      <w:pPr>
        <w:pStyle w:val="Caption"/>
      </w:pPr>
      <w:r>
        <w:t xml:space="preserve">Table </w:t>
      </w:r>
      <w:r w:rsidR="00D22C95">
        <w:rPr>
          <w:noProof/>
        </w:rPr>
        <w:fldChar w:fldCharType="begin"/>
      </w:r>
      <w:r w:rsidR="00D22C95">
        <w:rPr>
          <w:noProof/>
        </w:rPr>
        <w:instrText xml:space="preserve"> SEQ Table \* ARABIC </w:instrText>
      </w:r>
      <w:r w:rsidR="00D22C95">
        <w:rPr>
          <w:noProof/>
        </w:rPr>
        <w:fldChar w:fldCharType="separate"/>
      </w:r>
      <w:r w:rsidR="0097492A">
        <w:rPr>
          <w:noProof/>
        </w:rPr>
        <w:t>15</w:t>
      </w:r>
      <w:r w:rsidR="00D22C95">
        <w:rPr>
          <w:noProof/>
        </w:rPr>
        <w:fldChar w:fldCharType="end"/>
      </w:r>
      <w:r>
        <w:t>:  Distribution Demand Regression Variables</w:t>
      </w:r>
    </w:p>
    <w:p w14:paraId="6943F5A0" w14:textId="5D0E54D9" w:rsidR="00DC492E" w:rsidRDefault="00DC492E" w:rsidP="008A6BDD">
      <w:pPr>
        <w:pStyle w:val="Caption"/>
      </w:pPr>
      <w:r w:rsidRPr="00DC492E">
        <w:rPr>
          <w:noProof/>
        </w:rPr>
        <w:drawing>
          <wp:inline distT="0" distB="0" distL="0" distR="0" wp14:anchorId="6DCB6E2D" wp14:editId="1FD760F1">
            <wp:extent cx="5942138" cy="4645152"/>
            <wp:effectExtent l="0" t="0" r="190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2138" cy="4645152"/>
                    </a:xfrm>
                    <a:prstGeom prst="rect">
                      <a:avLst/>
                    </a:prstGeom>
                    <a:noFill/>
                    <a:ln>
                      <a:noFill/>
                    </a:ln>
                  </pic:spPr>
                </pic:pic>
              </a:graphicData>
            </a:graphic>
          </wp:inline>
        </w:drawing>
      </w:r>
    </w:p>
    <w:p w14:paraId="4F38DE0C" w14:textId="31651ECB" w:rsidR="00C920DD" w:rsidRDefault="00C920DD" w:rsidP="008A6BDD"/>
    <w:p w14:paraId="0F5B2299" w14:textId="72699D7C" w:rsidR="00C920DD" w:rsidRDefault="00C920DD" w:rsidP="008A6BDD">
      <w:pPr>
        <w:pStyle w:val="Caption"/>
      </w:pPr>
      <w:r>
        <w:lastRenderedPageBreak/>
        <w:t xml:space="preserve">Table </w:t>
      </w:r>
      <w:r w:rsidR="00D22C95">
        <w:rPr>
          <w:noProof/>
        </w:rPr>
        <w:fldChar w:fldCharType="begin"/>
      </w:r>
      <w:r w:rsidR="00D22C95">
        <w:rPr>
          <w:noProof/>
        </w:rPr>
        <w:instrText xml:space="preserve"> SEQ Table \* ARABIC </w:instrText>
      </w:r>
      <w:r w:rsidR="00D22C95">
        <w:rPr>
          <w:noProof/>
        </w:rPr>
        <w:fldChar w:fldCharType="separate"/>
      </w:r>
      <w:r w:rsidR="0097492A">
        <w:rPr>
          <w:noProof/>
        </w:rPr>
        <w:t>16</w:t>
      </w:r>
      <w:r w:rsidR="00D22C95">
        <w:rPr>
          <w:noProof/>
        </w:rPr>
        <w:fldChar w:fldCharType="end"/>
      </w:r>
      <w:r>
        <w:t>:  Distribution Demand Regression Model Fit</w:t>
      </w:r>
    </w:p>
    <w:tbl>
      <w:tblPr>
        <w:tblStyle w:val="ListTable3-Accent11"/>
        <w:tblW w:w="4410" w:type="dxa"/>
        <w:jc w:val="center"/>
        <w:tblLayout w:type="fixed"/>
        <w:tblLook w:val="00A0" w:firstRow="1" w:lastRow="0" w:firstColumn="1" w:lastColumn="0" w:noHBand="0" w:noVBand="0"/>
        <w:tblCaption w:val=""/>
        <w:tblDescription w:val=""/>
      </w:tblPr>
      <w:tblGrid>
        <w:gridCol w:w="2055"/>
        <w:gridCol w:w="2355"/>
      </w:tblGrid>
      <w:tr w:rsidR="00C53570" w:rsidRPr="00D05611" w14:paraId="37C61093" w14:textId="77777777" w:rsidTr="00FA153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055" w:type="dxa"/>
          </w:tcPr>
          <w:p w14:paraId="503E9C91" w14:textId="77777777" w:rsidR="00C53570" w:rsidRPr="00D05611" w:rsidRDefault="00C53570" w:rsidP="00FA153F">
            <w:pPr>
              <w:keepNext/>
              <w:keepLines/>
              <w:spacing w:before="0" w:after="0" w:line="240" w:lineRule="auto"/>
              <w:jc w:val="center"/>
            </w:pPr>
            <w:r w:rsidRPr="00D05611">
              <w:t>Climate Zone</w:t>
            </w:r>
          </w:p>
        </w:tc>
        <w:tc>
          <w:tcPr>
            <w:cnfStyle w:val="000010000000" w:firstRow="0" w:lastRow="0" w:firstColumn="0" w:lastColumn="0" w:oddVBand="1" w:evenVBand="0" w:oddHBand="0" w:evenHBand="0" w:firstRowFirstColumn="0" w:firstRowLastColumn="0" w:lastRowFirstColumn="0" w:lastRowLastColumn="0"/>
            <w:tcW w:w="2355" w:type="dxa"/>
          </w:tcPr>
          <w:p w14:paraId="0D0945C3" w14:textId="77777777" w:rsidR="00C53570" w:rsidRPr="000C1FB2" w:rsidRDefault="00C53570" w:rsidP="00FA153F">
            <w:pPr>
              <w:keepNext/>
              <w:keepLines/>
              <w:spacing w:before="0" w:after="0" w:line="240" w:lineRule="auto"/>
              <w:jc w:val="center"/>
              <w:rPr>
                <w:b w:val="0"/>
                <w:bCs w:val="0"/>
              </w:rPr>
            </w:pPr>
            <w:r w:rsidRPr="000C1FB2">
              <w:rPr>
                <w:b w:val="0"/>
                <w:bCs w:val="0"/>
              </w:rPr>
              <w:t>Model Fit</w:t>
            </w:r>
          </w:p>
        </w:tc>
      </w:tr>
      <w:tr w:rsidR="00C53570" w:rsidRPr="000C1FB2" w14:paraId="0051FA4C" w14:textId="77777777" w:rsidTr="00FA15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5" w:type="dxa"/>
          </w:tcPr>
          <w:p w14:paraId="44769CDC" w14:textId="77777777" w:rsidR="00C53570" w:rsidRPr="000C1FB2" w:rsidRDefault="00C53570" w:rsidP="00FA153F">
            <w:pPr>
              <w:keepNext/>
              <w:keepLines/>
              <w:spacing w:before="0" w:after="0" w:line="240" w:lineRule="auto"/>
              <w:jc w:val="center"/>
              <w:rPr>
                <w:b w:val="0"/>
                <w:bCs w:val="0"/>
              </w:rPr>
            </w:pPr>
            <w:r w:rsidRPr="000C1FB2">
              <w:rPr>
                <w:b w:val="0"/>
                <w:bCs w:val="0"/>
              </w:rPr>
              <w:t>CEC Zone 1</w:t>
            </w:r>
          </w:p>
        </w:tc>
        <w:tc>
          <w:tcPr>
            <w:cnfStyle w:val="000010000000" w:firstRow="0" w:lastRow="0" w:firstColumn="0" w:lastColumn="0" w:oddVBand="1" w:evenVBand="0" w:oddHBand="0" w:evenHBand="0" w:firstRowFirstColumn="0" w:firstRowLastColumn="0" w:lastRowFirstColumn="0" w:lastRowLastColumn="0"/>
            <w:tcW w:w="2355" w:type="dxa"/>
          </w:tcPr>
          <w:p w14:paraId="156C8C60" w14:textId="77777777" w:rsidR="00C53570" w:rsidRPr="000C1FB2" w:rsidRDefault="00C53570" w:rsidP="00FA153F">
            <w:pPr>
              <w:keepNext/>
              <w:keepLines/>
              <w:spacing w:before="0" w:after="0" w:line="240" w:lineRule="auto"/>
              <w:jc w:val="center"/>
            </w:pPr>
            <w:r>
              <w:t>Used CZ3</w:t>
            </w:r>
          </w:p>
        </w:tc>
      </w:tr>
      <w:tr w:rsidR="00C53570" w:rsidRPr="000C1FB2" w14:paraId="32E48B3D" w14:textId="77777777" w:rsidTr="00FA153F">
        <w:trPr>
          <w:jc w:val="center"/>
        </w:trPr>
        <w:tc>
          <w:tcPr>
            <w:cnfStyle w:val="001000000000" w:firstRow="0" w:lastRow="0" w:firstColumn="1" w:lastColumn="0" w:oddVBand="0" w:evenVBand="0" w:oddHBand="0" w:evenHBand="0" w:firstRowFirstColumn="0" w:firstRowLastColumn="0" w:lastRowFirstColumn="0" w:lastRowLastColumn="0"/>
            <w:tcW w:w="2055" w:type="dxa"/>
          </w:tcPr>
          <w:p w14:paraId="63FBEAA8" w14:textId="77777777" w:rsidR="00C53570" w:rsidRPr="000C1FB2" w:rsidRDefault="00C53570" w:rsidP="00FA153F">
            <w:pPr>
              <w:keepNext/>
              <w:keepLines/>
              <w:spacing w:before="0" w:after="0" w:line="240" w:lineRule="auto"/>
              <w:jc w:val="center"/>
              <w:rPr>
                <w:b w:val="0"/>
                <w:bCs w:val="0"/>
              </w:rPr>
            </w:pPr>
            <w:r w:rsidRPr="000C1FB2">
              <w:rPr>
                <w:b w:val="0"/>
                <w:bCs w:val="0"/>
              </w:rPr>
              <w:t>CEC Zone 2</w:t>
            </w:r>
          </w:p>
        </w:tc>
        <w:tc>
          <w:tcPr>
            <w:cnfStyle w:val="000010000000" w:firstRow="0" w:lastRow="0" w:firstColumn="0" w:lastColumn="0" w:oddVBand="1" w:evenVBand="0" w:oddHBand="0" w:evenHBand="0" w:firstRowFirstColumn="0" w:firstRowLastColumn="0" w:lastRowFirstColumn="0" w:lastRowLastColumn="0"/>
            <w:tcW w:w="2355" w:type="dxa"/>
          </w:tcPr>
          <w:p w14:paraId="52661FF3" w14:textId="77777777" w:rsidR="00C53570" w:rsidRPr="000C1FB2" w:rsidRDefault="00C53570" w:rsidP="00FA153F">
            <w:pPr>
              <w:keepNext/>
              <w:keepLines/>
              <w:spacing w:before="0" w:after="0" w:line="240" w:lineRule="auto"/>
              <w:jc w:val="center"/>
            </w:pPr>
            <w:r>
              <w:t>91.9%</w:t>
            </w:r>
          </w:p>
        </w:tc>
      </w:tr>
      <w:tr w:rsidR="00C53570" w:rsidRPr="000C1FB2" w14:paraId="59528A56" w14:textId="77777777" w:rsidTr="00FA15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5" w:type="dxa"/>
          </w:tcPr>
          <w:p w14:paraId="04BE7476" w14:textId="77777777" w:rsidR="00C53570" w:rsidRPr="000C1FB2" w:rsidRDefault="00C53570" w:rsidP="00FA153F">
            <w:pPr>
              <w:keepNext/>
              <w:keepLines/>
              <w:spacing w:before="0" w:after="0" w:line="240" w:lineRule="auto"/>
              <w:jc w:val="center"/>
              <w:rPr>
                <w:b w:val="0"/>
                <w:bCs w:val="0"/>
              </w:rPr>
            </w:pPr>
            <w:r w:rsidRPr="000C1FB2">
              <w:rPr>
                <w:b w:val="0"/>
                <w:bCs w:val="0"/>
              </w:rPr>
              <w:t>CEC Zone 3</w:t>
            </w:r>
          </w:p>
        </w:tc>
        <w:tc>
          <w:tcPr>
            <w:cnfStyle w:val="000010000000" w:firstRow="0" w:lastRow="0" w:firstColumn="0" w:lastColumn="0" w:oddVBand="1" w:evenVBand="0" w:oddHBand="0" w:evenHBand="0" w:firstRowFirstColumn="0" w:firstRowLastColumn="0" w:lastRowFirstColumn="0" w:lastRowLastColumn="0"/>
            <w:tcW w:w="2355" w:type="dxa"/>
          </w:tcPr>
          <w:p w14:paraId="1986896B" w14:textId="77777777" w:rsidR="00C53570" w:rsidRPr="000C1FB2" w:rsidRDefault="00C53570" w:rsidP="00FA153F">
            <w:pPr>
              <w:keepNext/>
              <w:keepLines/>
              <w:spacing w:before="0" w:after="0" w:line="240" w:lineRule="auto"/>
              <w:jc w:val="center"/>
            </w:pPr>
            <w:r>
              <w:t>92%</w:t>
            </w:r>
          </w:p>
        </w:tc>
      </w:tr>
      <w:tr w:rsidR="00C53570" w:rsidRPr="000C1FB2" w14:paraId="5DF7E2AB" w14:textId="77777777" w:rsidTr="00FA153F">
        <w:trPr>
          <w:jc w:val="center"/>
        </w:trPr>
        <w:tc>
          <w:tcPr>
            <w:cnfStyle w:val="001000000000" w:firstRow="0" w:lastRow="0" w:firstColumn="1" w:lastColumn="0" w:oddVBand="0" w:evenVBand="0" w:oddHBand="0" w:evenHBand="0" w:firstRowFirstColumn="0" w:firstRowLastColumn="0" w:lastRowFirstColumn="0" w:lastRowLastColumn="0"/>
            <w:tcW w:w="2055" w:type="dxa"/>
          </w:tcPr>
          <w:p w14:paraId="4E91F57C" w14:textId="77777777" w:rsidR="00C53570" w:rsidRPr="000C1FB2" w:rsidRDefault="00C53570" w:rsidP="00FA153F">
            <w:pPr>
              <w:keepNext/>
              <w:keepLines/>
              <w:spacing w:before="0" w:after="0" w:line="240" w:lineRule="auto"/>
              <w:jc w:val="center"/>
              <w:rPr>
                <w:b w:val="0"/>
                <w:bCs w:val="0"/>
              </w:rPr>
            </w:pPr>
            <w:r w:rsidRPr="000C1FB2">
              <w:rPr>
                <w:b w:val="0"/>
                <w:bCs w:val="0"/>
              </w:rPr>
              <w:t>CEC Zone 4</w:t>
            </w:r>
          </w:p>
        </w:tc>
        <w:tc>
          <w:tcPr>
            <w:cnfStyle w:val="000010000000" w:firstRow="0" w:lastRow="0" w:firstColumn="0" w:lastColumn="0" w:oddVBand="1" w:evenVBand="0" w:oddHBand="0" w:evenHBand="0" w:firstRowFirstColumn="0" w:firstRowLastColumn="0" w:lastRowFirstColumn="0" w:lastRowLastColumn="0"/>
            <w:tcW w:w="2355" w:type="dxa"/>
          </w:tcPr>
          <w:p w14:paraId="508373A2" w14:textId="77777777" w:rsidR="00C53570" w:rsidRPr="000C1FB2" w:rsidRDefault="00C53570" w:rsidP="00FA153F">
            <w:pPr>
              <w:keepNext/>
              <w:keepLines/>
              <w:spacing w:before="0" w:after="0" w:line="240" w:lineRule="auto"/>
              <w:jc w:val="center"/>
            </w:pPr>
            <w:r>
              <w:t>91.7%</w:t>
            </w:r>
          </w:p>
        </w:tc>
      </w:tr>
      <w:tr w:rsidR="00C53570" w:rsidRPr="000C1FB2" w14:paraId="3EF10C79" w14:textId="77777777" w:rsidTr="00FA15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5" w:type="dxa"/>
          </w:tcPr>
          <w:p w14:paraId="09BFABA4" w14:textId="77777777" w:rsidR="00C53570" w:rsidRPr="000C1FB2" w:rsidRDefault="00C53570" w:rsidP="00FA153F">
            <w:pPr>
              <w:keepNext/>
              <w:keepLines/>
              <w:spacing w:before="0" w:after="0" w:line="240" w:lineRule="auto"/>
              <w:jc w:val="center"/>
              <w:rPr>
                <w:b w:val="0"/>
                <w:bCs w:val="0"/>
              </w:rPr>
            </w:pPr>
            <w:r w:rsidRPr="000C1FB2">
              <w:rPr>
                <w:b w:val="0"/>
                <w:bCs w:val="0"/>
              </w:rPr>
              <w:t>CEC Zone 5</w:t>
            </w:r>
          </w:p>
        </w:tc>
        <w:tc>
          <w:tcPr>
            <w:cnfStyle w:val="000010000000" w:firstRow="0" w:lastRow="0" w:firstColumn="0" w:lastColumn="0" w:oddVBand="1" w:evenVBand="0" w:oddHBand="0" w:evenHBand="0" w:firstRowFirstColumn="0" w:firstRowLastColumn="0" w:lastRowFirstColumn="0" w:lastRowLastColumn="0"/>
            <w:tcW w:w="2355" w:type="dxa"/>
          </w:tcPr>
          <w:p w14:paraId="19286D2D" w14:textId="77777777" w:rsidR="00C53570" w:rsidRPr="000C1FB2" w:rsidRDefault="00C53570" w:rsidP="00FA153F">
            <w:pPr>
              <w:keepNext/>
              <w:keepLines/>
              <w:spacing w:before="0" w:after="0" w:line="240" w:lineRule="auto"/>
              <w:jc w:val="center"/>
            </w:pPr>
            <w:r>
              <w:t>Used CZ3</w:t>
            </w:r>
          </w:p>
        </w:tc>
      </w:tr>
      <w:tr w:rsidR="00C53570" w:rsidRPr="000C1FB2" w14:paraId="79CF2E2E" w14:textId="77777777" w:rsidTr="00FA153F">
        <w:trPr>
          <w:jc w:val="center"/>
        </w:trPr>
        <w:tc>
          <w:tcPr>
            <w:cnfStyle w:val="001000000000" w:firstRow="0" w:lastRow="0" w:firstColumn="1" w:lastColumn="0" w:oddVBand="0" w:evenVBand="0" w:oddHBand="0" w:evenHBand="0" w:firstRowFirstColumn="0" w:firstRowLastColumn="0" w:lastRowFirstColumn="0" w:lastRowLastColumn="0"/>
            <w:tcW w:w="2055" w:type="dxa"/>
          </w:tcPr>
          <w:p w14:paraId="40784F7B" w14:textId="77777777" w:rsidR="00C53570" w:rsidRPr="000C1FB2" w:rsidRDefault="00C53570" w:rsidP="00FA153F">
            <w:pPr>
              <w:keepNext/>
              <w:keepLines/>
              <w:spacing w:before="0" w:after="0" w:line="240" w:lineRule="auto"/>
              <w:jc w:val="center"/>
              <w:rPr>
                <w:b w:val="0"/>
                <w:bCs w:val="0"/>
              </w:rPr>
            </w:pPr>
            <w:r w:rsidRPr="000C1FB2">
              <w:rPr>
                <w:b w:val="0"/>
                <w:bCs w:val="0"/>
              </w:rPr>
              <w:t>CEC Zone 6</w:t>
            </w:r>
          </w:p>
        </w:tc>
        <w:tc>
          <w:tcPr>
            <w:cnfStyle w:val="000010000000" w:firstRow="0" w:lastRow="0" w:firstColumn="0" w:lastColumn="0" w:oddVBand="1" w:evenVBand="0" w:oddHBand="0" w:evenHBand="0" w:firstRowFirstColumn="0" w:firstRowLastColumn="0" w:lastRowFirstColumn="0" w:lastRowLastColumn="0"/>
            <w:tcW w:w="2355" w:type="dxa"/>
          </w:tcPr>
          <w:p w14:paraId="628DED22" w14:textId="77777777" w:rsidR="00C53570" w:rsidRPr="000C1FB2" w:rsidRDefault="00C53570" w:rsidP="00FA153F">
            <w:pPr>
              <w:keepNext/>
              <w:keepLines/>
              <w:spacing w:before="0" w:after="0" w:line="240" w:lineRule="auto"/>
              <w:jc w:val="center"/>
            </w:pPr>
            <w:r>
              <w:t>89.8%</w:t>
            </w:r>
          </w:p>
        </w:tc>
      </w:tr>
      <w:tr w:rsidR="00C53570" w:rsidRPr="000C1FB2" w14:paraId="0192EA20" w14:textId="77777777" w:rsidTr="00FA15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5" w:type="dxa"/>
          </w:tcPr>
          <w:p w14:paraId="1C2B8C14" w14:textId="77777777" w:rsidR="00C53570" w:rsidRPr="000C1FB2" w:rsidRDefault="00C53570" w:rsidP="00FA153F">
            <w:pPr>
              <w:keepNext/>
              <w:keepLines/>
              <w:spacing w:before="0" w:after="0" w:line="240" w:lineRule="auto"/>
              <w:jc w:val="center"/>
              <w:rPr>
                <w:b w:val="0"/>
                <w:bCs w:val="0"/>
              </w:rPr>
            </w:pPr>
            <w:r w:rsidRPr="000C1FB2">
              <w:rPr>
                <w:b w:val="0"/>
                <w:bCs w:val="0"/>
              </w:rPr>
              <w:t>CEC Zone 7</w:t>
            </w:r>
          </w:p>
        </w:tc>
        <w:tc>
          <w:tcPr>
            <w:cnfStyle w:val="000010000000" w:firstRow="0" w:lastRow="0" w:firstColumn="0" w:lastColumn="0" w:oddVBand="1" w:evenVBand="0" w:oddHBand="0" w:evenHBand="0" w:firstRowFirstColumn="0" w:firstRowLastColumn="0" w:lastRowFirstColumn="0" w:lastRowLastColumn="0"/>
            <w:tcW w:w="2355" w:type="dxa"/>
          </w:tcPr>
          <w:p w14:paraId="4DA9AE5C" w14:textId="77777777" w:rsidR="00C53570" w:rsidRPr="000C1FB2" w:rsidRDefault="00C53570" w:rsidP="00FA153F">
            <w:pPr>
              <w:keepNext/>
              <w:keepLines/>
              <w:spacing w:before="0" w:after="0" w:line="240" w:lineRule="auto"/>
              <w:jc w:val="center"/>
            </w:pPr>
            <w:r>
              <w:t>Used CZ6</w:t>
            </w:r>
          </w:p>
        </w:tc>
      </w:tr>
      <w:tr w:rsidR="00C53570" w:rsidRPr="000C1FB2" w14:paraId="34135B12" w14:textId="77777777" w:rsidTr="00FA153F">
        <w:trPr>
          <w:jc w:val="center"/>
        </w:trPr>
        <w:tc>
          <w:tcPr>
            <w:cnfStyle w:val="001000000000" w:firstRow="0" w:lastRow="0" w:firstColumn="1" w:lastColumn="0" w:oddVBand="0" w:evenVBand="0" w:oddHBand="0" w:evenHBand="0" w:firstRowFirstColumn="0" w:firstRowLastColumn="0" w:lastRowFirstColumn="0" w:lastRowLastColumn="0"/>
            <w:tcW w:w="2055" w:type="dxa"/>
          </w:tcPr>
          <w:p w14:paraId="7C2C73E9" w14:textId="77777777" w:rsidR="00C53570" w:rsidRPr="000C1FB2" w:rsidRDefault="00C53570" w:rsidP="00FA153F">
            <w:pPr>
              <w:keepNext/>
              <w:keepLines/>
              <w:spacing w:before="0" w:after="0" w:line="240" w:lineRule="auto"/>
              <w:jc w:val="center"/>
              <w:rPr>
                <w:b w:val="0"/>
                <w:bCs w:val="0"/>
              </w:rPr>
            </w:pPr>
            <w:r w:rsidRPr="000C1FB2">
              <w:rPr>
                <w:b w:val="0"/>
                <w:bCs w:val="0"/>
              </w:rPr>
              <w:t>CEC Zone 8</w:t>
            </w:r>
          </w:p>
        </w:tc>
        <w:tc>
          <w:tcPr>
            <w:cnfStyle w:val="000010000000" w:firstRow="0" w:lastRow="0" w:firstColumn="0" w:lastColumn="0" w:oddVBand="1" w:evenVBand="0" w:oddHBand="0" w:evenHBand="0" w:firstRowFirstColumn="0" w:firstRowLastColumn="0" w:lastRowFirstColumn="0" w:lastRowLastColumn="0"/>
            <w:tcW w:w="2355" w:type="dxa"/>
          </w:tcPr>
          <w:p w14:paraId="5067AAE1" w14:textId="77777777" w:rsidR="00C53570" w:rsidRPr="000C1FB2" w:rsidRDefault="00C53570" w:rsidP="00FA153F">
            <w:pPr>
              <w:keepNext/>
              <w:keepLines/>
              <w:spacing w:before="0" w:after="0" w:line="240" w:lineRule="auto"/>
              <w:jc w:val="center"/>
            </w:pPr>
            <w:r>
              <w:t>89.2%</w:t>
            </w:r>
          </w:p>
        </w:tc>
      </w:tr>
      <w:tr w:rsidR="00C53570" w:rsidRPr="000C1FB2" w14:paraId="10A4D1C5" w14:textId="77777777" w:rsidTr="00FA15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5" w:type="dxa"/>
          </w:tcPr>
          <w:p w14:paraId="65999981" w14:textId="77777777" w:rsidR="00C53570" w:rsidRPr="000C1FB2" w:rsidRDefault="00C53570" w:rsidP="00FA153F">
            <w:pPr>
              <w:keepNext/>
              <w:keepLines/>
              <w:spacing w:before="0" w:after="0" w:line="240" w:lineRule="auto"/>
              <w:jc w:val="center"/>
              <w:rPr>
                <w:b w:val="0"/>
                <w:bCs w:val="0"/>
              </w:rPr>
            </w:pPr>
            <w:r w:rsidRPr="000C1FB2">
              <w:rPr>
                <w:b w:val="0"/>
                <w:bCs w:val="0"/>
              </w:rPr>
              <w:t>CEC Zone 9</w:t>
            </w:r>
          </w:p>
        </w:tc>
        <w:tc>
          <w:tcPr>
            <w:cnfStyle w:val="000010000000" w:firstRow="0" w:lastRow="0" w:firstColumn="0" w:lastColumn="0" w:oddVBand="1" w:evenVBand="0" w:oddHBand="0" w:evenHBand="0" w:firstRowFirstColumn="0" w:firstRowLastColumn="0" w:lastRowFirstColumn="0" w:lastRowLastColumn="0"/>
            <w:tcW w:w="2355" w:type="dxa"/>
          </w:tcPr>
          <w:p w14:paraId="50A2CD24" w14:textId="77777777" w:rsidR="00C53570" w:rsidRPr="000C1FB2" w:rsidRDefault="00C53570" w:rsidP="00FA153F">
            <w:pPr>
              <w:keepNext/>
              <w:keepLines/>
              <w:spacing w:before="0" w:after="0" w:line="240" w:lineRule="auto"/>
              <w:jc w:val="center"/>
            </w:pPr>
            <w:r>
              <w:t>91.9%</w:t>
            </w:r>
          </w:p>
        </w:tc>
      </w:tr>
      <w:tr w:rsidR="00C53570" w:rsidRPr="000C1FB2" w14:paraId="659D8124" w14:textId="77777777" w:rsidTr="00FA153F">
        <w:trPr>
          <w:jc w:val="center"/>
        </w:trPr>
        <w:tc>
          <w:tcPr>
            <w:cnfStyle w:val="001000000000" w:firstRow="0" w:lastRow="0" w:firstColumn="1" w:lastColumn="0" w:oddVBand="0" w:evenVBand="0" w:oddHBand="0" w:evenHBand="0" w:firstRowFirstColumn="0" w:firstRowLastColumn="0" w:lastRowFirstColumn="0" w:lastRowLastColumn="0"/>
            <w:tcW w:w="2055" w:type="dxa"/>
          </w:tcPr>
          <w:p w14:paraId="1E10376E" w14:textId="77777777" w:rsidR="00C53570" w:rsidRPr="000C1FB2" w:rsidRDefault="00C53570" w:rsidP="00FA153F">
            <w:pPr>
              <w:keepNext/>
              <w:keepLines/>
              <w:spacing w:before="0" w:after="0" w:line="240" w:lineRule="auto"/>
              <w:jc w:val="center"/>
              <w:rPr>
                <w:b w:val="0"/>
                <w:bCs w:val="0"/>
              </w:rPr>
            </w:pPr>
            <w:r w:rsidRPr="000C1FB2">
              <w:rPr>
                <w:b w:val="0"/>
                <w:bCs w:val="0"/>
              </w:rPr>
              <w:t>CEC Zone 10</w:t>
            </w:r>
          </w:p>
        </w:tc>
        <w:tc>
          <w:tcPr>
            <w:cnfStyle w:val="000010000000" w:firstRow="0" w:lastRow="0" w:firstColumn="0" w:lastColumn="0" w:oddVBand="1" w:evenVBand="0" w:oddHBand="0" w:evenHBand="0" w:firstRowFirstColumn="0" w:firstRowLastColumn="0" w:lastRowFirstColumn="0" w:lastRowLastColumn="0"/>
            <w:tcW w:w="2355" w:type="dxa"/>
          </w:tcPr>
          <w:p w14:paraId="6F2B27A9" w14:textId="77777777" w:rsidR="00C53570" w:rsidRPr="000C1FB2" w:rsidRDefault="00C53570" w:rsidP="00FA153F">
            <w:pPr>
              <w:keepNext/>
              <w:keepLines/>
              <w:spacing w:before="0" w:after="0" w:line="240" w:lineRule="auto"/>
              <w:jc w:val="center"/>
            </w:pPr>
            <w:r>
              <w:t>91.3%</w:t>
            </w:r>
          </w:p>
        </w:tc>
      </w:tr>
      <w:tr w:rsidR="00C53570" w:rsidRPr="000C1FB2" w14:paraId="3FAC4D60" w14:textId="77777777" w:rsidTr="00FA15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5" w:type="dxa"/>
          </w:tcPr>
          <w:p w14:paraId="667040EE" w14:textId="77777777" w:rsidR="00C53570" w:rsidRPr="000C1FB2" w:rsidRDefault="00C53570" w:rsidP="00FA153F">
            <w:pPr>
              <w:keepNext/>
              <w:keepLines/>
              <w:spacing w:before="0" w:after="0" w:line="240" w:lineRule="auto"/>
              <w:jc w:val="center"/>
              <w:rPr>
                <w:b w:val="0"/>
                <w:bCs w:val="0"/>
              </w:rPr>
            </w:pPr>
            <w:r w:rsidRPr="000C1FB2">
              <w:rPr>
                <w:b w:val="0"/>
                <w:bCs w:val="0"/>
              </w:rPr>
              <w:t>CEC Zone 11</w:t>
            </w:r>
          </w:p>
        </w:tc>
        <w:tc>
          <w:tcPr>
            <w:cnfStyle w:val="000010000000" w:firstRow="0" w:lastRow="0" w:firstColumn="0" w:lastColumn="0" w:oddVBand="1" w:evenVBand="0" w:oddHBand="0" w:evenHBand="0" w:firstRowFirstColumn="0" w:firstRowLastColumn="0" w:lastRowFirstColumn="0" w:lastRowLastColumn="0"/>
            <w:tcW w:w="2355" w:type="dxa"/>
          </w:tcPr>
          <w:p w14:paraId="7B77D827" w14:textId="77777777" w:rsidR="00C53570" w:rsidRPr="000C1FB2" w:rsidRDefault="00C53570" w:rsidP="00FA153F">
            <w:pPr>
              <w:keepNext/>
              <w:keepLines/>
              <w:spacing w:before="0" w:after="0" w:line="240" w:lineRule="auto"/>
              <w:jc w:val="center"/>
            </w:pPr>
            <w:r>
              <w:t>Used CZ12</w:t>
            </w:r>
          </w:p>
        </w:tc>
      </w:tr>
      <w:tr w:rsidR="00C53570" w:rsidRPr="000C1FB2" w14:paraId="4FFBE73C" w14:textId="77777777" w:rsidTr="00FA153F">
        <w:trPr>
          <w:jc w:val="center"/>
        </w:trPr>
        <w:tc>
          <w:tcPr>
            <w:cnfStyle w:val="001000000000" w:firstRow="0" w:lastRow="0" w:firstColumn="1" w:lastColumn="0" w:oddVBand="0" w:evenVBand="0" w:oddHBand="0" w:evenHBand="0" w:firstRowFirstColumn="0" w:firstRowLastColumn="0" w:lastRowFirstColumn="0" w:lastRowLastColumn="0"/>
            <w:tcW w:w="2055" w:type="dxa"/>
          </w:tcPr>
          <w:p w14:paraId="5021236E" w14:textId="77777777" w:rsidR="00C53570" w:rsidRPr="000C1FB2" w:rsidRDefault="00C53570" w:rsidP="00FA153F">
            <w:pPr>
              <w:keepNext/>
              <w:keepLines/>
              <w:spacing w:before="0" w:after="0" w:line="240" w:lineRule="auto"/>
              <w:jc w:val="center"/>
              <w:rPr>
                <w:b w:val="0"/>
                <w:bCs w:val="0"/>
              </w:rPr>
            </w:pPr>
            <w:r w:rsidRPr="000C1FB2">
              <w:rPr>
                <w:b w:val="0"/>
                <w:bCs w:val="0"/>
              </w:rPr>
              <w:t>CEC Zone 12</w:t>
            </w:r>
          </w:p>
        </w:tc>
        <w:tc>
          <w:tcPr>
            <w:cnfStyle w:val="000010000000" w:firstRow="0" w:lastRow="0" w:firstColumn="0" w:lastColumn="0" w:oddVBand="1" w:evenVBand="0" w:oddHBand="0" w:evenHBand="0" w:firstRowFirstColumn="0" w:firstRowLastColumn="0" w:lastRowFirstColumn="0" w:lastRowLastColumn="0"/>
            <w:tcW w:w="2355" w:type="dxa"/>
          </w:tcPr>
          <w:p w14:paraId="22591EB6" w14:textId="77777777" w:rsidR="00C53570" w:rsidRPr="000C1FB2" w:rsidRDefault="00C53570" w:rsidP="00FA153F">
            <w:pPr>
              <w:keepNext/>
              <w:keepLines/>
              <w:spacing w:before="0" w:after="0" w:line="240" w:lineRule="auto"/>
              <w:jc w:val="center"/>
            </w:pPr>
            <w:r>
              <w:t>89.9%</w:t>
            </w:r>
          </w:p>
        </w:tc>
      </w:tr>
      <w:tr w:rsidR="00C53570" w:rsidRPr="000C1FB2" w14:paraId="67774E40" w14:textId="77777777" w:rsidTr="00FA15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5" w:type="dxa"/>
          </w:tcPr>
          <w:p w14:paraId="0DE2CEB4" w14:textId="77777777" w:rsidR="00C53570" w:rsidRPr="000C1FB2" w:rsidRDefault="00C53570" w:rsidP="00FA153F">
            <w:pPr>
              <w:keepNext/>
              <w:keepLines/>
              <w:spacing w:before="0" w:after="0" w:line="240" w:lineRule="auto"/>
              <w:jc w:val="center"/>
              <w:rPr>
                <w:b w:val="0"/>
                <w:bCs w:val="0"/>
              </w:rPr>
            </w:pPr>
            <w:r w:rsidRPr="000C1FB2">
              <w:rPr>
                <w:b w:val="0"/>
                <w:bCs w:val="0"/>
              </w:rPr>
              <w:t>CEC Zone 13</w:t>
            </w:r>
          </w:p>
        </w:tc>
        <w:tc>
          <w:tcPr>
            <w:cnfStyle w:val="000010000000" w:firstRow="0" w:lastRow="0" w:firstColumn="0" w:lastColumn="0" w:oddVBand="1" w:evenVBand="0" w:oddHBand="0" w:evenHBand="0" w:firstRowFirstColumn="0" w:firstRowLastColumn="0" w:lastRowFirstColumn="0" w:lastRowLastColumn="0"/>
            <w:tcW w:w="2355" w:type="dxa"/>
          </w:tcPr>
          <w:p w14:paraId="51208411" w14:textId="77777777" w:rsidR="00C53570" w:rsidRPr="000C1FB2" w:rsidRDefault="00C53570" w:rsidP="00FA153F">
            <w:pPr>
              <w:keepNext/>
              <w:keepLines/>
              <w:spacing w:before="0" w:after="0" w:line="240" w:lineRule="auto"/>
              <w:jc w:val="center"/>
            </w:pPr>
            <w:r>
              <w:t>96.5%</w:t>
            </w:r>
          </w:p>
        </w:tc>
      </w:tr>
      <w:tr w:rsidR="00C53570" w:rsidRPr="000C1FB2" w14:paraId="7553EDD7" w14:textId="77777777" w:rsidTr="00FA153F">
        <w:trPr>
          <w:jc w:val="center"/>
        </w:trPr>
        <w:tc>
          <w:tcPr>
            <w:cnfStyle w:val="001000000000" w:firstRow="0" w:lastRow="0" w:firstColumn="1" w:lastColumn="0" w:oddVBand="0" w:evenVBand="0" w:oddHBand="0" w:evenHBand="0" w:firstRowFirstColumn="0" w:firstRowLastColumn="0" w:lastRowFirstColumn="0" w:lastRowLastColumn="0"/>
            <w:tcW w:w="2055" w:type="dxa"/>
          </w:tcPr>
          <w:p w14:paraId="6701D16D" w14:textId="77777777" w:rsidR="00C53570" w:rsidRPr="000C1FB2" w:rsidRDefault="00C53570" w:rsidP="00FA153F">
            <w:pPr>
              <w:keepNext/>
              <w:keepLines/>
              <w:spacing w:before="0" w:after="0" w:line="240" w:lineRule="auto"/>
              <w:jc w:val="center"/>
              <w:rPr>
                <w:b w:val="0"/>
                <w:bCs w:val="0"/>
              </w:rPr>
            </w:pPr>
            <w:r w:rsidRPr="000C1FB2">
              <w:rPr>
                <w:b w:val="0"/>
                <w:bCs w:val="0"/>
              </w:rPr>
              <w:t>CEC Zone 14</w:t>
            </w:r>
          </w:p>
        </w:tc>
        <w:tc>
          <w:tcPr>
            <w:cnfStyle w:val="000010000000" w:firstRow="0" w:lastRow="0" w:firstColumn="0" w:lastColumn="0" w:oddVBand="1" w:evenVBand="0" w:oddHBand="0" w:evenHBand="0" w:firstRowFirstColumn="0" w:firstRowLastColumn="0" w:lastRowFirstColumn="0" w:lastRowLastColumn="0"/>
            <w:tcW w:w="2355" w:type="dxa"/>
          </w:tcPr>
          <w:p w14:paraId="4BCC3D2E" w14:textId="77777777" w:rsidR="00C53570" w:rsidRPr="000C1FB2" w:rsidRDefault="00C53570" w:rsidP="00FA153F">
            <w:pPr>
              <w:keepNext/>
              <w:keepLines/>
              <w:spacing w:before="0" w:after="0" w:line="240" w:lineRule="auto"/>
              <w:jc w:val="center"/>
            </w:pPr>
            <w:r>
              <w:t>88.4%</w:t>
            </w:r>
          </w:p>
        </w:tc>
      </w:tr>
      <w:tr w:rsidR="00C53570" w:rsidRPr="000C1FB2" w14:paraId="37FDFA21" w14:textId="77777777" w:rsidTr="00FA15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5" w:type="dxa"/>
          </w:tcPr>
          <w:p w14:paraId="2FD85308" w14:textId="77777777" w:rsidR="00C53570" w:rsidRPr="000C1FB2" w:rsidRDefault="00C53570" w:rsidP="00FA153F">
            <w:pPr>
              <w:keepNext/>
              <w:keepLines/>
              <w:spacing w:before="0" w:after="0" w:line="240" w:lineRule="auto"/>
              <w:jc w:val="center"/>
              <w:rPr>
                <w:b w:val="0"/>
                <w:bCs w:val="0"/>
              </w:rPr>
            </w:pPr>
            <w:r w:rsidRPr="000C1FB2">
              <w:rPr>
                <w:b w:val="0"/>
                <w:bCs w:val="0"/>
              </w:rPr>
              <w:t>CEC Zone 15</w:t>
            </w:r>
          </w:p>
        </w:tc>
        <w:tc>
          <w:tcPr>
            <w:cnfStyle w:val="000010000000" w:firstRow="0" w:lastRow="0" w:firstColumn="0" w:lastColumn="0" w:oddVBand="1" w:evenVBand="0" w:oddHBand="0" w:evenHBand="0" w:firstRowFirstColumn="0" w:firstRowLastColumn="0" w:lastRowFirstColumn="0" w:lastRowLastColumn="0"/>
            <w:tcW w:w="2355" w:type="dxa"/>
          </w:tcPr>
          <w:p w14:paraId="18F6328D" w14:textId="77777777" w:rsidR="00C53570" w:rsidRPr="000C1FB2" w:rsidRDefault="00C53570" w:rsidP="00FA153F">
            <w:pPr>
              <w:keepNext/>
              <w:keepLines/>
              <w:spacing w:before="0" w:after="0" w:line="240" w:lineRule="auto"/>
              <w:jc w:val="center"/>
            </w:pPr>
            <w:r>
              <w:t>95.5%</w:t>
            </w:r>
          </w:p>
        </w:tc>
      </w:tr>
      <w:tr w:rsidR="00C53570" w:rsidRPr="000C1FB2" w14:paraId="6578F0BA" w14:textId="77777777" w:rsidTr="00FA153F">
        <w:trPr>
          <w:jc w:val="center"/>
        </w:trPr>
        <w:tc>
          <w:tcPr>
            <w:cnfStyle w:val="001000000000" w:firstRow="0" w:lastRow="0" w:firstColumn="1" w:lastColumn="0" w:oddVBand="0" w:evenVBand="0" w:oddHBand="0" w:evenHBand="0" w:firstRowFirstColumn="0" w:firstRowLastColumn="0" w:lastRowFirstColumn="0" w:lastRowLastColumn="0"/>
            <w:tcW w:w="2055" w:type="dxa"/>
          </w:tcPr>
          <w:p w14:paraId="25719297" w14:textId="77777777" w:rsidR="00C53570" w:rsidRPr="000C1FB2" w:rsidRDefault="00C53570" w:rsidP="00FA153F">
            <w:pPr>
              <w:keepNext/>
              <w:keepLines/>
              <w:spacing w:before="0" w:after="0" w:line="240" w:lineRule="auto"/>
              <w:jc w:val="center"/>
              <w:rPr>
                <w:b w:val="0"/>
                <w:bCs w:val="0"/>
              </w:rPr>
            </w:pPr>
            <w:r w:rsidRPr="000C1FB2">
              <w:rPr>
                <w:b w:val="0"/>
                <w:bCs w:val="0"/>
              </w:rPr>
              <w:t>CEC Zone 16</w:t>
            </w:r>
          </w:p>
        </w:tc>
        <w:tc>
          <w:tcPr>
            <w:cnfStyle w:val="000010000000" w:firstRow="0" w:lastRow="0" w:firstColumn="0" w:lastColumn="0" w:oddVBand="1" w:evenVBand="0" w:oddHBand="0" w:evenHBand="0" w:firstRowFirstColumn="0" w:firstRowLastColumn="0" w:lastRowFirstColumn="0" w:lastRowLastColumn="0"/>
            <w:tcW w:w="2355" w:type="dxa"/>
          </w:tcPr>
          <w:p w14:paraId="11117317" w14:textId="77777777" w:rsidR="00C53570" w:rsidRPr="000C1FB2" w:rsidRDefault="00C53570" w:rsidP="00FA153F">
            <w:pPr>
              <w:keepNext/>
              <w:keepLines/>
              <w:spacing w:before="0" w:after="0" w:line="240" w:lineRule="auto"/>
              <w:jc w:val="center"/>
            </w:pPr>
            <w:r>
              <w:t>86.5%</w:t>
            </w:r>
          </w:p>
        </w:tc>
      </w:tr>
    </w:tbl>
    <w:p w14:paraId="50BEC2A6" w14:textId="4FD4E1B4" w:rsidR="00C920DD" w:rsidRDefault="00C920DD" w:rsidP="008A6BDD">
      <w:pPr>
        <w:pStyle w:val="NoSpacing"/>
      </w:pPr>
    </w:p>
    <w:p w14:paraId="1615CF7A" w14:textId="0DD47B1E" w:rsidR="000C1FB2" w:rsidRPr="000C1FB2" w:rsidRDefault="00C920DD" w:rsidP="008A6BDD">
      <w:pPr>
        <w:pStyle w:val="NoSpacing"/>
      </w:pPr>
      <w:r w:rsidRPr="008A6BDD">
        <w:rPr>
          <w:i/>
          <w:iCs/>
        </w:rPr>
        <w:t>Note that not all climate zones have readily available load data</w:t>
      </w:r>
      <w:r w:rsidR="005C385F">
        <w:rPr>
          <w:i/>
          <w:iCs/>
        </w:rPr>
        <w:t xml:space="preserve">. </w:t>
      </w:r>
      <w:r w:rsidRPr="008A6BDD">
        <w:rPr>
          <w:i/>
          <w:iCs/>
        </w:rPr>
        <w:t>In those cases, the regression equations from comparable climate zones were applied.</w:t>
      </w:r>
    </w:p>
    <w:p w14:paraId="3400C937" w14:textId="4E6B5C0F" w:rsidR="00701197" w:rsidRPr="00813981" w:rsidRDefault="00701197" w:rsidP="008A6BDD">
      <w:pPr>
        <w:pStyle w:val="Heading2"/>
      </w:pPr>
      <w:bookmarkStart w:id="108" w:name="_Toc12445860"/>
      <w:r w:rsidRPr="00C97CE1">
        <w:lastRenderedPageBreak/>
        <w:t>Distribution Load Simulation Reg</w:t>
      </w:r>
      <w:r w:rsidRPr="00020926">
        <w:t>ression Model</w:t>
      </w:r>
      <w:r w:rsidR="00A94233" w:rsidRPr="008A6BDD">
        <w:rPr>
          <w:i/>
        </w:rPr>
        <w:t xml:space="preserve"> Specifications</w:t>
      </w:r>
      <w:bookmarkEnd w:id="108"/>
    </w:p>
    <w:p w14:paraId="6238F174" w14:textId="491A8095" w:rsidR="77BD5CEC" w:rsidRDefault="492AF21E" w:rsidP="008A6BDD">
      <w:pPr>
        <w:pStyle w:val="Caption"/>
      </w:pPr>
      <w:r w:rsidRPr="492AF21E">
        <w:t>CZ2</w:t>
      </w:r>
    </w:p>
    <w:p w14:paraId="4ADABA59" w14:textId="69DFF0F9" w:rsidR="77BD5CEC" w:rsidRDefault="00A94233">
      <w:r>
        <w:rPr>
          <w:noProof/>
        </w:rPr>
        <w:drawing>
          <wp:inline distT="0" distB="0" distL="0" distR="0" wp14:anchorId="3A71B300" wp14:editId="3957BFD2">
            <wp:extent cx="3044952" cy="6483096"/>
            <wp:effectExtent l="0" t="0" r="3175" b="0"/>
            <wp:docPr id="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7">
                      <a:extLst>
                        <a:ext uri="{28A0092B-C50C-407E-A947-70E740481C1C}">
                          <a14:useLocalDpi xmlns:a14="http://schemas.microsoft.com/office/drawing/2010/main" val="0"/>
                        </a:ext>
                      </a:extLst>
                    </a:blip>
                    <a:stretch>
                      <a:fillRect/>
                    </a:stretch>
                  </pic:blipFill>
                  <pic:spPr>
                    <a:xfrm>
                      <a:off x="0" y="0"/>
                      <a:ext cx="3044952" cy="6483096"/>
                    </a:xfrm>
                    <a:prstGeom prst="rect">
                      <a:avLst/>
                    </a:prstGeom>
                  </pic:spPr>
                </pic:pic>
              </a:graphicData>
            </a:graphic>
          </wp:inline>
        </w:drawing>
      </w:r>
      <w:r>
        <w:br w:type="textWrapping" w:clear="all"/>
      </w:r>
    </w:p>
    <w:p w14:paraId="0AD77018" w14:textId="02517145" w:rsidR="25C2119A" w:rsidRDefault="25C2119A" w:rsidP="008A6BDD">
      <w:pPr>
        <w:pStyle w:val="Caption"/>
      </w:pPr>
      <w:r w:rsidRPr="44F07EA1">
        <w:lastRenderedPageBreak/>
        <w:t>CZ3</w:t>
      </w:r>
    </w:p>
    <w:p w14:paraId="2D277DB8" w14:textId="02517145" w:rsidR="25C2119A" w:rsidRDefault="25C2119A">
      <w:r>
        <w:rPr>
          <w:noProof/>
        </w:rPr>
        <w:drawing>
          <wp:inline distT="0" distB="0" distL="0" distR="0" wp14:anchorId="0BBE586D" wp14:editId="582A4168">
            <wp:extent cx="3123634" cy="7394027"/>
            <wp:effectExtent l="0" t="0" r="635" b="0"/>
            <wp:docPr id="13218591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8">
                      <a:extLst>
                        <a:ext uri="{28A0092B-C50C-407E-A947-70E740481C1C}">
                          <a14:useLocalDpi xmlns:a14="http://schemas.microsoft.com/office/drawing/2010/main" val="0"/>
                        </a:ext>
                      </a:extLst>
                    </a:blip>
                    <a:stretch>
                      <a:fillRect/>
                    </a:stretch>
                  </pic:blipFill>
                  <pic:spPr>
                    <a:xfrm>
                      <a:off x="0" y="0"/>
                      <a:ext cx="3130138" cy="7409423"/>
                    </a:xfrm>
                    <a:prstGeom prst="rect">
                      <a:avLst/>
                    </a:prstGeom>
                  </pic:spPr>
                </pic:pic>
              </a:graphicData>
            </a:graphic>
          </wp:inline>
        </w:drawing>
      </w:r>
    </w:p>
    <w:p w14:paraId="0DB5BC20" w14:textId="44F46A1D" w:rsidR="44F07EA1" w:rsidRDefault="413677E5" w:rsidP="008A6BDD">
      <w:pPr>
        <w:pStyle w:val="Caption"/>
      </w:pPr>
      <w:r>
        <w:lastRenderedPageBreak/>
        <w:t>CZ4</w:t>
      </w:r>
    </w:p>
    <w:p w14:paraId="0F56DB11" w14:textId="26D42B7A" w:rsidR="413677E5" w:rsidRDefault="413677E5">
      <w:r>
        <w:rPr>
          <w:noProof/>
        </w:rPr>
        <w:drawing>
          <wp:inline distT="0" distB="0" distL="0" distR="0" wp14:anchorId="2B5AD347" wp14:editId="70F7452B">
            <wp:extent cx="2950469" cy="6984124"/>
            <wp:effectExtent l="0" t="0" r="2540" b="7620"/>
            <wp:docPr id="3583344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9">
                      <a:extLst>
                        <a:ext uri="{28A0092B-C50C-407E-A947-70E740481C1C}">
                          <a14:useLocalDpi xmlns:a14="http://schemas.microsoft.com/office/drawing/2010/main" val="0"/>
                        </a:ext>
                      </a:extLst>
                    </a:blip>
                    <a:stretch>
                      <a:fillRect/>
                    </a:stretch>
                  </pic:blipFill>
                  <pic:spPr>
                    <a:xfrm>
                      <a:off x="0" y="0"/>
                      <a:ext cx="2965226" cy="7019056"/>
                    </a:xfrm>
                    <a:prstGeom prst="rect">
                      <a:avLst/>
                    </a:prstGeom>
                  </pic:spPr>
                </pic:pic>
              </a:graphicData>
            </a:graphic>
          </wp:inline>
        </w:drawing>
      </w:r>
    </w:p>
    <w:p w14:paraId="3EBCA83B" w14:textId="55869E17" w:rsidR="413677E5" w:rsidRDefault="413677E5"/>
    <w:p w14:paraId="42584C9C" w14:textId="2519BBFC" w:rsidR="44F07EA1" w:rsidRDefault="48FDF49C" w:rsidP="008A6BDD">
      <w:pPr>
        <w:pStyle w:val="Caption"/>
      </w:pPr>
      <w:r>
        <w:lastRenderedPageBreak/>
        <w:t>CZ6</w:t>
      </w:r>
    </w:p>
    <w:p w14:paraId="1F92D87F" w14:textId="78A07587" w:rsidR="492AF21E" w:rsidRDefault="48FDF49C">
      <w:r>
        <w:rPr>
          <w:noProof/>
        </w:rPr>
        <w:drawing>
          <wp:inline distT="0" distB="0" distL="0" distR="0" wp14:anchorId="7DE3AACB" wp14:editId="3F4D17C8">
            <wp:extent cx="3367252" cy="7346731"/>
            <wp:effectExtent l="0" t="0" r="5080" b="6985"/>
            <wp:docPr id="4855601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0">
                      <a:extLst>
                        <a:ext uri="{28A0092B-C50C-407E-A947-70E740481C1C}">
                          <a14:useLocalDpi xmlns:a14="http://schemas.microsoft.com/office/drawing/2010/main" val="0"/>
                        </a:ext>
                      </a:extLst>
                    </a:blip>
                    <a:stretch>
                      <a:fillRect/>
                    </a:stretch>
                  </pic:blipFill>
                  <pic:spPr>
                    <a:xfrm>
                      <a:off x="0" y="0"/>
                      <a:ext cx="3374016" cy="7361489"/>
                    </a:xfrm>
                    <a:prstGeom prst="rect">
                      <a:avLst/>
                    </a:prstGeom>
                  </pic:spPr>
                </pic:pic>
              </a:graphicData>
            </a:graphic>
          </wp:inline>
        </w:drawing>
      </w:r>
    </w:p>
    <w:p w14:paraId="7BC40A00" w14:textId="70508629" w:rsidR="77BD5CEC" w:rsidRDefault="6207A5B9" w:rsidP="008A6BDD">
      <w:pPr>
        <w:pStyle w:val="Caption"/>
      </w:pPr>
      <w:r>
        <w:lastRenderedPageBreak/>
        <w:t>CZ7</w:t>
      </w:r>
    </w:p>
    <w:p w14:paraId="4C3BB315" w14:textId="4640B124" w:rsidR="6207A5B9" w:rsidRDefault="6207A5B9">
      <w:r>
        <w:rPr>
          <w:noProof/>
        </w:rPr>
        <w:drawing>
          <wp:inline distT="0" distB="0" distL="0" distR="0" wp14:anchorId="3E68CDEC" wp14:editId="1454B8E6">
            <wp:extent cx="3410258" cy="7267903"/>
            <wp:effectExtent l="0" t="0" r="0" b="0"/>
            <wp:docPr id="16276914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1">
                      <a:extLst>
                        <a:ext uri="{28A0092B-C50C-407E-A947-70E740481C1C}">
                          <a14:useLocalDpi xmlns:a14="http://schemas.microsoft.com/office/drawing/2010/main" val="0"/>
                        </a:ext>
                      </a:extLst>
                    </a:blip>
                    <a:stretch>
                      <a:fillRect/>
                    </a:stretch>
                  </pic:blipFill>
                  <pic:spPr>
                    <a:xfrm>
                      <a:off x="0" y="0"/>
                      <a:ext cx="3420288" cy="7289279"/>
                    </a:xfrm>
                    <a:prstGeom prst="rect">
                      <a:avLst/>
                    </a:prstGeom>
                  </pic:spPr>
                </pic:pic>
              </a:graphicData>
            </a:graphic>
          </wp:inline>
        </w:drawing>
      </w:r>
    </w:p>
    <w:p w14:paraId="7BBB344D" w14:textId="2852A568" w:rsidR="6207A5B9" w:rsidRDefault="6207A5B9" w:rsidP="008A6BDD">
      <w:pPr>
        <w:pStyle w:val="Caption"/>
      </w:pPr>
      <w:r w:rsidRPr="41D85F30">
        <w:lastRenderedPageBreak/>
        <w:t>CZ8</w:t>
      </w:r>
    </w:p>
    <w:p w14:paraId="2EBA5AA1" w14:textId="6083235B" w:rsidR="41D85F30" w:rsidRDefault="41D85F30">
      <w:r>
        <w:rPr>
          <w:noProof/>
        </w:rPr>
        <w:drawing>
          <wp:inline distT="0" distB="0" distL="0" distR="0" wp14:anchorId="6ADB5036" wp14:editId="4438E6D1">
            <wp:extent cx="3255688" cy="7157544"/>
            <wp:effectExtent l="0" t="0" r="1905" b="5715"/>
            <wp:docPr id="16775283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2">
                      <a:extLst>
                        <a:ext uri="{28A0092B-C50C-407E-A947-70E740481C1C}">
                          <a14:useLocalDpi xmlns:a14="http://schemas.microsoft.com/office/drawing/2010/main" val="0"/>
                        </a:ext>
                      </a:extLst>
                    </a:blip>
                    <a:stretch>
                      <a:fillRect/>
                    </a:stretch>
                  </pic:blipFill>
                  <pic:spPr>
                    <a:xfrm>
                      <a:off x="0" y="0"/>
                      <a:ext cx="3264193" cy="7176241"/>
                    </a:xfrm>
                    <a:prstGeom prst="rect">
                      <a:avLst/>
                    </a:prstGeom>
                  </pic:spPr>
                </pic:pic>
              </a:graphicData>
            </a:graphic>
          </wp:inline>
        </w:drawing>
      </w:r>
    </w:p>
    <w:p w14:paraId="56C55EA2" w14:textId="378F210B" w:rsidR="41D85F30" w:rsidRDefault="41D85F30" w:rsidP="008A6BDD">
      <w:pPr>
        <w:pStyle w:val="Caption"/>
      </w:pPr>
      <w:r w:rsidRPr="2C462462">
        <w:lastRenderedPageBreak/>
        <w:t>CZ9</w:t>
      </w:r>
    </w:p>
    <w:p w14:paraId="69D26A37" w14:textId="113DF10C" w:rsidR="2C462462" w:rsidRDefault="2C462462">
      <w:r>
        <w:rPr>
          <w:noProof/>
        </w:rPr>
        <w:drawing>
          <wp:inline distT="0" distB="0" distL="0" distR="0" wp14:anchorId="61EE5462" wp14:editId="100BD2E7">
            <wp:extent cx="3302219" cy="7204841"/>
            <wp:effectExtent l="0" t="0" r="0" b="0"/>
            <wp:docPr id="12783818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3">
                      <a:extLst>
                        <a:ext uri="{28A0092B-C50C-407E-A947-70E740481C1C}">
                          <a14:useLocalDpi xmlns:a14="http://schemas.microsoft.com/office/drawing/2010/main" val="0"/>
                        </a:ext>
                      </a:extLst>
                    </a:blip>
                    <a:stretch>
                      <a:fillRect/>
                    </a:stretch>
                  </pic:blipFill>
                  <pic:spPr>
                    <a:xfrm>
                      <a:off x="0" y="0"/>
                      <a:ext cx="3311033" cy="7224071"/>
                    </a:xfrm>
                    <a:prstGeom prst="rect">
                      <a:avLst/>
                    </a:prstGeom>
                  </pic:spPr>
                </pic:pic>
              </a:graphicData>
            </a:graphic>
          </wp:inline>
        </w:drawing>
      </w:r>
    </w:p>
    <w:p w14:paraId="3F0A9737" w14:textId="3F0FCBA8" w:rsidR="2C462462" w:rsidRDefault="2C462462" w:rsidP="008A6BDD">
      <w:pPr>
        <w:pStyle w:val="Caption"/>
      </w:pPr>
      <w:r w:rsidRPr="09F81006">
        <w:lastRenderedPageBreak/>
        <w:t>CZ 10</w:t>
      </w:r>
    </w:p>
    <w:p w14:paraId="23D39B57" w14:textId="3EC9A372" w:rsidR="09F81006" w:rsidRDefault="447D286F">
      <w:r>
        <w:rPr>
          <w:noProof/>
        </w:rPr>
        <w:drawing>
          <wp:inline distT="0" distB="0" distL="0" distR="0" wp14:anchorId="1F663033" wp14:editId="431083FE">
            <wp:extent cx="3224541" cy="7236372"/>
            <wp:effectExtent l="0" t="0" r="0" b="3175"/>
            <wp:docPr id="5002500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4">
                      <a:extLst>
                        <a:ext uri="{28A0092B-C50C-407E-A947-70E740481C1C}">
                          <a14:useLocalDpi xmlns:a14="http://schemas.microsoft.com/office/drawing/2010/main" val="0"/>
                        </a:ext>
                      </a:extLst>
                    </a:blip>
                    <a:stretch>
                      <a:fillRect/>
                    </a:stretch>
                  </pic:blipFill>
                  <pic:spPr>
                    <a:xfrm>
                      <a:off x="0" y="0"/>
                      <a:ext cx="3234765" cy="7259317"/>
                    </a:xfrm>
                    <a:prstGeom prst="rect">
                      <a:avLst/>
                    </a:prstGeom>
                  </pic:spPr>
                </pic:pic>
              </a:graphicData>
            </a:graphic>
          </wp:inline>
        </w:drawing>
      </w:r>
    </w:p>
    <w:p w14:paraId="61264BC2" w14:textId="37561A55" w:rsidR="09F81006" w:rsidRDefault="09F81006" w:rsidP="008A6BDD">
      <w:pPr>
        <w:pStyle w:val="Caption"/>
      </w:pPr>
      <w:r w:rsidRPr="650AC115">
        <w:lastRenderedPageBreak/>
        <w:t>CZ1</w:t>
      </w:r>
      <w:r w:rsidR="33D0320E" w:rsidRPr="650AC115">
        <w:t>2</w:t>
      </w:r>
    </w:p>
    <w:p w14:paraId="53847694" w14:textId="11595A9D" w:rsidR="650AC115" w:rsidRDefault="650AC115">
      <w:r>
        <w:rPr>
          <w:noProof/>
        </w:rPr>
        <w:drawing>
          <wp:inline distT="0" distB="0" distL="0" distR="0" wp14:anchorId="2310722C" wp14:editId="1F1C403C">
            <wp:extent cx="3440005" cy="7220606"/>
            <wp:effectExtent l="0" t="0" r="8255" b="0"/>
            <wp:docPr id="5134784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5">
                      <a:extLst>
                        <a:ext uri="{28A0092B-C50C-407E-A947-70E740481C1C}">
                          <a14:useLocalDpi xmlns:a14="http://schemas.microsoft.com/office/drawing/2010/main" val="0"/>
                        </a:ext>
                      </a:extLst>
                    </a:blip>
                    <a:stretch>
                      <a:fillRect/>
                    </a:stretch>
                  </pic:blipFill>
                  <pic:spPr>
                    <a:xfrm>
                      <a:off x="0" y="0"/>
                      <a:ext cx="3448234" cy="7237878"/>
                    </a:xfrm>
                    <a:prstGeom prst="rect">
                      <a:avLst/>
                    </a:prstGeom>
                  </pic:spPr>
                </pic:pic>
              </a:graphicData>
            </a:graphic>
          </wp:inline>
        </w:drawing>
      </w:r>
    </w:p>
    <w:p w14:paraId="1CD81701" w14:textId="3373D7EA" w:rsidR="33D0320E" w:rsidRDefault="33D0320E" w:rsidP="008A6BDD">
      <w:pPr>
        <w:pStyle w:val="Caption"/>
      </w:pPr>
      <w:r>
        <w:lastRenderedPageBreak/>
        <w:t>CZ13</w:t>
      </w:r>
    </w:p>
    <w:p w14:paraId="5AFE2055" w14:textId="52D56F65" w:rsidR="33D0320E" w:rsidRDefault="33D0320E">
      <w:r>
        <w:rPr>
          <w:noProof/>
        </w:rPr>
        <w:drawing>
          <wp:inline distT="0" distB="0" distL="0" distR="0" wp14:anchorId="5B273469" wp14:editId="59C0437C">
            <wp:extent cx="3613714" cy="7236372"/>
            <wp:effectExtent l="0" t="0" r="6350" b="3175"/>
            <wp:docPr id="185015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6">
                      <a:extLst>
                        <a:ext uri="{28A0092B-C50C-407E-A947-70E740481C1C}">
                          <a14:useLocalDpi xmlns:a14="http://schemas.microsoft.com/office/drawing/2010/main" val="0"/>
                        </a:ext>
                      </a:extLst>
                    </a:blip>
                    <a:stretch>
                      <a:fillRect/>
                    </a:stretch>
                  </pic:blipFill>
                  <pic:spPr>
                    <a:xfrm>
                      <a:off x="0" y="0"/>
                      <a:ext cx="3623489" cy="7255945"/>
                    </a:xfrm>
                    <a:prstGeom prst="rect">
                      <a:avLst/>
                    </a:prstGeom>
                  </pic:spPr>
                </pic:pic>
              </a:graphicData>
            </a:graphic>
          </wp:inline>
        </w:drawing>
      </w:r>
    </w:p>
    <w:p w14:paraId="2559D71A" w14:textId="574002FE" w:rsidR="33D0320E" w:rsidRDefault="33D0320E" w:rsidP="008A6BDD">
      <w:pPr>
        <w:pStyle w:val="Caption"/>
      </w:pPr>
      <w:r w:rsidRPr="5D92EB5A">
        <w:lastRenderedPageBreak/>
        <w:t>C</w:t>
      </w:r>
      <w:r w:rsidR="5D92EB5A" w:rsidRPr="5D92EB5A">
        <w:t xml:space="preserve">Z </w:t>
      </w:r>
      <w:r w:rsidRPr="5D92EB5A">
        <w:t>14</w:t>
      </w:r>
    </w:p>
    <w:p w14:paraId="0B9DC222" w14:textId="6C2765C7" w:rsidR="5D92EB5A" w:rsidRDefault="5D92EB5A">
      <w:r>
        <w:rPr>
          <w:noProof/>
        </w:rPr>
        <w:drawing>
          <wp:inline distT="0" distB="0" distL="0" distR="0" wp14:anchorId="60550ED3" wp14:editId="6DC91A3D">
            <wp:extent cx="3566476" cy="7141779"/>
            <wp:effectExtent l="0" t="0" r="0" b="2540"/>
            <wp:docPr id="18164666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6">
                      <a:extLst>
                        <a:ext uri="{28A0092B-C50C-407E-A947-70E740481C1C}">
                          <a14:useLocalDpi xmlns:a14="http://schemas.microsoft.com/office/drawing/2010/main" val="0"/>
                        </a:ext>
                      </a:extLst>
                    </a:blip>
                    <a:stretch>
                      <a:fillRect/>
                    </a:stretch>
                  </pic:blipFill>
                  <pic:spPr>
                    <a:xfrm>
                      <a:off x="0" y="0"/>
                      <a:ext cx="3571431" cy="7151702"/>
                    </a:xfrm>
                    <a:prstGeom prst="rect">
                      <a:avLst/>
                    </a:prstGeom>
                  </pic:spPr>
                </pic:pic>
              </a:graphicData>
            </a:graphic>
          </wp:inline>
        </w:drawing>
      </w:r>
    </w:p>
    <w:p w14:paraId="43C0999F" w14:textId="4B93CEEA" w:rsidR="4C3BBB81" w:rsidRDefault="4C3BBB81" w:rsidP="008A6BDD">
      <w:pPr>
        <w:pStyle w:val="Caption"/>
      </w:pPr>
      <w:r>
        <w:lastRenderedPageBreak/>
        <w:t>CZ15</w:t>
      </w:r>
    </w:p>
    <w:p w14:paraId="6108D7C2" w14:textId="5890195D" w:rsidR="5D92EB5A" w:rsidRDefault="4C3BBB81">
      <w:r>
        <w:rPr>
          <w:noProof/>
        </w:rPr>
        <w:drawing>
          <wp:inline distT="0" distB="0" distL="0" distR="0" wp14:anchorId="01543333" wp14:editId="1F969D38">
            <wp:extent cx="3302000" cy="7315200"/>
            <wp:effectExtent l="0" t="0" r="0" b="0"/>
            <wp:docPr id="17664642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7">
                      <a:extLst>
                        <a:ext uri="{28A0092B-C50C-407E-A947-70E740481C1C}">
                          <a14:useLocalDpi xmlns:a14="http://schemas.microsoft.com/office/drawing/2010/main" val="0"/>
                        </a:ext>
                      </a:extLst>
                    </a:blip>
                    <a:stretch>
                      <a:fillRect/>
                    </a:stretch>
                  </pic:blipFill>
                  <pic:spPr>
                    <a:xfrm>
                      <a:off x="0" y="0"/>
                      <a:ext cx="3313621" cy="7340945"/>
                    </a:xfrm>
                    <a:prstGeom prst="rect">
                      <a:avLst/>
                    </a:prstGeom>
                  </pic:spPr>
                </pic:pic>
              </a:graphicData>
            </a:graphic>
          </wp:inline>
        </w:drawing>
      </w:r>
    </w:p>
    <w:p w14:paraId="56082D65" w14:textId="453BB01A" w:rsidR="5D92EB5A" w:rsidRDefault="31AB0B47" w:rsidP="008A6BDD">
      <w:pPr>
        <w:pStyle w:val="Caption"/>
      </w:pPr>
      <w:r>
        <w:lastRenderedPageBreak/>
        <w:t>CZ16</w:t>
      </w:r>
    </w:p>
    <w:p w14:paraId="5D47DBE1" w14:textId="645AC621" w:rsidR="31AB0B47" w:rsidRDefault="31AB0B47">
      <w:r>
        <w:rPr>
          <w:noProof/>
        </w:rPr>
        <w:drawing>
          <wp:inline distT="0" distB="0" distL="0" distR="0" wp14:anchorId="0386BC14" wp14:editId="4D641997">
            <wp:extent cx="3437211" cy="7173310"/>
            <wp:effectExtent l="0" t="0" r="0" b="0"/>
            <wp:docPr id="3539475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8">
                      <a:extLst>
                        <a:ext uri="{28A0092B-C50C-407E-A947-70E740481C1C}">
                          <a14:useLocalDpi xmlns:a14="http://schemas.microsoft.com/office/drawing/2010/main" val="0"/>
                        </a:ext>
                      </a:extLst>
                    </a:blip>
                    <a:stretch>
                      <a:fillRect/>
                    </a:stretch>
                  </pic:blipFill>
                  <pic:spPr>
                    <a:xfrm>
                      <a:off x="0" y="0"/>
                      <a:ext cx="3443038" cy="7185471"/>
                    </a:xfrm>
                    <a:prstGeom prst="rect">
                      <a:avLst/>
                    </a:prstGeom>
                  </pic:spPr>
                </pic:pic>
              </a:graphicData>
            </a:graphic>
          </wp:inline>
        </w:drawing>
      </w:r>
    </w:p>
    <w:p w14:paraId="76894F8A" w14:textId="292B1E67" w:rsidR="00F11CEE" w:rsidRPr="002E1DAD" w:rsidRDefault="00F11CEE" w:rsidP="00F11CEE">
      <w:pPr>
        <w:pStyle w:val="Heading2"/>
      </w:pPr>
      <w:bookmarkStart w:id="109" w:name="_Ref11840596"/>
      <w:bookmarkStart w:id="110" w:name="_Toc12445861"/>
      <w:r>
        <w:lastRenderedPageBreak/>
        <w:t>Low Efficiency Threshold Analysis</w:t>
      </w:r>
      <w:bookmarkEnd w:id="109"/>
      <w:bookmarkEnd w:id="110"/>
    </w:p>
    <w:p w14:paraId="5517C7D9" w14:textId="77777777" w:rsidR="00F11CEE" w:rsidRDefault="00F11CEE" w:rsidP="00F11CEE">
      <w:r>
        <w:t xml:space="preserve">The Avoided Cost Calculator (ACC) uses implied marginal heat rates as a proxy for GHG emissions. Historically, these heat rates have been bounded by the assumption that the most efficient natural gas generators have a heat rate of 6,900 Btu/kWh, while the least efficient have a heat rate of 12,500 Btu/kWh. Implied marginal heat rates above or below these values were adjusted back to these bounds, accordingly. </w:t>
      </w:r>
    </w:p>
    <w:p w14:paraId="0C5AB01E" w14:textId="02DC4A77" w:rsidR="00F11CEE" w:rsidRDefault="00F11CEE" w:rsidP="00F11CEE">
      <w:r>
        <w:t>In the 2019 update to the ACC</w:t>
      </w:r>
      <w:r w:rsidRPr="009506EC">
        <w:t xml:space="preserve"> the high efficiency plant heat rate has been lowered to </w:t>
      </w:r>
      <w:r w:rsidR="00F545FD">
        <w:t>zero</w:t>
      </w:r>
      <w:r w:rsidRPr="009506EC">
        <w:t xml:space="preserve"> Btu/kWh, to reflect that hours with low implied marginal heat rates may represent averaging of marginal fossil fuel and renewable resources within that hour, either temporally or spatially.</w:t>
      </w:r>
    </w:p>
    <w:p w14:paraId="0E23320A" w14:textId="77777777" w:rsidR="00F11CEE" w:rsidRDefault="00F11CEE" w:rsidP="00F11CEE">
      <w:r>
        <w:t>The low efficiency plant heat rate, however, has not been updated. After having reviewed Continuous Emissions Monitoring System (CEMS) data on California’s thermal generator fleet operation in 2018 it was determined that 12,500 Btu/kWh remains a reasonable estimate of the low efficiency threshold for natural gas plants.</w:t>
      </w:r>
    </w:p>
    <w:p w14:paraId="77435384" w14:textId="77777777" w:rsidR="00F11CEE" w:rsidRDefault="00F11CEE" w:rsidP="00F11CEE">
      <w:r>
        <w:t>The majority of generators in the CEMS dataset report at least a small number of hourly fuel consumption and electricity output pairings which together imply a heat rate above 12,500 Btu/kWh. However, not all of these values are representative of a generator’s true heat rate, given that a minority of these hourly implied heat rates are an order of magnitude larger than the range of heat rates generally accepted as representative of natural gas power plants.</w:t>
      </w:r>
    </w:p>
    <w:p w14:paraId="6CE7DD65" w14:textId="6AEB7C1D" w:rsidR="00F11CEE" w:rsidRDefault="00F11CEE" w:rsidP="00F11CEE">
      <w:r>
        <w:t xml:space="preserve">To validate that there are in fact generators operating with </w:t>
      </w:r>
      <w:r w:rsidRPr="00D50FA9">
        <w:rPr>
          <w:u w:val="single"/>
        </w:rPr>
        <w:t>realistic</w:t>
      </w:r>
      <w:r>
        <w:t xml:space="preserve"> heat rates above 12,500 Btu/kWh, we analyzed several generators with relatively inefficient reported heat rates, comparing the number of operating hours in 2018 to the number of hours operating with implied heat rates above several threshold values. The results of this analysis are shown in the following table.</w:t>
      </w:r>
    </w:p>
    <w:p w14:paraId="670563D6" w14:textId="3E5D03C6" w:rsidR="00F11CEE" w:rsidRPr="00D20FB5" w:rsidRDefault="00F11CEE" w:rsidP="00F11CEE">
      <w:pPr>
        <w:pStyle w:val="Caption"/>
      </w:pPr>
      <w:r>
        <w:lastRenderedPageBreak/>
        <w:t xml:space="preserve">Table </w:t>
      </w:r>
      <w:r>
        <w:rPr>
          <w:noProof/>
        </w:rPr>
        <w:fldChar w:fldCharType="begin"/>
      </w:r>
      <w:r>
        <w:rPr>
          <w:noProof/>
        </w:rPr>
        <w:instrText xml:space="preserve"> SEQ Table \* ARABIC </w:instrText>
      </w:r>
      <w:r>
        <w:rPr>
          <w:noProof/>
        </w:rPr>
        <w:fldChar w:fldCharType="separate"/>
      </w:r>
      <w:r w:rsidR="0097492A">
        <w:rPr>
          <w:noProof/>
        </w:rPr>
        <w:t>17</w:t>
      </w:r>
      <w:r>
        <w:rPr>
          <w:noProof/>
        </w:rPr>
        <w:fldChar w:fldCharType="end"/>
      </w:r>
      <w:r>
        <w:t>:  Low Efficiency Threshold Analysis</w:t>
      </w:r>
    </w:p>
    <w:p w14:paraId="0C3422AD" w14:textId="59A58B22" w:rsidR="00F11CEE" w:rsidRDefault="00F11CEE" w:rsidP="00F11CEE">
      <w:pPr>
        <w:spacing w:after="0"/>
        <w:jc w:val="center"/>
      </w:pPr>
      <w:r w:rsidRPr="00D20FB5">
        <w:rPr>
          <w:noProof/>
        </w:rPr>
        <w:drawing>
          <wp:inline distT="0" distB="0" distL="0" distR="0" wp14:anchorId="07173A05" wp14:editId="2236B4D0">
            <wp:extent cx="5753100" cy="14733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21327" cy="1490782"/>
                    </a:xfrm>
                    <a:prstGeom prst="rect">
                      <a:avLst/>
                    </a:prstGeom>
                    <a:noFill/>
                    <a:ln>
                      <a:noFill/>
                    </a:ln>
                  </pic:spPr>
                </pic:pic>
              </a:graphicData>
            </a:graphic>
          </wp:inline>
        </w:drawing>
      </w:r>
    </w:p>
    <w:p w14:paraId="3ED76DD2" w14:textId="7AADC420" w:rsidR="00F11CEE" w:rsidRPr="00F11CEE" w:rsidRDefault="00F11CEE" w:rsidP="00F11CEE">
      <w:pPr>
        <w:spacing w:before="0"/>
        <w:rPr>
          <w:b/>
          <w:bCs/>
          <w:sz w:val="18"/>
          <w:szCs w:val="18"/>
        </w:rPr>
      </w:pPr>
      <w:r w:rsidRPr="00D50FA9">
        <w:rPr>
          <w:b/>
          <w:bCs/>
          <w:sz w:val="18"/>
          <w:szCs w:val="18"/>
        </w:rPr>
        <w:t xml:space="preserve">Notes: 1) none of these </w:t>
      </w:r>
      <w:r>
        <w:rPr>
          <w:b/>
          <w:bCs/>
          <w:sz w:val="18"/>
          <w:szCs w:val="18"/>
        </w:rPr>
        <w:t>units</w:t>
      </w:r>
      <w:r w:rsidRPr="00D50FA9">
        <w:rPr>
          <w:b/>
          <w:bCs/>
          <w:sz w:val="18"/>
          <w:szCs w:val="18"/>
        </w:rPr>
        <w:t xml:space="preserve"> are cogeneration plants</w:t>
      </w:r>
      <w:r>
        <w:rPr>
          <w:b/>
          <w:bCs/>
          <w:sz w:val="18"/>
          <w:szCs w:val="18"/>
        </w:rPr>
        <w:t xml:space="preserve">; </w:t>
      </w:r>
      <w:r w:rsidRPr="00D50FA9">
        <w:rPr>
          <w:b/>
          <w:bCs/>
          <w:sz w:val="18"/>
          <w:szCs w:val="18"/>
        </w:rPr>
        <w:t>2) 10,000 and 15,000 Btu/kWh were chosen to represent +/- 20 percent of the 12,500 threshold.</w:t>
      </w:r>
    </w:p>
    <w:p w14:paraId="4DC82E5F" w14:textId="77777777" w:rsidR="00F11CEE" w:rsidRPr="00ED370C" w:rsidRDefault="00F11CEE" w:rsidP="00F11CEE">
      <w:r>
        <w:t>While most of these units report a relatively small portion of their hours with implied heat rates above the 12,500 Btu/kWh threshold, there are nonetheless a sufficient proportion of high-heat rate hours within a reasonable range (i.e., between 12,500 and 15,000 Btu/kWh) to conclude that some operating, potentially-marginal natural gas plants in California at times have heat rates at least as inefficient as the low efficiency cutoff, indicating that lowering this value to a more efficient range is not warranted at this time.</w:t>
      </w:r>
    </w:p>
    <w:p w14:paraId="38757063" w14:textId="27C358D8" w:rsidR="48773D83" w:rsidRDefault="48773D83" w:rsidP="00F11CEE">
      <w:r>
        <w:br w:type="page"/>
      </w:r>
    </w:p>
    <w:p w14:paraId="657D5C3E" w14:textId="17A3C55D" w:rsidR="63B5EF78" w:rsidRPr="00E439E8" w:rsidRDefault="63B5EF78">
      <w:pPr>
        <w:pStyle w:val="Heading1"/>
        <w:rPr>
          <w:lang w:val="en-US"/>
        </w:rPr>
      </w:pPr>
      <w:bookmarkStart w:id="111" w:name="_Toc12445862"/>
      <w:r w:rsidRPr="0078015E">
        <w:lastRenderedPageBreak/>
        <w:t xml:space="preserve">User </w:t>
      </w:r>
      <w:r w:rsidR="5EBC713F" w:rsidRPr="0078015E">
        <w:t xml:space="preserve">Quick </w:t>
      </w:r>
      <w:r w:rsidRPr="0078015E">
        <w:t>Guide</w:t>
      </w:r>
      <w:r w:rsidR="4941E8D8" w:rsidRPr="0078015E">
        <w:t xml:space="preserve"> </w:t>
      </w:r>
      <w:r w:rsidR="00B43108">
        <w:rPr>
          <w:lang w:val="en-US"/>
        </w:rPr>
        <w:t xml:space="preserve">ACC </w:t>
      </w:r>
      <w:r w:rsidR="00C81396">
        <w:rPr>
          <w:lang w:val="en-US"/>
        </w:rPr>
        <w:t>201</w:t>
      </w:r>
      <w:r w:rsidR="00C53570">
        <w:rPr>
          <w:lang w:val="en-US"/>
        </w:rPr>
        <w:t>9</w:t>
      </w:r>
      <w:r w:rsidR="00C81396">
        <w:rPr>
          <w:lang w:val="en-US"/>
        </w:rPr>
        <w:t xml:space="preserve"> </w:t>
      </w:r>
      <w:r w:rsidR="00B43108">
        <w:rPr>
          <w:lang w:val="en-US"/>
        </w:rPr>
        <w:t>v1</w:t>
      </w:r>
      <w:bookmarkEnd w:id="111"/>
    </w:p>
    <w:p w14:paraId="4B5BCB3E" w14:textId="64BD6014" w:rsidR="542F65D8" w:rsidRPr="00020926" w:rsidRDefault="269F9AF4" w:rsidP="008A6BDD">
      <w:pPr>
        <w:pStyle w:val="Heading2"/>
      </w:pPr>
      <w:bookmarkStart w:id="112" w:name="_Toc12445863"/>
      <w:r w:rsidRPr="00C97CE1">
        <w:t>Purpose</w:t>
      </w:r>
      <w:bookmarkEnd w:id="112"/>
    </w:p>
    <w:p w14:paraId="35DEF7FC" w14:textId="21FC6428" w:rsidR="542F65D8" w:rsidRDefault="22C612E7">
      <w:r>
        <w:t xml:space="preserve">The Avoided Cost </w:t>
      </w:r>
      <w:r w:rsidR="00B43108">
        <w:t xml:space="preserve">Calculator </w:t>
      </w:r>
      <w:r>
        <w:t>(</w:t>
      </w:r>
      <w:r w:rsidR="00B43108">
        <w:t>ACC</w:t>
      </w:r>
      <w:r>
        <w:t xml:space="preserve">) </w:t>
      </w:r>
      <w:r w:rsidR="4612FEEA">
        <w:t xml:space="preserve">is a Microsoft Excel-based tool to </w:t>
      </w:r>
      <w:r w:rsidR="267EB7E2">
        <w:t xml:space="preserve">calculate electricity avoided costs </w:t>
      </w:r>
      <w:r w:rsidR="17562FED">
        <w:t>by hour and component</w:t>
      </w:r>
      <w:r w:rsidR="005C385F">
        <w:t xml:space="preserve">. </w:t>
      </w:r>
      <w:r w:rsidR="2A1C32A5">
        <w:t xml:space="preserve">The </w:t>
      </w:r>
      <w:r w:rsidR="00B43108">
        <w:t xml:space="preserve">ACC </w:t>
      </w:r>
      <w:r w:rsidR="2A1C32A5">
        <w:t>shows levelized hourly c</w:t>
      </w:r>
      <w:r w:rsidR="5C41FFA1">
        <w:t>osts by component for one year on the</w:t>
      </w:r>
      <w:r w:rsidR="5C41FFA1" w:rsidRPr="008A6BDD">
        <w:rPr>
          <w:b/>
          <w:bCs/>
        </w:rPr>
        <w:t xml:space="preserve"> </w:t>
      </w:r>
      <w:r w:rsidR="00CE1B8E">
        <w:rPr>
          <w:b/>
          <w:bCs/>
        </w:rPr>
        <w:t>Dashboard</w:t>
      </w:r>
      <w:r w:rsidR="5C41FFA1">
        <w:t xml:space="preserve"> tab</w:t>
      </w:r>
      <w:r w:rsidR="005C385F">
        <w:t xml:space="preserve">. </w:t>
      </w:r>
      <w:r w:rsidR="398EA8BC">
        <w:t xml:space="preserve">The </w:t>
      </w:r>
      <w:r w:rsidR="00B43108">
        <w:t xml:space="preserve">ACC </w:t>
      </w:r>
      <w:r w:rsidR="398EA8BC">
        <w:t>ca</w:t>
      </w:r>
      <w:r w:rsidR="608AEB6E">
        <w:t xml:space="preserve">n also generate the </w:t>
      </w:r>
      <w:r w:rsidR="00B43108">
        <w:t xml:space="preserve">31 </w:t>
      </w:r>
      <w:r w:rsidR="608AEB6E">
        <w:t>year matri</w:t>
      </w:r>
      <w:r w:rsidR="09FFC427">
        <w:t>ces</w:t>
      </w:r>
      <w:r w:rsidR="608AEB6E">
        <w:t xml:space="preserve"> of hourly costs </w:t>
      </w:r>
      <w:r w:rsidR="5DB03B08">
        <w:t>by climat</w:t>
      </w:r>
      <w:r w:rsidR="09FFC427">
        <w:t xml:space="preserve">e zone </w:t>
      </w:r>
      <w:r w:rsidR="5DB03B08">
        <w:t>that are used for energy efficiency evaluation in California</w:t>
      </w:r>
      <w:r w:rsidR="005C385F">
        <w:t xml:space="preserve">. </w:t>
      </w:r>
      <w:r w:rsidR="09FFC427">
        <w:t xml:space="preserve">These </w:t>
      </w:r>
      <w:r w:rsidR="00B43108">
        <w:t xml:space="preserve">31 </w:t>
      </w:r>
      <w:r w:rsidR="6A7F16D0">
        <w:t>year matrices are generated via VBA code and executed via the</w:t>
      </w:r>
      <w:r w:rsidR="6A7F16D0" w:rsidRPr="008A6BDD">
        <w:rPr>
          <w:b/>
          <w:bCs/>
        </w:rPr>
        <w:t xml:space="preserve"> </w:t>
      </w:r>
      <w:r w:rsidR="56BFC27A" w:rsidRPr="008A6BDD">
        <w:rPr>
          <w:b/>
          <w:bCs/>
        </w:rPr>
        <w:t>Export Annual Avoided Costs</w:t>
      </w:r>
      <w:r w:rsidR="00B43108">
        <w:rPr>
          <w:b/>
          <w:bCs/>
        </w:rPr>
        <w:t xml:space="preserve"> – ALL CZ </w:t>
      </w:r>
      <w:r w:rsidR="00B43108" w:rsidRPr="00E439E8">
        <w:rPr>
          <w:bCs/>
        </w:rPr>
        <w:t>and</w:t>
      </w:r>
      <w:r w:rsidR="00B43108">
        <w:rPr>
          <w:b/>
          <w:bCs/>
        </w:rPr>
        <w:t xml:space="preserve"> Export Gen </w:t>
      </w:r>
      <w:r w:rsidR="00C53570">
        <w:rPr>
          <w:b/>
          <w:bCs/>
        </w:rPr>
        <w:t>&amp;</w:t>
      </w:r>
      <w:r w:rsidR="00B43108">
        <w:rPr>
          <w:b/>
          <w:bCs/>
        </w:rPr>
        <w:t xml:space="preserve"> Env for EE</w:t>
      </w:r>
      <w:r w:rsidR="56BFC27A">
        <w:t xml:space="preserve"> </w:t>
      </w:r>
      <w:r w:rsidR="00522B51">
        <w:t>buttons</w:t>
      </w:r>
      <w:r w:rsidR="56BFC27A">
        <w:t xml:space="preserve"> on the </w:t>
      </w:r>
      <w:r w:rsidR="00CE1B8E">
        <w:rPr>
          <w:b/>
          <w:bCs/>
        </w:rPr>
        <w:t>Dashboard</w:t>
      </w:r>
      <w:r w:rsidR="56BFC27A">
        <w:t xml:space="preserve"> tab</w:t>
      </w:r>
      <w:r w:rsidR="005C385F">
        <w:t xml:space="preserve">. </w:t>
      </w:r>
    </w:p>
    <w:p w14:paraId="2CF4C4B6" w14:textId="3E5A9F3E" w:rsidR="4B30F5A7" w:rsidRDefault="5EA42FD1" w:rsidP="008A6BDD">
      <w:pPr>
        <w:pStyle w:val="Heading2"/>
      </w:pPr>
      <w:bookmarkStart w:id="113" w:name="_Toc12445864"/>
      <w:r w:rsidRPr="5EA42FD1">
        <w:t>Using the Model</w:t>
      </w:r>
      <w:bookmarkEnd w:id="113"/>
    </w:p>
    <w:p w14:paraId="3FD72010" w14:textId="37CB2441" w:rsidR="397B6B0F" w:rsidRDefault="397B6B0F">
      <w:r w:rsidRPr="397B6B0F">
        <w:t xml:space="preserve">The </w:t>
      </w:r>
      <w:r w:rsidR="00CE1B8E">
        <w:rPr>
          <w:b/>
          <w:bCs/>
          <w:color w:val="315361" w:themeColor="text2"/>
        </w:rPr>
        <w:t xml:space="preserve">Dashboard </w:t>
      </w:r>
      <w:r w:rsidRPr="397B6B0F">
        <w:t>tab</w:t>
      </w:r>
      <w:r w:rsidR="4924F73D" w:rsidRPr="25ED4B98">
        <w:t xml:space="preserve"> </w:t>
      </w:r>
      <w:r w:rsidRPr="397B6B0F">
        <w:t xml:space="preserve">will be the primary tab </w:t>
      </w:r>
      <w:r w:rsidR="4924F73D" w:rsidRPr="4924F73D">
        <w:t xml:space="preserve">used by most users of the </w:t>
      </w:r>
      <w:r w:rsidR="00B43108">
        <w:t>ACC</w:t>
      </w:r>
      <w:r w:rsidR="005C385F">
        <w:t xml:space="preserve">. </w:t>
      </w:r>
      <w:r w:rsidR="67D066D2" w:rsidRPr="4924F73D">
        <w:t xml:space="preserve">The tab </w:t>
      </w:r>
      <w:r w:rsidR="00B43108" w:rsidRPr="4924F73D">
        <w:t>provide</w:t>
      </w:r>
      <w:r w:rsidR="00B43108">
        <w:t>s</w:t>
      </w:r>
      <w:r w:rsidR="00B43108" w:rsidRPr="4924F73D">
        <w:t xml:space="preserve"> </w:t>
      </w:r>
      <w:r w:rsidR="67D066D2" w:rsidRPr="4924F73D">
        <w:t>user con</w:t>
      </w:r>
      <w:r w:rsidR="70EE2583" w:rsidRPr="4924F73D">
        <w:t xml:space="preserve">trols for the electricity avoided cost components to include in </w:t>
      </w:r>
      <w:r w:rsidR="00B43108">
        <w:t>the</w:t>
      </w:r>
      <w:r w:rsidR="00B43108" w:rsidRPr="4924F73D">
        <w:t xml:space="preserve"> </w:t>
      </w:r>
      <w:r w:rsidR="70EE2583" w:rsidRPr="4924F73D">
        <w:t>output</w:t>
      </w:r>
      <w:r w:rsidR="005C385F">
        <w:t xml:space="preserve">. </w:t>
      </w:r>
      <w:r w:rsidR="0517B396" w:rsidRPr="4924F73D">
        <w:t xml:space="preserve">The tab also allows the user to </w:t>
      </w:r>
      <w:r w:rsidR="6BDDDCCD" w:rsidRPr="4924F73D">
        <w:t>control which year, or which str</w:t>
      </w:r>
      <w:r w:rsidR="1E4BC8E2" w:rsidRPr="4924F73D">
        <w:t>e</w:t>
      </w:r>
      <w:r w:rsidR="6BDDDCCD" w:rsidRPr="4924F73D">
        <w:t xml:space="preserve">am of years is represented in the </w:t>
      </w:r>
      <w:r w:rsidR="10EC0ED0" w:rsidRPr="4924F73D">
        <w:t xml:space="preserve">tab </w:t>
      </w:r>
      <w:r w:rsidR="6BDDDCCD" w:rsidRPr="4924F73D">
        <w:t>output</w:t>
      </w:r>
      <w:r w:rsidR="005C385F">
        <w:t xml:space="preserve">. </w:t>
      </w:r>
      <w:r w:rsidR="10EC0ED0" w:rsidRPr="4924F73D">
        <w:t xml:space="preserve">The </w:t>
      </w:r>
      <w:r w:rsidR="00B43108" w:rsidRPr="00E439E8">
        <w:rPr>
          <w:b/>
        </w:rPr>
        <w:t>Dashboard</w:t>
      </w:r>
      <w:r w:rsidR="00B43108">
        <w:t xml:space="preserve"> tab also provides</w:t>
      </w:r>
      <w:r w:rsidR="10EC0ED0" w:rsidRPr="4924F73D">
        <w:t xml:space="preserve"> figures that summarize the </w:t>
      </w:r>
      <w:r w:rsidR="6506BF6D" w:rsidRPr="4924F73D">
        <w:t>resu</w:t>
      </w:r>
      <w:r w:rsidR="1E4BC8E2" w:rsidRPr="4924F73D">
        <w:t>lt</w:t>
      </w:r>
      <w:r w:rsidR="6506BF6D" w:rsidRPr="4924F73D">
        <w:t>s of the</w:t>
      </w:r>
      <w:r w:rsidR="6506BF6D" w:rsidRPr="25ED4B98">
        <w:t xml:space="preserve"> </w:t>
      </w:r>
      <w:r w:rsidR="6506BF6D" w:rsidRPr="4924F73D">
        <w:t>user</w:t>
      </w:r>
      <w:r w:rsidR="1E4BC8E2" w:rsidRPr="25ED4B98">
        <w:t>'</w:t>
      </w:r>
      <w:r w:rsidR="6506BF6D" w:rsidRPr="4924F73D">
        <w:t xml:space="preserve">s </w:t>
      </w:r>
      <w:r w:rsidR="10EC0ED0" w:rsidRPr="4924F73D">
        <w:t>avoide</w:t>
      </w:r>
      <w:r w:rsidR="6506BF6D" w:rsidRPr="4924F73D">
        <w:t>d cost choices</w:t>
      </w:r>
      <w:r w:rsidR="1E4BC8E2" w:rsidRPr="4924F73D">
        <w:t xml:space="preserve">, as well as the </w:t>
      </w:r>
      <w:r w:rsidR="043C1CE1" w:rsidRPr="4924F73D">
        <w:t>associated levelized hourly avoided costs by component (located</w:t>
      </w:r>
      <w:r w:rsidR="51EFAB56" w:rsidRPr="4924F73D">
        <w:t xml:space="preserve"> just below the user controls).</w:t>
      </w:r>
    </w:p>
    <w:p w14:paraId="1CF1CC93" w14:textId="09F1971F" w:rsidR="51EFAB56" w:rsidRDefault="0078015E" w:rsidP="008A6BDD">
      <w:pPr>
        <w:pStyle w:val="Caption"/>
      </w:pPr>
      <w:r>
        <w:t xml:space="preserve">Table </w:t>
      </w:r>
      <w:r w:rsidR="00D22C95">
        <w:rPr>
          <w:noProof/>
        </w:rPr>
        <w:fldChar w:fldCharType="begin"/>
      </w:r>
      <w:r w:rsidR="00D22C95">
        <w:rPr>
          <w:noProof/>
        </w:rPr>
        <w:instrText xml:space="preserve"> SEQ Table \* ARABIC </w:instrText>
      </w:r>
      <w:r w:rsidR="00D22C95">
        <w:rPr>
          <w:noProof/>
        </w:rPr>
        <w:fldChar w:fldCharType="separate"/>
      </w:r>
      <w:r w:rsidR="0097492A">
        <w:rPr>
          <w:noProof/>
        </w:rPr>
        <w:t>18</w:t>
      </w:r>
      <w:r w:rsidR="00D22C95">
        <w:rPr>
          <w:noProof/>
        </w:rPr>
        <w:fldChar w:fldCharType="end"/>
      </w:r>
      <w:r>
        <w:t xml:space="preserve">:  </w:t>
      </w:r>
      <w:r w:rsidR="3D64678B">
        <w:t>Summary of Controls</w:t>
      </w:r>
    </w:p>
    <w:tbl>
      <w:tblPr>
        <w:tblStyle w:val="GridTable4-Accent11"/>
        <w:tblW w:w="0" w:type="auto"/>
        <w:tblLook w:val="06A0" w:firstRow="1" w:lastRow="0" w:firstColumn="1" w:lastColumn="0" w:noHBand="1" w:noVBand="1"/>
      </w:tblPr>
      <w:tblGrid>
        <w:gridCol w:w="1652"/>
        <w:gridCol w:w="7698"/>
      </w:tblGrid>
      <w:tr w:rsidR="3D64678B" w14:paraId="2B886AD8" w14:textId="77777777" w:rsidTr="008A6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4CD791" w14:textId="689ED6D4" w:rsidR="3D64678B" w:rsidRPr="008A3855" w:rsidRDefault="3D64678B" w:rsidP="008A6BDD">
            <w:pPr>
              <w:spacing w:before="120" w:after="120" w:line="240" w:lineRule="auto"/>
              <w:rPr>
                <w:rFonts w:asciiTheme="minorHAnsi" w:hAnsiTheme="minorHAnsi" w:cstheme="minorHAnsi"/>
              </w:rPr>
            </w:pPr>
            <w:r w:rsidRPr="008A3855">
              <w:rPr>
                <w:rFonts w:asciiTheme="minorHAnsi" w:hAnsiTheme="minorHAnsi" w:cstheme="minorHAnsi"/>
              </w:rPr>
              <w:t>Control</w:t>
            </w:r>
          </w:p>
        </w:tc>
        <w:tc>
          <w:tcPr>
            <w:tcW w:w="0" w:type="auto"/>
          </w:tcPr>
          <w:p w14:paraId="5F248CBC" w14:textId="391C8A15" w:rsidR="3D64678B" w:rsidRPr="008A3855" w:rsidRDefault="0BBD0E17" w:rsidP="008A6BDD">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A3855">
              <w:rPr>
                <w:rFonts w:asciiTheme="minorHAnsi" w:hAnsiTheme="minorHAnsi" w:cstheme="minorHAnsi"/>
              </w:rPr>
              <w:t>Note</w:t>
            </w:r>
          </w:p>
        </w:tc>
      </w:tr>
      <w:tr w:rsidR="00B43108" w14:paraId="5C6C3A3E" w14:textId="77777777" w:rsidTr="008A6BDD">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tcPr>
          <w:p w14:paraId="28475167" w14:textId="6EEA5D0B" w:rsidR="00B43108" w:rsidRPr="008A3855" w:rsidRDefault="00B43108" w:rsidP="00E439E8">
            <w:pPr>
              <w:pStyle w:val="Table"/>
              <w:rPr>
                <w:rFonts w:asciiTheme="minorHAnsi" w:hAnsiTheme="minorHAnsi" w:cstheme="minorHAnsi"/>
              </w:rPr>
            </w:pPr>
            <w:r w:rsidRPr="008A3855">
              <w:rPr>
                <w:rFonts w:asciiTheme="minorHAnsi" w:hAnsiTheme="minorHAnsi" w:cstheme="minorHAnsi"/>
              </w:rPr>
              <w:t>Utility</w:t>
            </w:r>
          </w:p>
        </w:tc>
        <w:tc>
          <w:tcPr>
            <w:tcW w:w="0" w:type="auto"/>
            <w:tcBorders>
              <w:left w:val="single" w:sz="4" w:space="0" w:color="auto"/>
              <w:bottom w:val="single" w:sz="4" w:space="0" w:color="auto"/>
              <w:right w:val="single" w:sz="4" w:space="0" w:color="auto"/>
            </w:tcBorders>
          </w:tcPr>
          <w:p w14:paraId="530AB26F" w14:textId="5DC5849E" w:rsidR="00B43108" w:rsidRPr="008A3855" w:rsidRDefault="00B43108" w:rsidP="00E439E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A3855">
              <w:rPr>
                <w:rFonts w:asciiTheme="minorHAnsi" w:hAnsiTheme="minorHAnsi" w:cstheme="minorHAnsi"/>
              </w:rPr>
              <w:t>PG&amp;E, SCE, or SDG&amp;E</w:t>
            </w:r>
          </w:p>
        </w:tc>
      </w:tr>
      <w:tr w:rsidR="00B43108" w14:paraId="6FB2C6DC" w14:textId="77777777" w:rsidTr="008A6BDD">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tcPr>
          <w:p w14:paraId="67F83AAE" w14:textId="4AB644AB" w:rsidR="00B43108" w:rsidRPr="008A3855" w:rsidRDefault="00B43108" w:rsidP="00E439E8">
            <w:pPr>
              <w:pStyle w:val="Table"/>
              <w:rPr>
                <w:rFonts w:asciiTheme="minorHAnsi" w:eastAsia="Segoe UI" w:hAnsiTheme="minorHAnsi" w:cstheme="minorHAnsi"/>
              </w:rPr>
            </w:pPr>
            <w:r w:rsidRPr="008A3855">
              <w:rPr>
                <w:rFonts w:asciiTheme="minorHAnsi" w:hAnsiTheme="minorHAnsi" w:cstheme="minorHAnsi"/>
              </w:rPr>
              <w:t>Climate Zone</w:t>
            </w:r>
          </w:p>
        </w:tc>
        <w:tc>
          <w:tcPr>
            <w:tcW w:w="0" w:type="auto"/>
            <w:tcBorders>
              <w:left w:val="single" w:sz="4" w:space="0" w:color="auto"/>
              <w:bottom w:val="single" w:sz="4" w:space="0" w:color="auto"/>
              <w:right w:val="single" w:sz="4" w:space="0" w:color="auto"/>
            </w:tcBorders>
          </w:tcPr>
          <w:p w14:paraId="38F02471" w14:textId="5ECE4D4C" w:rsidR="00B43108" w:rsidRPr="008A3855" w:rsidRDefault="00B43108" w:rsidP="00E439E8">
            <w:pPr>
              <w:pStyle w:val="Table"/>
              <w:cnfStyle w:val="000000000000" w:firstRow="0" w:lastRow="0" w:firstColumn="0" w:lastColumn="0" w:oddVBand="0" w:evenVBand="0" w:oddHBand="0" w:evenHBand="0" w:firstRowFirstColumn="0" w:firstRowLastColumn="0" w:lastRowFirstColumn="0" w:lastRowLastColumn="0"/>
              <w:rPr>
                <w:rFonts w:asciiTheme="minorHAnsi" w:eastAsia="Segoe UI" w:hAnsiTheme="minorHAnsi" w:cstheme="minorHAnsi"/>
              </w:rPr>
            </w:pPr>
            <w:r w:rsidRPr="008A3855">
              <w:rPr>
                <w:rFonts w:asciiTheme="minorHAnsi" w:hAnsiTheme="minorHAnsi" w:cstheme="minorHAnsi"/>
              </w:rPr>
              <w:t>The ACC produces avoided costs that are specific to climate zones</w:t>
            </w:r>
            <w:r w:rsidR="005C385F" w:rsidRPr="008A3855">
              <w:rPr>
                <w:rFonts w:asciiTheme="minorHAnsi" w:hAnsiTheme="minorHAnsi" w:cstheme="minorHAnsi"/>
              </w:rPr>
              <w:t xml:space="preserve">. </w:t>
            </w:r>
            <w:r w:rsidRPr="008A3855">
              <w:rPr>
                <w:rFonts w:asciiTheme="minorHAnsi" w:hAnsiTheme="minorHAnsi" w:cstheme="minorHAnsi"/>
              </w:rPr>
              <w:t>The climate zones correspond to those used by the California Energy Commission for the Title-24 Building Energy Standards</w:t>
            </w:r>
            <w:r w:rsidR="008565B2" w:rsidRPr="008A3855">
              <w:rPr>
                <w:rFonts w:asciiTheme="minorHAnsi" w:hAnsiTheme="minorHAnsi" w:cstheme="minorHAnsi"/>
              </w:rPr>
              <w:t xml:space="preserve">. </w:t>
            </w:r>
            <w:r w:rsidRPr="008A3855">
              <w:rPr>
                <w:rFonts w:asciiTheme="minorHAnsi" w:hAnsiTheme="minorHAnsi" w:cstheme="minorHAnsi"/>
              </w:rPr>
              <w:t>Climate zone 3 has been divided into 3A (San Francisco and Peninsula) and 3B (Oakland and East Bay) because of the large historical difference in distribution capacity costs for those areas within climate zone 3.</w:t>
            </w:r>
          </w:p>
        </w:tc>
      </w:tr>
      <w:tr w:rsidR="00B43108" w14:paraId="37C8A74D" w14:textId="77777777" w:rsidTr="008A6BDD">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tcPr>
          <w:p w14:paraId="6224C577" w14:textId="0C846085" w:rsidR="00B43108" w:rsidRPr="008A3855" w:rsidRDefault="00B43108" w:rsidP="00E439E8">
            <w:pPr>
              <w:pStyle w:val="Table"/>
              <w:rPr>
                <w:rFonts w:asciiTheme="minorHAnsi" w:hAnsiTheme="minorHAnsi" w:cstheme="minorHAnsi"/>
              </w:rPr>
            </w:pPr>
            <w:r w:rsidRPr="008A3855">
              <w:rPr>
                <w:rFonts w:asciiTheme="minorHAnsi" w:eastAsia="Segoe UI" w:hAnsiTheme="minorHAnsi" w:cstheme="minorHAnsi"/>
              </w:rPr>
              <w:t>Include Reserve Margin</w:t>
            </w:r>
          </w:p>
        </w:tc>
        <w:tc>
          <w:tcPr>
            <w:tcW w:w="0" w:type="auto"/>
            <w:tcBorders>
              <w:left w:val="single" w:sz="4" w:space="0" w:color="auto"/>
              <w:bottom w:val="single" w:sz="4" w:space="0" w:color="auto"/>
              <w:right w:val="single" w:sz="4" w:space="0" w:color="auto"/>
            </w:tcBorders>
          </w:tcPr>
          <w:p w14:paraId="37B8635D" w14:textId="241F8F3D" w:rsidR="00B43108" w:rsidRPr="008A3855" w:rsidRDefault="00602B3F" w:rsidP="00E439E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A3855">
              <w:rPr>
                <w:rFonts w:asciiTheme="minorHAnsi" w:eastAsia="Segoe UI" w:hAnsiTheme="minorHAnsi" w:cstheme="minorHAnsi"/>
              </w:rPr>
              <w:t xml:space="preserve">(1 or 0)  </w:t>
            </w:r>
            <w:r w:rsidR="00B43108" w:rsidRPr="008A3855">
              <w:rPr>
                <w:rFonts w:asciiTheme="minorHAnsi" w:eastAsia="Segoe UI" w:hAnsiTheme="minorHAnsi" w:cstheme="minorHAnsi"/>
              </w:rPr>
              <w:t>The default value of 1 should be used for avoided costs at the customer-level, that is avoided costs for demand-side actions</w:t>
            </w:r>
            <w:r w:rsidR="005C385F" w:rsidRPr="008A3855">
              <w:rPr>
                <w:rFonts w:asciiTheme="minorHAnsi" w:eastAsia="Segoe UI" w:hAnsiTheme="minorHAnsi" w:cstheme="minorHAnsi"/>
              </w:rPr>
              <w:t xml:space="preserve">. </w:t>
            </w:r>
            <w:r w:rsidR="00B43108" w:rsidRPr="008A3855">
              <w:rPr>
                <w:rFonts w:asciiTheme="minorHAnsi" w:eastAsia="Segoe UI" w:hAnsiTheme="minorHAnsi" w:cstheme="minorHAnsi"/>
              </w:rPr>
              <w:t>For generators that do not reduce customer load, this value should be set to zero</w:t>
            </w:r>
            <w:r w:rsidR="005C385F" w:rsidRPr="008A3855">
              <w:rPr>
                <w:rFonts w:asciiTheme="minorHAnsi" w:eastAsia="Segoe UI" w:hAnsiTheme="minorHAnsi" w:cstheme="minorHAnsi"/>
              </w:rPr>
              <w:t xml:space="preserve">. </w:t>
            </w:r>
            <w:r w:rsidR="00B43108" w:rsidRPr="008A3855">
              <w:rPr>
                <w:rFonts w:asciiTheme="minorHAnsi" w:eastAsia="Segoe UI" w:hAnsiTheme="minorHAnsi" w:cstheme="minorHAnsi"/>
              </w:rPr>
              <w:t>Reductions i</w:t>
            </w:r>
            <w:r w:rsidR="00FC159A" w:rsidRPr="008A3855">
              <w:rPr>
                <w:rFonts w:asciiTheme="minorHAnsi" w:eastAsia="Segoe UI" w:hAnsiTheme="minorHAnsi" w:cstheme="minorHAnsi"/>
              </w:rPr>
              <w:t>n</w:t>
            </w:r>
            <w:r w:rsidR="00B43108" w:rsidRPr="008A3855">
              <w:rPr>
                <w:rFonts w:asciiTheme="minorHAnsi" w:eastAsia="Segoe UI" w:hAnsiTheme="minorHAnsi" w:cstheme="minorHAnsi"/>
              </w:rPr>
              <w:t xml:space="preserve"> load produce additional value compared to generation because of the planning reserve margin</w:t>
            </w:r>
            <w:r w:rsidR="005C385F" w:rsidRPr="008A3855">
              <w:rPr>
                <w:rFonts w:asciiTheme="minorHAnsi" w:eastAsia="Segoe UI" w:hAnsiTheme="minorHAnsi" w:cstheme="minorHAnsi"/>
              </w:rPr>
              <w:t xml:space="preserve">. </w:t>
            </w:r>
            <w:r w:rsidR="00B43108" w:rsidRPr="008A3855">
              <w:rPr>
                <w:rFonts w:asciiTheme="minorHAnsi" w:eastAsia="Segoe UI" w:hAnsiTheme="minorHAnsi" w:cstheme="minorHAnsi"/>
              </w:rPr>
              <w:lastRenderedPageBreak/>
              <w:t xml:space="preserve">Setting the value to zero removes the extra planning reserve margin generation capacity benefit from the avoided cost stream. </w:t>
            </w:r>
          </w:p>
        </w:tc>
      </w:tr>
      <w:tr w:rsidR="00FC159A" w14:paraId="48B6046F" w14:textId="77777777" w:rsidTr="00662708">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tcPr>
          <w:p w14:paraId="3EF96F44" w14:textId="6248F663" w:rsidR="00FC159A" w:rsidRPr="008A3855" w:rsidRDefault="00FC159A" w:rsidP="00E439E8">
            <w:pPr>
              <w:pStyle w:val="Table"/>
              <w:rPr>
                <w:rFonts w:asciiTheme="minorHAnsi" w:hAnsiTheme="minorHAnsi" w:cstheme="minorHAnsi"/>
              </w:rPr>
            </w:pPr>
            <w:r w:rsidRPr="008A3855">
              <w:rPr>
                <w:rFonts w:asciiTheme="minorHAnsi" w:eastAsia="Calibri" w:hAnsiTheme="minorHAnsi" w:cstheme="minorHAnsi"/>
              </w:rPr>
              <w:lastRenderedPageBreak/>
              <w:t>Start year</w:t>
            </w:r>
          </w:p>
        </w:tc>
        <w:tc>
          <w:tcPr>
            <w:tcW w:w="0" w:type="auto"/>
            <w:tcBorders>
              <w:left w:val="single" w:sz="4" w:space="0" w:color="auto"/>
              <w:bottom w:val="single" w:sz="4" w:space="0" w:color="auto"/>
              <w:right w:val="single" w:sz="4" w:space="0" w:color="auto"/>
            </w:tcBorders>
          </w:tcPr>
          <w:p w14:paraId="4BA486F2" w14:textId="411225D1" w:rsidR="00FC159A" w:rsidRPr="008A3855" w:rsidRDefault="00602B3F" w:rsidP="00E439E8">
            <w:pPr>
              <w:pStyle w:val="Tabl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8A3855">
              <w:rPr>
                <w:rFonts w:asciiTheme="minorHAnsi" w:eastAsia="Calibri" w:hAnsiTheme="minorHAnsi" w:cstheme="minorHAnsi"/>
              </w:rPr>
              <w:t>(</w:t>
            </w:r>
            <w:r w:rsidR="00C81396" w:rsidRPr="008A3855">
              <w:rPr>
                <w:rFonts w:asciiTheme="minorHAnsi" w:eastAsia="Calibri" w:hAnsiTheme="minorHAnsi" w:cstheme="minorHAnsi"/>
              </w:rPr>
              <w:t xml:space="preserve">2018 </w:t>
            </w:r>
            <w:r w:rsidRPr="008A3855">
              <w:rPr>
                <w:rFonts w:asciiTheme="minorHAnsi" w:eastAsia="Calibri" w:hAnsiTheme="minorHAnsi" w:cstheme="minorHAnsi"/>
              </w:rPr>
              <w:t xml:space="preserve">– </w:t>
            </w:r>
            <w:r w:rsidR="00C81396" w:rsidRPr="008A3855">
              <w:rPr>
                <w:rFonts w:asciiTheme="minorHAnsi" w:eastAsia="Calibri" w:hAnsiTheme="minorHAnsi" w:cstheme="minorHAnsi"/>
              </w:rPr>
              <w:t>2048</w:t>
            </w:r>
            <w:r w:rsidRPr="008A3855">
              <w:rPr>
                <w:rFonts w:asciiTheme="minorHAnsi" w:eastAsia="Calibri" w:hAnsiTheme="minorHAnsi" w:cstheme="minorHAnsi"/>
              </w:rPr>
              <w:t xml:space="preserve">)  </w:t>
            </w:r>
            <w:r w:rsidR="00FC159A" w:rsidRPr="008A3855">
              <w:rPr>
                <w:rFonts w:asciiTheme="minorHAnsi" w:eastAsia="Calibri" w:hAnsiTheme="minorHAnsi" w:cstheme="minorHAnsi"/>
              </w:rPr>
              <w:t>This is the first year for reported avoided cost results. The avoided cost results will be expressed in this year's dollars. If a levelization period of one year is used, then the levelization results will be the avoided costs for this year only</w:t>
            </w:r>
            <w:r w:rsidR="008565B2" w:rsidRPr="008A3855">
              <w:rPr>
                <w:rFonts w:asciiTheme="minorHAnsi" w:eastAsia="Calibri" w:hAnsiTheme="minorHAnsi" w:cstheme="minorHAnsi"/>
              </w:rPr>
              <w:t xml:space="preserve">. </w:t>
            </w:r>
            <w:r w:rsidR="00FC159A" w:rsidRPr="008A3855">
              <w:rPr>
                <w:rFonts w:asciiTheme="minorHAnsi" w:eastAsia="Calibri" w:hAnsiTheme="minorHAnsi" w:cstheme="minorHAnsi"/>
              </w:rPr>
              <w:t>Otherwise, this is the first year of the levelization stream.</w:t>
            </w:r>
          </w:p>
          <w:p w14:paraId="022E63C4" w14:textId="2CB5B7CB" w:rsidR="00602B3F" w:rsidRPr="008A3855" w:rsidRDefault="00602B3F" w:rsidP="00E439E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A3855">
              <w:rPr>
                <w:rFonts w:asciiTheme="minorHAnsi" w:hAnsiTheme="minorHAnsi" w:cstheme="minorHAnsi"/>
              </w:rPr>
              <w:t>Note that the ACC only contains avoided costs through 2047, so the combination of this entry and the Levelization Period should not exceed 2047.</w:t>
            </w:r>
          </w:p>
        </w:tc>
      </w:tr>
      <w:tr w:rsidR="00FC159A" w14:paraId="027672FD" w14:textId="77777777" w:rsidTr="008A6B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right w:val="single" w:sz="4" w:space="0" w:color="auto"/>
            </w:tcBorders>
          </w:tcPr>
          <w:p w14:paraId="51FBFABA" w14:textId="09F68BD9" w:rsidR="00FC159A" w:rsidRPr="008A3855" w:rsidRDefault="00FC159A" w:rsidP="00E439E8">
            <w:pPr>
              <w:pStyle w:val="Table"/>
              <w:rPr>
                <w:rFonts w:asciiTheme="minorHAnsi" w:hAnsiTheme="minorHAnsi" w:cstheme="minorHAnsi"/>
              </w:rPr>
            </w:pPr>
            <w:r w:rsidRPr="008A3855">
              <w:rPr>
                <w:rFonts w:asciiTheme="minorHAnsi" w:hAnsiTheme="minorHAnsi" w:cstheme="minorHAnsi"/>
              </w:rPr>
              <w:t>Levelization Period</w:t>
            </w:r>
          </w:p>
        </w:tc>
        <w:tc>
          <w:tcPr>
            <w:tcW w:w="0" w:type="auto"/>
            <w:tcBorders>
              <w:top w:val="single" w:sz="4" w:space="0" w:color="auto"/>
              <w:left w:val="single" w:sz="4" w:space="0" w:color="auto"/>
              <w:right w:val="single" w:sz="4" w:space="0" w:color="auto"/>
            </w:tcBorders>
          </w:tcPr>
          <w:p w14:paraId="67ACC62F" w14:textId="4D5A6D54" w:rsidR="00FC159A" w:rsidRPr="008A3855" w:rsidRDefault="00602B3F" w:rsidP="00E439E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A3855">
              <w:rPr>
                <w:rFonts w:asciiTheme="minorHAnsi" w:hAnsiTheme="minorHAnsi" w:cstheme="minorHAnsi"/>
              </w:rPr>
              <w:t xml:space="preserve">(1-30)  </w:t>
            </w:r>
            <w:r w:rsidR="00FC159A" w:rsidRPr="008A3855">
              <w:rPr>
                <w:rFonts w:asciiTheme="minorHAnsi" w:hAnsiTheme="minorHAnsi" w:cstheme="minorHAnsi"/>
              </w:rPr>
              <w:t>The number of years to include in the levelization period</w:t>
            </w:r>
            <w:r w:rsidR="005C385F" w:rsidRPr="008A3855">
              <w:rPr>
                <w:rFonts w:asciiTheme="minorHAnsi" w:hAnsiTheme="minorHAnsi" w:cstheme="minorHAnsi"/>
              </w:rPr>
              <w:t xml:space="preserve">. </w:t>
            </w:r>
            <w:r w:rsidR="00FC159A" w:rsidRPr="008A3855">
              <w:rPr>
                <w:rFonts w:asciiTheme="minorHAnsi" w:hAnsiTheme="minorHAnsi" w:cstheme="minorHAnsi"/>
              </w:rPr>
              <w:t>The levelization uses the real discount rate from the Inputs tab, and therefore is constant in real dollars, not nominal dollars</w:t>
            </w:r>
            <w:r w:rsidR="005C385F" w:rsidRPr="008A3855">
              <w:rPr>
                <w:rFonts w:asciiTheme="minorHAnsi" w:hAnsiTheme="minorHAnsi" w:cstheme="minorHAnsi"/>
              </w:rPr>
              <w:t xml:space="preserve">. </w:t>
            </w:r>
            <w:r w:rsidR="00FC159A" w:rsidRPr="008A3855">
              <w:rPr>
                <w:rFonts w:asciiTheme="minorHAnsi" w:hAnsiTheme="minorHAnsi" w:cstheme="minorHAnsi"/>
              </w:rPr>
              <w:t>To convert the levelized values into annual values in nominal dollars, the levelized results should be escalated by inflation each year.</w:t>
            </w:r>
          </w:p>
        </w:tc>
      </w:tr>
      <w:tr w:rsidR="00FC159A" w14:paraId="63C92343" w14:textId="77777777" w:rsidTr="008A6B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37BB5FF9" w14:textId="54A088D4" w:rsidR="00FC159A" w:rsidRPr="008A3855" w:rsidRDefault="00602B3F" w:rsidP="00E439E8">
            <w:pPr>
              <w:pStyle w:val="Table"/>
              <w:rPr>
                <w:rFonts w:asciiTheme="minorHAnsi" w:hAnsiTheme="minorHAnsi" w:cstheme="minorHAnsi"/>
              </w:rPr>
            </w:pPr>
            <w:r w:rsidRPr="008A3855">
              <w:rPr>
                <w:rFonts w:asciiTheme="minorHAnsi" w:hAnsiTheme="minorHAnsi" w:cstheme="minorHAnsi"/>
              </w:rPr>
              <w:t>Electricity Components</w:t>
            </w:r>
          </w:p>
        </w:tc>
        <w:tc>
          <w:tcPr>
            <w:tcW w:w="0" w:type="auto"/>
            <w:tcBorders>
              <w:top w:val="single" w:sz="4" w:space="0" w:color="auto"/>
              <w:left w:val="single" w:sz="4" w:space="0" w:color="auto"/>
              <w:bottom w:val="single" w:sz="4" w:space="0" w:color="auto"/>
              <w:right w:val="single" w:sz="4" w:space="0" w:color="auto"/>
            </w:tcBorders>
          </w:tcPr>
          <w:p w14:paraId="26B0829E" w14:textId="329910FA" w:rsidR="00FC159A" w:rsidRPr="008A3855" w:rsidRDefault="00602B3F" w:rsidP="00E439E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A3855">
              <w:rPr>
                <w:rFonts w:asciiTheme="minorHAnsi" w:hAnsiTheme="minorHAnsi" w:cstheme="minorHAnsi"/>
              </w:rPr>
              <w:t>(TRUE. FALSE)  Indicates which components to include in the avoided costs displayed in the charts, and represented in the hourly results</w:t>
            </w:r>
            <w:r w:rsidR="005C385F" w:rsidRPr="008A3855">
              <w:rPr>
                <w:rFonts w:asciiTheme="minorHAnsi" w:hAnsiTheme="minorHAnsi" w:cstheme="minorHAnsi"/>
              </w:rPr>
              <w:t xml:space="preserve">. </w:t>
            </w:r>
            <w:r w:rsidRPr="008A3855">
              <w:rPr>
                <w:rFonts w:asciiTheme="minorHAnsi" w:hAnsiTheme="minorHAnsi" w:cstheme="minorHAnsi"/>
              </w:rPr>
              <w:t>Note that Losses are energy-related losses and are included or excluded based on the selection for Energy</w:t>
            </w:r>
            <w:r w:rsidR="005C385F" w:rsidRPr="008A3855">
              <w:rPr>
                <w:rFonts w:asciiTheme="minorHAnsi" w:hAnsiTheme="minorHAnsi" w:cstheme="minorHAnsi"/>
              </w:rPr>
              <w:t xml:space="preserve">. </w:t>
            </w:r>
            <w:r w:rsidRPr="008A3855">
              <w:rPr>
                <w:rFonts w:asciiTheme="minorHAnsi" w:hAnsiTheme="minorHAnsi" w:cstheme="minorHAnsi"/>
              </w:rPr>
              <w:t>Capacity-related losses are incorporated into the respective capacity avoided costs, and not reported separately.</w:t>
            </w:r>
          </w:p>
        </w:tc>
      </w:tr>
      <w:tr w:rsidR="00FC159A" w14:paraId="35EFAACE" w14:textId="77777777" w:rsidTr="008A6B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47CD7291" w14:textId="08C6A4DE" w:rsidR="00FC159A" w:rsidRPr="008A3855" w:rsidRDefault="00602B3F" w:rsidP="00E439E8">
            <w:pPr>
              <w:pStyle w:val="Table"/>
              <w:rPr>
                <w:rFonts w:asciiTheme="minorHAnsi" w:hAnsiTheme="minorHAnsi" w:cstheme="minorHAnsi"/>
              </w:rPr>
            </w:pPr>
            <w:r w:rsidRPr="008A3855">
              <w:rPr>
                <w:rFonts w:asciiTheme="minorHAnsi" w:hAnsiTheme="minorHAnsi" w:cstheme="minorHAnsi"/>
              </w:rPr>
              <w:t>Three-day s</w:t>
            </w:r>
            <w:r w:rsidR="00522B51" w:rsidRPr="008A3855">
              <w:rPr>
                <w:rFonts w:asciiTheme="minorHAnsi" w:hAnsiTheme="minorHAnsi" w:cstheme="minorHAnsi"/>
              </w:rPr>
              <w:t>n</w:t>
            </w:r>
            <w:r w:rsidRPr="008A3855">
              <w:rPr>
                <w:rFonts w:asciiTheme="minorHAnsi" w:hAnsiTheme="minorHAnsi" w:cstheme="minorHAnsi"/>
              </w:rPr>
              <w:t>apshot Month</w:t>
            </w:r>
          </w:p>
        </w:tc>
        <w:tc>
          <w:tcPr>
            <w:tcW w:w="0" w:type="auto"/>
            <w:tcBorders>
              <w:top w:val="single" w:sz="4" w:space="0" w:color="auto"/>
              <w:left w:val="single" w:sz="4" w:space="0" w:color="auto"/>
              <w:bottom w:val="single" w:sz="4" w:space="0" w:color="auto"/>
              <w:right w:val="single" w:sz="4" w:space="0" w:color="auto"/>
            </w:tcBorders>
          </w:tcPr>
          <w:p w14:paraId="2FB10A94" w14:textId="1F6D5A85" w:rsidR="00FC159A" w:rsidRPr="008A3855" w:rsidRDefault="00602B3F" w:rsidP="00E439E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A3855">
              <w:rPr>
                <w:rFonts w:asciiTheme="minorHAnsi" w:hAnsiTheme="minorHAnsi" w:cstheme="minorHAnsi"/>
              </w:rPr>
              <w:t>(1-12)  The Dashboard can graph the component avoided costs for any continuous three-day period</w:t>
            </w:r>
            <w:r w:rsidR="005C385F" w:rsidRPr="008A3855">
              <w:rPr>
                <w:rFonts w:asciiTheme="minorHAnsi" w:hAnsiTheme="minorHAnsi" w:cstheme="minorHAnsi"/>
              </w:rPr>
              <w:t xml:space="preserve">. </w:t>
            </w:r>
            <w:r w:rsidRPr="008A3855">
              <w:rPr>
                <w:rFonts w:asciiTheme="minorHAnsi" w:hAnsiTheme="minorHAnsi" w:cstheme="minorHAnsi"/>
              </w:rPr>
              <w:t>This is the month for the first day in that period.</w:t>
            </w:r>
          </w:p>
        </w:tc>
      </w:tr>
      <w:tr w:rsidR="00602B3F" w14:paraId="55D59C72" w14:textId="77777777" w:rsidTr="008A6B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47589181" w14:textId="38D0D4DF" w:rsidR="00602B3F" w:rsidRPr="008A3855" w:rsidRDefault="00602B3F" w:rsidP="00E439E8">
            <w:pPr>
              <w:pStyle w:val="Table"/>
              <w:rPr>
                <w:rFonts w:asciiTheme="minorHAnsi" w:hAnsiTheme="minorHAnsi" w:cstheme="minorHAnsi"/>
              </w:rPr>
            </w:pPr>
            <w:r w:rsidRPr="008A3855">
              <w:rPr>
                <w:rFonts w:asciiTheme="minorHAnsi" w:hAnsiTheme="minorHAnsi" w:cstheme="minorHAnsi"/>
              </w:rPr>
              <w:t>Starting Day</w:t>
            </w:r>
          </w:p>
        </w:tc>
        <w:tc>
          <w:tcPr>
            <w:tcW w:w="0" w:type="auto"/>
            <w:tcBorders>
              <w:top w:val="single" w:sz="4" w:space="0" w:color="auto"/>
              <w:left w:val="single" w:sz="4" w:space="0" w:color="auto"/>
              <w:bottom w:val="single" w:sz="4" w:space="0" w:color="auto"/>
              <w:right w:val="single" w:sz="4" w:space="0" w:color="auto"/>
            </w:tcBorders>
          </w:tcPr>
          <w:p w14:paraId="2BD2ECDD" w14:textId="5EE2A5C4" w:rsidR="00602B3F" w:rsidRPr="008A3855" w:rsidRDefault="00602B3F" w:rsidP="00E439E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A3855">
              <w:rPr>
                <w:rFonts w:asciiTheme="minorHAnsi" w:hAnsiTheme="minorHAnsi" w:cstheme="minorHAnsi"/>
              </w:rPr>
              <w:t>(1-31)</w:t>
            </w:r>
            <w:r w:rsidR="005C385F" w:rsidRPr="008A3855">
              <w:rPr>
                <w:rFonts w:asciiTheme="minorHAnsi" w:hAnsiTheme="minorHAnsi" w:cstheme="minorHAnsi"/>
              </w:rPr>
              <w:t xml:space="preserve">. </w:t>
            </w:r>
            <w:r w:rsidRPr="008A3855">
              <w:rPr>
                <w:rFonts w:asciiTheme="minorHAnsi" w:hAnsiTheme="minorHAnsi" w:cstheme="minorHAnsi"/>
              </w:rPr>
              <w:t>This is the day of the month for the start of the three-day period.</w:t>
            </w:r>
          </w:p>
        </w:tc>
      </w:tr>
    </w:tbl>
    <w:p w14:paraId="74CD05D6" w14:textId="5B476B25" w:rsidR="5EA42FD1" w:rsidRDefault="5EA42FD1"/>
    <w:p w14:paraId="38B09CCD" w14:textId="77777777" w:rsidR="00602B3F" w:rsidRDefault="00602B3F" w:rsidP="00602B3F">
      <w:pPr>
        <w:pStyle w:val="Heading2"/>
      </w:pPr>
      <w:bookmarkStart w:id="114" w:name="_Toc12445865"/>
      <w:r>
        <w:t>Exporting Hourly Results</w:t>
      </w:r>
      <w:bookmarkEnd w:id="114"/>
    </w:p>
    <w:p w14:paraId="6F185A5D" w14:textId="5D43C8D5" w:rsidR="00602B3F" w:rsidRDefault="00602B3F" w:rsidP="00602B3F">
      <w:pPr>
        <w:pStyle w:val="BodyText"/>
      </w:pPr>
      <w:r>
        <w:t xml:space="preserve">In addition to the levelized or single year results discussed above, the Avoided Cost Calculator can produce hourly avoided costs for </w:t>
      </w:r>
      <w:r w:rsidR="00C81396">
        <w:t xml:space="preserve">2018 </w:t>
      </w:r>
      <w:r>
        <w:t xml:space="preserve">through </w:t>
      </w:r>
      <w:r w:rsidR="00C81396">
        <w:t>2048</w:t>
      </w:r>
      <w:r w:rsidR="005C385F">
        <w:t xml:space="preserve">. </w:t>
      </w:r>
      <w:r>
        <w:t>Because the amount of data associated with 31 years of hourly avoided costs, these results are output to separate Excel files, rather than added to the model itself</w:t>
      </w:r>
      <w:r w:rsidR="005C385F">
        <w:t xml:space="preserve">. </w:t>
      </w:r>
      <w:r>
        <w:t xml:space="preserve">In addition, the results are written to the output </w:t>
      </w:r>
      <w:r>
        <w:lastRenderedPageBreak/>
        <w:t>files as the total avoided cost by year and hour, but not by avoided cost component</w:t>
      </w:r>
      <w:r>
        <w:rPr>
          <w:rStyle w:val="FootnoteReference"/>
        </w:rPr>
        <w:footnoteReference w:id="28"/>
      </w:r>
      <w:r w:rsidR="005C385F">
        <w:t xml:space="preserve">. </w:t>
      </w:r>
      <w:r>
        <w:t>All results are reported in $/MWh at the secondary voltage level.</w:t>
      </w:r>
    </w:p>
    <w:p w14:paraId="6A7C323F" w14:textId="1EDDF358" w:rsidR="00602B3F" w:rsidRDefault="00602B3F" w:rsidP="00602B3F">
      <w:pPr>
        <w:pStyle w:val="BodyText"/>
      </w:pPr>
      <w:r>
        <w:t>The output files are written to a subfolder in the same directory as the Avoided Cost Model</w:t>
      </w:r>
      <w:r w:rsidR="005C385F">
        <w:t xml:space="preserve">. </w:t>
      </w:r>
      <w:r>
        <w:t>The subfolder is named according the date the macro is run.</w:t>
      </w:r>
    </w:p>
    <w:p w14:paraId="39A0898E" w14:textId="1E984EDB" w:rsidR="00602B3F" w:rsidRDefault="00602B3F" w:rsidP="00602B3F">
      <w:pPr>
        <w:pStyle w:val="BodyText"/>
      </w:pPr>
      <w:r>
        <w:t>There are three macros included in the Avoided Cost Calculator</w:t>
      </w:r>
      <w:r w:rsidR="005C385F">
        <w:t xml:space="preserve">. </w:t>
      </w:r>
      <w:r>
        <w:t>The buttons for each macro are located below Cell F20 on the Dashboard tab</w:t>
      </w:r>
      <w:r w:rsidR="008565B2">
        <w:t xml:space="preserve">. </w:t>
      </w:r>
      <w:r>
        <w:t>Each macro is described below.</w:t>
      </w:r>
    </w:p>
    <w:tbl>
      <w:tblPr>
        <w:tblStyle w:val="E3TableforRealThisTime"/>
        <w:tblW w:w="0" w:type="auto"/>
        <w:jc w:val="center"/>
        <w:tblLook w:val="04A0" w:firstRow="1" w:lastRow="0" w:firstColumn="1" w:lastColumn="0" w:noHBand="0" w:noVBand="1"/>
      </w:tblPr>
      <w:tblGrid>
        <w:gridCol w:w="3595"/>
        <w:gridCol w:w="3595"/>
      </w:tblGrid>
      <w:tr w:rsidR="00602B3F" w14:paraId="53ADEB9A" w14:textId="77777777" w:rsidTr="00154255">
        <w:trPr>
          <w:cnfStyle w:val="100000000000" w:firstRow="1" w:lastRow="0" w:firstColumn="0" w:lastColumn="0" w:oddVBand="0" w:evenVBand="0" w:oddHBand="0" w:evenHBand="0" w:firstRowFirstColumn="0" w:firstRowLastColumn="0" w:lastRowFirstColumn="0" w:lastRowLastColumn="0"/>
          <w:jc w:val="center"/>
        </w:trPr>
        <w:tc>
          <w:tcPr>
            <w:tcW w:w="3595" w:type="dxa"/>
          </w:tcPr>
          <w:p w14:paraId="5EC9F14A" w14:textId="77777777" w:rsidR="00602B3F" w:rsidRDefault="00602B3F" w:rsidP="00662708">
            <w:pPr>
              <w:pStyle w:val="E3Table"/>
            </w:pPr>
            <w:r>
              <w:t>Macro</w:t>
            </w:r>
          </w:p>
        </w:tc>
        <w:tc>
          <w:tcPr>
            <w:tcW w:w="3595" w:type="dxa"/>
          </w:tcPr>
          <w:p w14:paraId="043A8285" w14:textId="77777777" w:rsidR="00602B3F" w:rsidRDefault="00602B3F" w:rsidP="00662708">
            <w:pPr>
              <w:pStyle w:val="E3Table"/>
            </w:pPr>
            <w:r>
              <w:t>Comment</w:t>
            </w:r>
          </w:p>
        </w:tc>
      </w:tr>
      <w:tr w:rsidR="00602B3F" w14:paraId="3080395A" w14:textId="77777777" w:rsidTr="00154255">
        <w:trPr>
          <w:cnfStyle w:val="000000100000" w:firstRow="0" w:lastRow="0" w:firstColumn="0" w:lastColumn="0" w:oddVBand="0" w:evenVBand="0" w:oddHBand="1" w:evenHBand="0" w:firstRowFirstColumn="0" w:firstRowLastColumn="0" w:lastRowFirstColumn="0" w:lastRowLastColumn="0"/>
          <w:jc w:val="center"/>
        </w:trPr>
        <w:tc>
          <w:tcPr>
            <w:tcW w:w="3595" w:type="dxa"/>
          </w:tcPr>
          <w:p w14:paraId="52345121" w14:textId="77777777" w:rsidR="00602B3F" w:rsidRDefault="00602B3F" w:rsidP="00662708">
            <w:pPr>
              <w:pStyle w:val="E3Table"/>
            </w:pPr>
            <w:r>
              <w:t>Export Annual Avoided Costs – All CZ</w:t>
            </w:r>
          </w:p>
        </w:tc>
        <w:tc>
          <w:tcPr>
            <w:tcW w:w="3595" w:type="dxa"/>
          </w:tcPr>
          <w:p w14:paraId="3C194531" w14:textId="34DDD6C2" w:rsidR="00602B3F" w:rsidRDefault="00602B3F" w:rsidP="00662708">
            <w:pPr>
              <w:pStyle w:val="E3Table"/>
            </w:pPr>
            <w:r>
              <w:t>Using the user-selected utility, the macro will iterate through each climate zone that applies to the utility</w:t>
            </w:r>
            <w:r w:rsidR="005C385F">
              <w:t xml:space="preserve">. </w:t>
            </w:r>
            <w:r>
              <w:t xml:space="preserve">The macro will write the total hourly avoided costs for the components indicated by the </w:t>
            </w:r>
            <w:r w:rsidRPr="00754D74">
              <w:rPr>
                <w:i/>
              </w:rPr>
              <w:t xml:space="preserve">Electricity Component </w:t>
            </w:r>
            <w:r>
              <w:t xml:space="preserve">inputs, and will include or exclude the planning reserve margin benefit base on the user input for </w:t>
            </w:r>
            <w:r w:rsidRPr="00754D74">
              <w:rPr>
                <w:i/>
              </w:rPr>
              <w:t>Incl Reserve Margin</w:t>
            </w:r>
            <w:r w:rsidR="005C385F">
              <w:t xml:space="preserve">. </w:t>
            </w:r>
            <w:r>
              <w:t>Note that because the macro is outputting results by year for all years, instead of levelized results, the Levelization Period and the Start year are ignored.</w:t>
            </w:r>
          </w:p>
        </w:tc>
      </w:tr>
      <w:tr w:rsidR="00602B3F" w14:paraId="00F3CFAA" w14:textId="77777777" w:rsidTr="00154255">
        <w:trPr>
          <w:jc w:val="center"/>
        </w:trPr>
        <w:tc>
          <w:tcPr>
            <w:tcW w:w="3595" w:type="dxa"/>
          </w:tcPr>
          <w:p w14:paraId="4224EF49" w14:textId="77777777" w:rsidR="00602B3F" w:rsidRDefault="00602B3F" w:rsidP="00662708">
            <w:pPr>
              <w:pStyle w:val="E3Table"/>
            </w:pPr>
            <w:r>
              <w:t>Export Annual Avoided Costs – One CZ</w:t>
            </w:r>
          </w:p>
        </w:tc>
        <w:tc>
          <w:tcPr>
            <w:tcW w:w="3595" w:type="dxa"/>
          </w:tcPr>
          <w:p w14:paraId="1DFCA933" w14:textId="77777777" w:rsidR="00602B3F" w:rsidRDefault="00602B3F" w:rsidP="00662708">
            <w:pPr>
              <w:pStyle w:val="E3Table"/>
            </w:pPr>
            <w:r>
              <w:t>Same functionality as the macro above, but only outputs results for the user selected Climate Zone.</w:t>
            </w:r>
          </w:p>
        </w:tc>
      </w:tr>
      <w:tr w:rsidR="00602B3F" w14:paraId="4FA5C29C" w14:textId="77777777" w:rsidTr="00154255">
        <w:trPr>
          <w:cnfStyle w:val="000000100000" w:firstRow="0" w:lastRow="0" w:firstColumn="0" w:lastColumn="0" w:oddVBand="0" w:evenVBand="0" w:oddHBand="1" w:evenHBand="0" w:firstRowFirstColumn="0" w:firstRowLastColumn="0" w:lastRowFirstColumn="0" w:lastRowLastColumn="0"/>
          <w:jc w:val="center"/>
        </w:trPr>
        <w:tc>
          <w:tcPr>
            <w:tcW w:w="3595" w:type="dxa"/>
          </w:tcPr>
          <w:p w14:paraId="247260D6" w14:textId="77777777" w:rsidR="00602B3F" w:rsidRDefault="00602B3F" w:rsidP="00662708">
            <w:pPr>
              <w:pStyle w:val="E3Table"/>
            </w:pPr>
            <w:r>
              <w:t>Export Gen &amp; Env for EE</w:t>
            </w:r>
          </w:p>
        </w:tc>
        <w:tc>
          <w:tcPr>
            <w:tcW w:w="3595" w:type="dxa"/>
          </w:tcPr>
          <w:p w14:paraId="52F9AE6F" w14:textId="24E5BE58" w:rsidR="00602B3F" w:rsidRDefault="00602B3F" w:rsidP="00662708">
            <w:pPr>
              <w:pStyle w:val="E3Table"/>
            </w:pPr>
            <w:r>
              <w:t>This is a specialized macro used to create output files used for the E3 Calculator and CET</w:t>
            </w:r>
            <w:r w:rsidR="005C385F">
              <w:t xml:space="preserve">. </w:t>
            </w:r>
            <w:r>
              <w:t>It overrides the user selections to generate the needed transfer file for the selected utility. This should not be used by the general user of the model.</w:t>
            </w:r>
          </w:p>
        </w:tc>
      </w:tr>
    </w:tbl>
    <w:p w14:paraId="62241D1F" w14:textId="77777777" w:rsidR="00602B3F" w:rsidRDefault="00602B3F" w:rsidP="00A22981"/>
    <w:p w14:paraId="2527BA95" w14:textId="603257AB" w:rsidR="00602B3F" w:rsidRDefault="00602B3F" w:rsidP="00602B3F">
      <w:pPr>
        <w:pStyle w:val="Heading2"/>
      </w:pPr>
      <w:bookmarkStart w:id="115" w:name="_Toc12445866"/>
      <w:r>
        <w:lastRenderedPageBreak/>
        <w:t>DR Reporting Interface</w:t>
      </w:r>
      <w:bookmarkEnd w:id="115"/>
    </w:p>
    <w:p w14:paraId="002DACCA" w14:textId="272AF677" w:rsidR="00602B3F" w:rsidRDefault="00602B3F" w:rsidP="00602B3F">
      <w:pPr>
        <w:pStyle w:val="BodyText"/>
      </w:pPr>
      <w:r>
        <w:t>Finally, the model aggregates specific outputs for input into the DR Reporting Temp</w:t>
      </w:r>
      <w:r w:rsidR="00BD56EE">
        <w:t>l</w:t>
      </w:r>
      <w:r>
        <w:t>ate which is used to determine the cost-effectiveness of demand response.</w:t>
      </w:r>
    </w:p>
    <w:p w14:paraId="734A7FDF" w14:textId="77777777" w:rsidR="00602B3F" w:rsidRDefault="00602B3F" w:rsidP="00602B3F">
      <w:pPr>
        <w:pStyle w:val="BodyText"/>
      </w:pPr>
      <w:r>
        <w:t xml:space="preserve">The </w:t>
      </w:r>
      <w:r w:rsidRPr="00C12DE0">
        <w:rPr>
          <w:i/>
        </w:rPr>
        <w:t>DR Outputs</w:t>
      </w:r>
      <w:r>
        <w:t xml:space="preserve"> tab is an exact replica of the Inputs tab in the DR Reporting Template. Thus, the tab can be directly copy/pasted into the DR Reporting Template. A screenshot of this tab is shown below.</w:t>
      </w:r>
    </w:p>
    <w:p w14:paraId="22239600" w14:textId="522C5A1B" w:rsidR="00602B3F" w:rsidRPr="0097492A" w:rsidRDefault="00602B3F" w:rsidP="0097492A">
      <w:pPr>
        <w:pStyle w:val="E3Caption"/>
        <w:rPr>
          <w:color w:val="auto"/>
        </w:rPr>
      </w:pPr>
      <w:r w:rsidRPr="0097492A">
        <w:rPr>
          <w:color w:val="auto"/>
        </w:rPr>
        <w:t xml:space="preserve">Figure </w:t>
      </w:r>
      <w:r w:rsidR="00D22C95" w:rsidRPr="0097492A">
        <w:rPr>
          <w:noProof/>
          <w:color w:val="auto"/>
        </w:rPr>
        <w:fldChar w:fldCharType="begin"/>
      </w:r>
      <w:r w:rsidR="00D22C95" w:rsidRPr="0097492A">
        <w:rPr>
          <w:noProof/>
          <w:color w:val="auto"/>
        </w:rPr>
        <w:instrText xml:space="preserve"> SEQ Figure \* ARABIC </w:instrText>
      </w:r>
      <w:r w:rsidR="00D22C95" w:rsidRPr="0097492A">
        <w:rPr>
          <w:noProof/>
          <w:color w:val="auto"/>
        </w:rPr>
        <w:fldChar w:fldCharType="separate"/>
      </w:r>
      <w:r w:rsidR="0097492A">
        <w:rPr>
          <w:noProof/>
          <w:color w:val="auto"/>
        </w:rPr>
        <w:t>25</w:t>
      </w:r>
      <w:r w:rsidR="00D22C95" w:rsidRPr="0097492A">
        <w:rPr>
          <w:noProof/>
          <w:color w:val="auto"/>
        </w:rPr>
        <w:fldChar w:fldCharType="end"/>
      </w:r>
      <w:r w:rsidRPr="0097492A">
        <w:rPr>
          <w:color w:val="auto"/>
        </w:rPr>
        <w:t>: DR Outputs Tab in Avoided Cost Calculator</w:t>
      </w:r>
    </w:p>
    <w:p w14:paraId="149810B1" w14:textId="28EFA289" w:rsidR="001F224B" w:rsidRDefault="001F224B" w:rsidP="001F224B">
      <w:pPr>
        <w:pStyle w:val="BodyText"/>
        <w:jc w:val="center"/>
      </w:pPr>
      <w:r w:rsidRPr="001F224B">
        <w:drawing>
          <wp:inline distT="0" distB="0" distL="0" distR="0" wp14:anchorId="7AA61EBF" wp14:editId="3139BC6A">
            <wp:extent cx="6368143" cy="2762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370751" cy="2763381"/>
                    </a:xfrm>
                    <a:prstGeom prst="rect">
                      <a:avLst/>
                    </a:prstGeom>
                    <a:noFill/>
                    <a:ln>
                      <a:noFill/>
                    </a:ln>
                  </pic:spPr>
                </pic:pic>
              </a:graphicData>
            </a:graphic>
          </wp:inline>
        </w:drawing>
      </w:r>
    </w:p>
    <w:p w14:paraId="79FD7BF9" w14:textId="00FF6AD8" w:rsidR="269F9AF4" w:rsidRDefault="269F9AF4" w:rsidP="008A6BDD">
      <w:pPr>
        <w:pStyle w:val="Heading2"/>
      </w:pPr>
      <w:bookmarkStart w:id="116" w:name="_Toc12445867"/>
      <w:r>
        <w:t>Inputs</w:t>
      </w:r>
      <w:bookmarkEnd w:id="116"/>
    </w:p>
    <w:p w14:paraId="49567643" w14:textId="3BF07B3C" w:rsidR="269F9AF4" w:rsidRDefault="269F9AF4">
      <w:r>
        <w:t>The</w:t>
      </w:r>
      <w:r w:rsidR="0078015E">
        <w:t xml:space="preserve"> data</w:t>
      </w:r>
      <w:r>
        <w:t xml:space="preserve"> inputs for the </w:t>
      </w:r>
      <w:r w:rsidR="0078015E">
        <w:t>model are on two tabs</w:t>
      </w:r>
      <w:r w:rsidR="005C385F">
        <w:t xml:space="preserve">. </w:t>
      </w:r>
      <w:r w:rsidR="0078015E">
        <w:t>The Hourly Data tab contains the hourly inputs for the model such as energy price shapes and capacity allocation factors</w:t>
      </w:r>
      <w:r w:rsidR="005C385F">
        <w:t xml:space="preserve">. </w:t>
      </w:r>
      <w:r w:rsidR="0078015E">
        <w:t xml:space="preserve">The Inputs tab contains the other inputs for the </w:t>
      </w:r>
      <w:r w:rsidR="00B43108">
        <w:t>ACC</w:t>
      </w:r>
      <w:r w:rsidR="0078015E">
        <w:t>, including natural gas costs, CO</w:t>
      </w:r>
      <w:r w:rsidR="0078015E" w:rsidRPr="00946C63">
        <w:rPr>
          <w:vertAlign w:val="subscript"/>
        </w:rPr>
        <w:t>2</w:t>
      </w:r>
      <w:r w:rsidR="0078015E">
        <w:t xml:space="preserve"> costs per ton, CT and CCGT plant costs, and T&amp;D capacity costs.</w:t>
      </w:r>
    </w:p>
    <w:p w14:paraId="197DCD1B" w14:textId="3C2BDB9B" w:rsidR="0078015E" w:rsidRDefault="0078015E">
      <w:r w:rsidRPr="0C0E0D43">
        <w:t xml:space="preserve">If the user alters an </w:t>
      </w:r>
      <w:r w:rsidRPr="008A6BDD">
        <w:t>input</w:t>
      </w:r>
      <w:r w:rsidRPr="0C0E0D43">
        <w:t xml:space="preserve"> that affects energy or capacity, the calibration macro will need to be re-run</w:t>
      </w:r>
      <w:r w:rsidR="005C385F">
        <w:t xml:space="preserve">. </w:t>
      </w:r>
      <w:r w:rsidRPr="0C0E0D43">
        <w:t xml:space="preserve">This can be done by pressing the “Calibrate Energy and Capacity Costs” button on either </w:t>
      </w:r>
      <w:r w:rsidRPr="0C0E0D43">
        <w:lastRenderedPageBreak/>
        <w:t>the Inputs or Market Dynamics tab</w:t>
      </w:r>
      <w:r w:rsidR="005C385F">
        <w:t xml:space="preserve">. </w:t>
      </w:r>
      <w:r w:rsidRPr="0C0E0D43">
        <w:t>Note that the calibration process can be time consuming and takes about 10 minutes on a corei7 desktop PC.</w:t>
      </w:r>
    </w:p>
    <w:p w14:paraId="3715FE67" w14:textId="3E382343" w:rsidR="0078015E" w:rsidRDefault="0078015E" w:rsidP="008A6BDD">
      <w:pPr>
        <w:pStyle w:val="Heading2"/>
      </w:pPr>
      <w:bookmarkStart w:id="117" w:name="_Toc12445868"/>
      <w:r>
        <w:t>Remaining tabs</w:t>
      </w:r>
      <w:bookmarkEnd w:id="117"/>
    </w:p>
    <w:p w14:paraId="79E2BFB6" w14:textId="53809A4A" w:rsidR="48773D83" w:rsidRDefault="0078015E">
      <w:r>
        <w:t xml:space="preserve">The remainder of the </w:t>
      </w:r>
      <w:r w:rsidR="00B43108">
        <w:t>ACC</w:t>
      </w:r>
      <w:r>
        <w:t xml:space="preserve"> tabs are calculation tabs, or ass</w:t>
      </w:r>
      <w:r w:rsidR="0C0E0D43">
        <w:t>ocia</w:t>
      </w:r>
      <w:r>
        <w:t>te with model control or tracking</w:t>
      </w:r>
      <w:r w:rsidR="005C385F">
        <w:t xml:space="preserve">. </w:t>
      </w:r>
      <w:r>
        <w:t xml:space="preserve">These tabs are described briefly on the Cover tab for the </w:t>
      </w:r>
      <w:r w:rsidR="00B43108">
        <w:t>ACC</w:t>
      </w:r>
      <w:r>
        <w:t>.</w:t>
      </w:r>
    </w:p>
    <w:p w14:paraId="19921934" w14:textId="1D57FB09" w:rsidR="00B03319" w:rsidRDefault="00846808">
      <w:pPr>
        <w:pStyle w:val="Heading1"/>
      </w:pPr>
      <w:bookmarkStart w:id="118" w:name="_Toc12445869"/>
      <w:r w:rsidRPr="0078015E">
        <w:t xml:space="preserve">User Quick Guide </w:t>
      </w:r>
      <w:r w:rsidR="00B03319">
        <w:rPr>
          <w:lang w:val="en-US"/>
        </w:rPr>
        <w:t>GasModel</w:t>
      </w:r>
      <w:bookmarkEnd w:id="118"/>
    </w:p>
    <w:p w14:paraId="07A17D1D" w14:textId="77777777" w:rsidR="00B03319" w:rsidRPr="00020926" w:rsidRDefault="00B03319" w:rsidP="00B03319">
      <w:pPr>
        <w:pStyle w:val="Heading2"/>
      </w:pPr>
      <w:bookmarkStart w:id="119" w:name="_Toc12445870"/>
      <w:r w:rsidRPr="00C97CE1">
        <w:t>Purpose</w:t>
      </w:r>
      <w:bookmarkEnd w:id="119"/>
    </w:p>
    <w:p w14:paraId="132C11AB" w14:textId="7E3802A9" w:rsidR="00B03319" w:rsidRDefault="00D55404" w:rsidP="00B03319">
      <w:r>
        <w:t xml:space="preserve">The Gas </w:t>
      </w:r>
      <w:r w:rsidR="002B3F35">
        <w:t>Avoided Cost Calculator (GAC</w:t>
      </w:r>
      <w:r w:rsidR="00155022">
        <w:t>C</w:t>
      </w:r>
      <w:r w:rsidR="002B3F35">
        <w:t xml:space="preserve">) </w:t>
      </w:r>
      <w:r w:rsidR="00526180">
        <w:t>is a Microsoft Excel-based tool to calculate natural gas avoided costs</w:t>
      </w:r>
      <w:r w:rsidR="00A109CD">
        <w:t xml:space="preserve"> </w:t>
      </w:r>
      <w:r w:rsidR="00FC43F2">
        <w:t xml:space="preserve">by </w:t>
      </w:r>
      <w:r w:rsidR="0033270D">
        <w:t>month and year</w:t>
      </w:r>
      <w:r w:rsidR="008565B2">
        <w:t xml:space="preserve">. </w:t>
      </w:r>
      <w:r w:rsidR="00871D78">
        <w:t xml:space="preserve">Avoided costs </w:t>
      </w:r>
      <w:r w:rsidR="00767F7C">
        <w:t xml:space="preserve">are </w:t>
      </w:r>
      <w:r w:rsidR="00353073">
        <w:t>reported in the format used</w:t>
      </w:r>
      <w:r w:rsidR="00CF6FBC">
        <w:t xml:space="preserve"> by the energy efficiency evaluation tools</w:t>
      </w:r>
      <w:r w:rsidR="008565B2">
        <w:t xml:space="preserve">. </w:t>
      </w:r>
    </w:p>
    <w:p w14:paraId="45E6BF09" w14:textId="77777777" w:rsidR="005A01D5" w:rsidRDefault="005A01D5" w:rsidP="005A01D5">
      <w:pPr>
        <w:pStyle w:val="Heading2"/>
      </w:pPr>
      <w:bookmarkStart w:id="120" w:name="_Toc12445871"/>
      <w:r w:rsidRPr="5EA42FD1">
        <w:t>Using the Model</w:t>
      </w:r>
      <w:bookmarkEnd w:id="120"/>
    </w:p>
    <w:p w14:paraId="403B9C41" w14:textId="025F58EC" w:rsidR="005A01D5" w:rsidRDefault="005A01D5" w:rsidP="005A01D5">
      <w:r w:rsidRPr="397B6B0F">
        <w:t xml:space="preserve">The </w:t>
      </w:r>
      <w:r w:rsidR="003E5807">
        <w:rPr>
          <w:b/>
          <w:bCs/>
          <w:color w:val="315361" w:themeColor="text2"/>
        </w:rPr>
        <w:t>Settings+Results</w:t>
      </w:r>
      <w:r>
        <w:rPr>
          <w:b/>
          <w:bCs/>
          <w:color w:val="315361" w:themeColor="text2"/>
        </w:rPr>
        <w:t xml:space="preserve"> </w:t>
      </w:r>
      <w:r w:rsidRPr="397B6B0F">
        <w:t>tab</w:t>
      </w:r>
      <w:r w:rsidRPr="25ED4B98">
        <w:t xml:space="preserve"> </w:t>
      </w:r>
      <w:r w:rsidRPr="397B6B0F">
        <w:t xml:space="preserve">will be the primary tab </w:t>
      </w:r>
      <w:r w:rsidRPr="4924F73D">
        <w:t xml:space="preserve">used by most users of the </w:t>
      </w:r>
      <w:r w:rsidR="00155022">
        <w:t>G</w:t>
      </w:r>
      <w:r>
        <w:t xml:space="preserve">ACC. </w:t>
      </w:r>
      <w:r w:rsidRPr="4924F73D">
        <w:t>The tab provide</w:t>
      </w:r>
      <w:r>
        <w:t>s</w:t>
      </w:r>
      <w:r w:rsidRPr="4924F73D">
        <w:t xml:space="preserve"> user controls for the </w:t>
      </w:r>
      <w:r w:rsidR="00DC0C1D">
        <w:t>natural gas</w:t>
      </w:r>
      <w:r w:rsidRPr="4924F73D">
        <w:t xml:space="preserve"> avoided cost components to include in </w:t>
      </w:r>
      <w:r>
        <w:t>the</w:t>
      </w:r>
      <w:r w:rsidRPr="4924F73D">
        <w:t xml:space="preserve"> output</w:t>
      </w:r>
      <w:r>
        <w:t>.</w:t>
      </w:r>
      <w:r w:rsidR="00BC775E">
        <w:t xml:space="preserve"> In addition to the </w:t>
      </w:r>
      <w:r w:rsidR="00D836D1">
        <w:t xml:space="preserve">annual values in nominal dollars, the model also allows the </w:t>
      </w:r>
      <w:r w:rsidR="00CA67A1">
        <w:t xml:space="preserve">user to </w:t>
      </w:r>
      <w:r w:rsidR="00307981">
        <w:t xml:space="preserve">produce </w:t>
      </w:r>
      <w:r w:rsidR="00394401">
        <w:t xml:space="preserve">a set of monthly levelized values over a specified </w:t>
      </w:r>
      <w:r w:rsidR="002B063A">
        <w:t>number of years.</w:t>
      </w:r>
      <w:r>
        <w:t xml:space="preserve"> </w:t>
      </w:r>
    </w:p>
    <w:p w14:paraId="49E642B4" w14:textId="6613DA99" w:rsidR="005A01D5" w:rsidRDefault="005A01D5" w:rsidP="005A01D5">
      <w:pPr>
        <w:pStyle w:val="Caption"/>
      </w:pPr>
      <w:r>
        <w:t xml:space="preserve">Table </w:t>
      </w:r>
      <w:r>
        <w:rPr>
          <w:noProof/>
        </w:rPr>
        <w:fldChar w:fldCharType="begin"/>
      </w:r>
      <w:r>
        <w:rPr>
          <w:noProof/>
        </w:rPr>
        <w:instrText xml:space="preserve"> SEQ Table \* ARABIC </w:instrText>
      </w:r>
      <w:r>
        <w:rPr>
          <w:noProof/>
        </w:rPr>
        <w:fldChar w:fldCharType="separate"/>
      </w:r>
      <w:r w:rsidR="0097492A">
        <w:rPr>
          <w:noProof/>
        </w:rPr>
        <w:t>19</w:t>
      </w:r>
      <w:r>
        <w:rPr>
          <w:noProof/>
        </w:rPr>
        <w:fldChar w:fldCharType="end"/>
      </w:r>
      <w:r>
        <w:t>:  Summary of Controls</w:t>
      </w:r>
    </w:p>
    <w:tbl>
      <w:tblPr>
        <w:tblStyle w:val="GridTable4-Accent11"/>
        <w:tblW w:w="0" w:type="auto"/>
        <w:tblLook w:val="06A0" w:firstRow="1" w:lastRow="0" w:firstColumn="1" w:lastColumn="0" w:noHBand="1" w:noVBand="1"/>
      </w:tblPr>
      <w:tblGrid>
        <w:gridCol w:w="1667"/>
        <w:gridCol w:w="7683"/>
      </w:tblGrid>
      <w:tr w:rsidR="002D3D38" w14:paraId="14000AD7" w14:textId="77777777" w:rsidTr="005E1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99CC1C" w14:textId="77777777" w:rsidR="005A01D5" w:rsidRDefault="005A01D5" w:rsidP="005E1327">
            <w:pPr>
              <w:spacing w:before="120" w:after="120" w:line="240" w:lineRule="auto"/>
            </w:pPr>
            <w:r>
              <w:t>Control</w:t>
            </w:r>
          </w:p>
        </w:tc>
        <w:tc>
          <w:tcPr>
            <w:tcW w:w="0" w:type="auto"/>
          </w:tcPr>
          <w:p w14:paraId="2438040C" w14:textId="77777777" w:rsidR="005A01D5" w:rsidRDefault="005A01D5" w:rsidP="005E1327">
            <w:pPr>
              <w:spacing w:before="120" w:after="120" w:line="240" w:lineRule="auto"/>
              <w:cnfStyle w:val="100000000000" w:firstRow="1" w:lastRow="0" w:firstColumn="0" w:lastColumn="0" w:oddVBand="0" w:evenVBand="0" w:oddHBand="0" w:evenHBand="0" w:firstRowFirstColumn="0" w:firstRowLastColumn="0" w:lastRowFirstColumn="0" w:lastRowLastColumn="0"/>
            </w:pPr>
            <w:r>
              <w:t>Note</w:t>
            </w:r>
          </w:p>
        </w:tc>
      </w:tr>
      <w:tr w:rsidR="002D3D38" w14:paraId="26925D08" w14:textId="77777777" w:rsidTr="005E1327">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tcPr>
          <w:p w14:paraId="60ACA2B6" w14:textId="77777777" w:rsidR="005A01D5" w:rsidRPr="00E439E8" w:rsidRDefault="005A01D5" w:rsidP="005E1327">
            <w:pPr>
              <w:pStyle w:val="Table"/>
              <w:rPr>
                <w:rFonts w:asciiTheme="minorHAnsi" w:hAnsiTheme="minorHAnsi"/>
              </w:rPr>
            </w:pPr>
            <w:r w:rsidRPr="00E439E8">
              <w:rPr>
                <w:rFonts w:asciiTheme="minorHAnsi" w:hAnsiTheme="minorHAnsi"/>
              </w:rPr>
              <w:t>Utility</w:t>
            </w:r>
          </w:p>
        </w:tc>
        <w:tc>
          <w:tcPr>
            <w:tcW w:w="0" w:type="auto"/>
            <w:tcBorders>
              <w:left w:val="single" w:sz="4" w:space="0" w:color="auto"/>
              <w:bottom w:val="single" w:sz="4" w:space="0" w:color="auto"/>
              <w:right w:val="single" w:sz="4" w:space="0" w:color="auto"/>
            </w:tcBorders>
          </w:tcPr>
          <w:p w14:paraId="59EAFA54" w14:textId="220F8D96" w:rsidR="005A01D5" w:rsidRDefault="005A01D5" w:rsidP="005E1327">
            <w:pPr>
              <w:pStyle w:val="Table"/>
              <w:cnfStyle w:val="000000000000" w:firstRow="0" w:lastRow="0" w:firstColumn="0" w:lastColumn="0" w:oddVBand="0" w:evenVBand="0" w:oddHBand="0" w:evenHBand="0" w:firstRowFirstColumn="0" w:firstRowLastColumn="0" w:lastRowFirstColumn="0" w:lastRowLastColumn="0"/>
            </w:pPr>
            <w:r>
              <w:t>PG&amp;E, SC</w:t>
            </w:r>
            <w:r w:rsidR="008C0FEC">
              <w:t>G</w:t>
            </w:r>
            <w:r>
              <w:t>, or SDG&amp;E</w:t>
            </w:r>
          </w:p>
        </w:tc>
      </w:tr>
      <w:tr w:rsidR="002D3D38" w14:paraId="6600278F" w14:textId="77777777" w:rsidTr="005E1327">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tcPr>
          <w:p w14:paraId="5807C0B0" w14:textId="7A3C08C4" w:rsidR="005A01D5" w:rsidRPr="00E439E8" w:rsidRDefault="007E4DA4" w:rsidP="005E1327">
            <w:pPr>
              <w:pStyle w:val="Table"/>
              <w:rPr>
                <w:rFonts w:asciiTheme="minorHAnsi" w:eastAsia="Segoe UI" w:hAnsiTheme="minorHAnsi" w:cs="Segoe UI"/>
              </w:rPr>
            </w:pPr>
            <w:r>
              <w:rPr>
                <w:rFonts w:asciiTheme="minorHAnsi" w:hAnsiTheme="minorHAnsi"/>
              </w:rPr>
              <w:t>Class</w:t>
            </w:r>
          </w:p>
        </w:tc>
        <w:tc>
          <w:tcPr>
            <w:tcW w:w="0" w:type="auto"/>
            <w:tcBorders>
              <w:left w:val="single" w:sz="4" w:space="0" w:color="auto"/>
              <w:bottom w:val="single" w:sz="4" w:space="0" w:color="auto"/>
              <w:right w:val="single" w:sz="4" w:space="0" w:color="auto"/>
            </w:tcBorders>
          </w:tcPr>
          <w:p w14:paraId="3C781666" w14:textId="2EA7EFA3" w:rsidR="005A01D5" w:rsidRPr="008A6BDD" w:rsidRDefault="00956173" w:rsidP="005E1327">
            <w:pPr>
              <w:pStyle w:val="Table"/>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rPr>
            </w:pPr>
            <w:r>
              <w:t>Avoided costs</w:t>
            </w:r>
            <w:r w:rsidR="001C084E">
              <w:t xml:space="preserve"> are reported for Residential, </w:t>
            </w:r>
            <w:r w:rsidR="00861846">
              <w:t xml:space="preserve">Commercial, or Total Core. </w:t>
            </w:r>
            <w:r w:rsidR="008565B2">
              <w:t xml:space="preserve"> </w:t>
            </w:r>
            <w:r w:rsidR="005253CD">
              <w:t xml:space="preserve"> The T&amp;D avoided costs can vary depending on the class selected.</w:t>
            </w:r>
          </w:p>
        </w:tc>
      </w:tr>
      <w:tr w:rsidR="002D3D38" w14:paraId="6C27AA1E" w14:textId="77777777" w:rsidTr="005E1327">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tcPr>
          <w:p w14:paraId="2EFA975B" w14:textId="42B5E372" w:rsidR="005A01D5" w:rsidRPr="00E439E8" w:rsidRDefault="007631A9" w:rsidP="005E1327">
            <w:pPr>
              <w:pStyle w:val="Table"/>
              <w:rPr>
                <w:rFonts w:asciiTheme="minorHAnsi" w:hAnsiTheme="minorHAnsi"/>
              </w:rPr>
            </w:pPr>
            <w:r>
              <w:rPr>
                <w:rFonts w:asciiTheme="minorHAnsi" w:eastAsia="Segoe UI" w:hAnsiTheme="minorHAnsi" w:cs="Segoe UI"/>
              </w:rPr>
              <w:t>End Use</w:t>
            </w:r>
          </w:p>
        </w:tc>
        <w:tc>
          <w:tcPr>
            <w:tcW w:w="0" w:type="auto"/>
            <w:tcBorders>
              <w:left w:val="single" w:sz="4" w:space="0" w:color="auto"/>
              <w:bottom w:val="single" w:sz="4" w:space="0" w:color="auto"/>
              <w:right w:val="single" w:sz="4" w:space="0" w:color="auto"/>
            </w:tcBorders>
          </w:tcPr>
          <w:p w14:paraId="5E8D41F1" w14:textId="5443846C" w:rsidR="005A01D5" w:rsidRDefault="00632B8B" w:rsidP="005E1327">
            <w:pPr>
              <w:pStyle w:val="Table"/>
              <w:cnfStyle w:val="000000000000" w:firstRow="0" w:lastRow="0" w:firstColumn="0" w:lastColumn="0" w:oddVBand="0" w:evenVBand="0" w:oddHBand="0" w:evenHBand="0" w:firstRowFirstColumn="0" w:firstRowLastColumn="0" w:lastRowFirstColumn="0" w:lastRowLastColumn="0"/>
            </w:pPr>
            <w:r>
              <w:rPr>
                <w:rFonts w:ascii="Segoe UI" w:eastAsia="Segoe UI" w:hAnsi="Segoe UI" w:cs="Segoe UI"/>
              </w:rPr>
              <w:t>Air emissions used for the environmental avoided costs will vary by End Use</w:t>
            </w:r>
            <w:r w:rsidR="008565B2">
              <w:rPr>
                <w:rFonts w:ascii="Segoe UI" w:eastAsia="Segoe UI" w:hAnsi="Segoe UI" w:cs="Segoe UI"/>
              </w:rPr>
              <w:t xml:space="preserve">. </w:t>
            </w:r>
            <w:r>
              <w:rPr>
                <w:rFonts w:ascii="Segoe UI" w:eastAsia="Segoe UI" w:hAnsi="Segoe UI" w:cs="Segoe UI"/>
              </w:rPr>
              <w:t xml:space="preserve">The model </w:t>
            </w:r>
            <w:r w:rsidR="008C6066">
              <w:rPr>
                <w:rFonts w:ascii="Segoe UI" w:eastAsia="Segoe UI" w:hAnsi="Segoe UI" w:cs="Segoe UI"/>
              </w:rPr>
              <w:t xml:space="preserve">has information for small boilers, large boilers, </w:t>
            </w:r>
            <w:r w:rsidR="00986AC4">
              <w:rPr>
                <w:rFonts w:ascii="Segoe UI" w:eastAsia="Segoe UI" w:hAnsi="Segoe UI" w:cs="Segoe UI"/>
              </w:rPr>
              <w:t>a residential furnace</w:t>
            </w:r>
            <w:r w:rsidR="008565B2">
              <w:rPr>
                <w:rFonts w:ascii="Segoe UI" w:eastAsia="Segoe UI" w:hAnsi="Segoe UI" w:cs="Segoe UI"/>
              </w:rPr>
              <w:t xml:space="preserve">. </w:t>
            </w:r>
            <w:r w:rsidR="005A01D5" w:rsidRPr="008A6BDD">
              <w:rPr>
                <w:rFonts w:ascii="Segoe UI" w:eastAsia="Segoe UI" w:hAnsi="Segoe UI" w:cs="Segoe UI"/>
              </w:rPr>
              <w:t xml:space="preserve"> </w:t>
            </w:r>
          </w:p>
        </w:tc>
      </w:tr>
      <w:tr w:rsidR="00E370AE" w14:paraId="1A168826" w14:textId="77777777" w:rsidTr="005E1327">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tcPr>
          <w:p w14:paraId="169B91DE" w14:textId="731F81BC" w:rsidR="002A25B1" w:rsidRPr="00E439E8" w:rsidRDefault="002A25B1" w:rsidP="005E1327">
            <w:pPr>
              <w:pStyle w:val="Table"/>
              <w:rPr>
                <w:rFonts w:asciiTheme="minorHAnsi" w:eastAsia="Calibri" w:hAnsiTheme="minorHAnsi"/>
              </w:rPr>
            </w:pPr>
            <w:r>
              <w:rPr>
                <w:rFonts w:asciiTheme="minorHAnsi" w:eastAsia="Calibri" w:hAnsiTheme="minorHAnsi"/>
              </w:rPr>
              <w:lastRenderedPageBreak/>
              <w:t>Emission Control</w:t>
            </w:r>
          </w:p>
        </w:tc>
        <w:tc>
          <w:tcPr>
            <w:tcW w:w="0" w:type="auto"/>
            <w:tcBorders>
              <w:left w:val="single" w:sz="4" w:space="0" w:color="auto"/>
              <w:bottom w:val="single" w:sz="4" w:space="0" w:color="auto"/>
              <w:right w:val="single" w:sz="4" w:space="0" w:color="auto"/>
            </w:tcBorders>
          </w:tcPr>
          <w:p w14:paraId="1706513F" w14:textId="42ECA21E" w:rsidR="002A25B1" w:rsidRDefault="005B091C" w:rsidP="005E1327">
            <w:pPr>
              <w:pStyle w:val="Table"/>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Depending on the End Use, </w:t>
            </w:r>
            <w:r w:rsidR="00783EBD">
              <w:rPr>
                <w:rFonts w:eastAsia="Calibri"/>
              </w:rPr>
              <w:t xml:space="preserve">the emission levels can be further </w:t>
            </w:r>
            <w:r w:rsidR="004058CA">
              <w:rPr>
                <w:rFonts w:eastAsia="Calibri"/>
              </w:rPr>
              <w:t xml:space="preserve">selected by selecting the </w:t>
            </w:r>
            <w:r w:rsidR="003476DD">
              <w:rPr>
                <w:rFonts w:eastAsia="Calibri"/>
              </w:rPr>
              <w:t>type of Emission Control (if any)</w:t>
            </w:r>
            <w:r w:rsidR="008565B2">
              <w:rPr>
                <w:rFonts w:eastAsia="Calibri"/>
              </w:rPr>
              <w:t xml:space="preserve">. </w:t>
            </w:r>
            <w:r w:rsidR="00F40A4F">
              <w:rPr>
                <w:rFonts w:eastAsia="Calibri"/>
              </w:rPr>
              <w:t xml:space="preserve">For </w:t>
            </w:r>
            <w:r w:rsidR="00AA5533">
              <w:rPr>
                <w:rFonts w:eastAsia="Calibri"/>
              </w:rPr>
              <w:t xml:space="preserve">energy efficiency avoided costs, </w:t>
            </w:r>
            <w:r w:rsidR="0028573E">
              <w:rPr>
                <w:rFonts w:eastAsia="Calibri"/>
              </w:rPr>
              <w:t>the emission settings are:</w:t>
            </w:r>
          </w:p>
          <w:p w14:paraId="6EBE12D5" w14:textId="56692868" w:rsidR="0028573E" w:rsidRDefault="0028573E" w:rsidP="005E1327">
            <w:pPr>
              <w:pStyle w:val="Table"/>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Residential: </w:t>
            </w:r>
            <w:r w:rsidR="00712EA6">
              <w:rPr>
                <w:rFonts w:eastAsia="Calibri"/>
              </w:rPr>
              <w:t>R</w:t>
            </w:r>
            <w:r>
              <w:rPr>
                <w:rFonts w:eastAsia="Calibri"/>
              </w:rPr>
              <w:t xml:space="preserve">esidential Furnace: </w:t>
            </w:r>
            <w:r w:rsidR="00F04578">
              <w:rPr>
                <w:rFonts w:eastAsia="Calibri"/>
              </w:rPr>
              <w:t>U</w:t>
            </w:r>
            <w:r>
              <w:rPr>
                <w:rFonts w:eastAsia="Calibri"/>
              </w:rPr>
              <w:t>ncontrolled</w:t>
            </w:r>
          </w:p>
          <w:p w14:paraId="7B5B2AEE" w14:textId="10C82BB2" w:rsidR="004C7F17" w:rsidRPr="000E204E" w:rsidRDefault="00090957" w:rsidP="005E1327">
            <w:pPr>
              <w:pStyle w:val="Table"/>
              <w:cnfStyle w:val="000000000000" w:firstRow="0" w:lastRow="0" w:firstColumn="0" w:lastColumn="0" w:oddVBand="0" w:evenVBand="0" w:oddHBand="0" w:evenHBand="0" w:firstRowFirstColumn="0" w:firstRowLastColumn="0" w:lastRowFirstColumn="0" w:lastRowLastColumn="0"/>
              <w:rPr>
                <w:rFonts w:eastAsia="Calibri"/>
              </w:rPr>
            </w:pPr>
            <w:r w:rsidRPr="000E204E">
              <w:rPr>
                <w:rFonts w:eastAsia="Calibri"/>
              </w:rPr>
              <w:t xml:space="preserve">Commercial: </w:t>
            </w:r>
            <w:r w:rsidR="00DC17BC" w:rsidRPr="000E204E">
              <w:rPr>
                <w:rFonts w:eastAsia="Calibri"/>
              </w:rPr>
              <w:t xml:space="preserve">Large Boiler (&gt; </w:t>
            </w:r>
            <w:r w:rsidR="006F3528" w:rsidRPr="000E204E">
              <w:rPr>
                <w:rFonts w:eastAsia="Calibri"/>
              </w:rPr>
              <w:t xml:space="preserve">100 </w:t>
            </w:r>
            <w:r w:rsidR="007361A6" w:rsidRPr="000E204E">
              <w:rPr>
                <w:rFonts w:eastAsia="Calibri"/>
              </w:rPr>
              <w:t>MMBtu</w:t>
            </w:r>
            <w:r w:rsidR="006F3528" w:rsidRPr="000E204E">
              <w:rPr>
                <w:rFonts w:eastAsia="Calibri"/>
              </w:rPr>
              <w:t xml:space="preserve">/Hr): </w:t>
            </w:r>
            <w:r w:rsidR="009F2237" w:rsidRPr="000E204E">
              <w:rPr>
                <w:rFonts w:eastAsia="Calibri"/>
              </w:rPr>
              <w:t xml:space="preserve">Uncontrolled, </w:t>
            </w:r>
            <w:r w:rsidR="00BC784C" w:rsidRPr="000E204E">
              <w:rPr>
                <w:rFonts w:eastAsia="Calibri"/>
              </w:rPr>
              <w:t>Low NOx Burner, or Flue Gas Recirculation</w:t>
            </w:r>
          </w:p>
          <w:p w14:paraId="6DA9DABF" w14:textId="4BC19361" w:rsidR="0028573E" w:rsidRPr="000E204E" w:rsidRDefault="004C7F17" w:rsidP="005E1327">
            <w:pPr>
              <w:pStyle w:val="Table"/>
              <w:cnfStyle w:val="000000000000" w:firstRow="0" w:lastRow="0" w:firstColumn="0" w:lastColumn="0" w:oddVBand="0" w:evenVBand="0" w:oddHBand="0" w:evenHBand="0" w:firstRowFirstColumn="0" w:firstRowLastColumn="0" w:lastRowFirstColumn="0" w:lastRowLastColumn="0"/>
              <w:rPr>
                <w:rFonts w:eastAsia="Calibri"/>
              </w:rPr>
            </w:pPr>
            <w:r w:rsidRPr="000E204E">
              <w:rPr>
                <w:rFonts w:eastAsia="Calibri"/>
              </w:rPr>
              <w:t xml:space="preserve">Commercial: Small Boiler (&lt; 100 </w:t>
            </w:r>
            <w:r w:rsidR="007361A6" w:rsidRPr="000E204E">
              <w:rPr>
                <w:rFonts w:eastAsia="Calibri"/>
              </w:rPr>
              <w:t>MMBtu</w:t>
            </w:r>
            <w:r w:rsidRPr="000E204E">
              <w:rPr>
                <w:rFonts w:eastAsia="Calibri"/>
              </w:rPr>
              <w:t xml:space="preserve">/Hr): Uncontrolled, Low NOx Burner, or Flue Gas Recirculation </w:t>
            </w:r>
            <w:r w:rsidR="00712EA6" w:rsidRPr="000E204E">
              <w:rPr>
                <w:rFonts w:eastAsia="Calibri"/>
              </w:rPr>
              <w:t xml:space="preserve">  </w:t>
            </w:r>
          </w:p>
          <w:p w14:paraId="63F77428" w14:textId="77777777" w:rsidR="00F04578" w:rsidRDefault="00F04578" w:rsidP="005E1327">
            <w:pPr>
              <w:pStyle w:val="Table"/>
              <w:cnfStyle w:val="000000000000" w:firstRow="0" w:lastRow="0" w:firstColumn="0" w:lastColumn="0" w:oddVBand="0" w:evenVBand="0" w:oddHBand="0" w:evenHBand="0" w:firstRowFirstColumn="0" w:firstRowLastColumn="0" w:lastRowFirstColumn="0" w:lastRowLastColumn="0"/>
              <w:rPr>
                <w:rFonts w:eastAsia="Calibri"/>
              </w:rPr>
            </w:pPr>
            <w:r w:rsidRPr="000E204E">
              <w:rPr>
                <w:rFonts w:eastAsia="Calibri"/>
              </w:rPr>
              <w:t>Total:</w:t>
            </w:r>
            <w:r w:rsidR="00F22C23">
              <w:rPr>
                <w:rFonts w:eastAsia="Calibri"/>
              </w:rPr>
              <w:t xml:space="preserve"> Residential Furnace: Uncontrolled</w:t>
            </w:r>
          </w:p>
          <w:p w14:paraId="64303F69" w14:textId="5ADF29F5" w:rsidR="00F22C23" w:rsidRDefault="00F22C23" w:rsidP="005E1327">
            <w:pPr>
              <w:pStyle w:val="Table"/>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Total: </w:t>
            </w:r>
            <w:r w:rsidRPr="000E204E">
              <w:rPr>
                <w:rFonts w:eastAsia="Calibri"/>
              </w:rPr>
              <w:t xml:space="preserve">Large Boiler (&gt; 100 </w:t>
            </w:r>
            <w:r w:rsidR="007361A6" w:rsidRPr="000E204E">
              <w:rPr>
                <w:rFonts w:eastAsia="Calibri"/>
              </w:rPr>
              <w:t>MMBtu</w:t>
            </w:r>
            <w:r w:rsidRPr="000E204E">
              <w:rPr>
                <w:rFonts w:eastAsia="Calibri"/>
              </w:rPr>
              <w:t>/Hr): Uncontrolled, Low NOx Burner, or Flue Gas Recirculation</w:t>
            </w:r>
          </w:p>
          <w:p w14:paraId="6937BB3A" w14:textId="0A1EA4BB" w:rsidR="00F22C23" w:rsidRDefault="00F22C23" w:rsidP="005E1327">
            <w:pPr>
              <w:pStyle w:val="Table"/>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Total: </w:t>
            </w:r>
            <w:r w:rsidRPr="000E204E">
              <w:rPr>
                <w:rFonts w:eastAsia="Calibri"/>
              </w:rPr>
              <w:t xml:space="preserve">Small Boiler (&lt; 100 </w:t>
            </w:r>
            <w:r w:rsidR="007361A6" w:rsidRPr="000E204E">
              <w:rPr>
                <w:rFonts w:eastAsia="Calibri"/>
              </w:rPr>
              <w:t>MMBtu</w:t>
            </w:r>
            <w:r w:rsidRPr="000E204E">
              <w:rPr>
                <w:rFonts w:eastAsia="Calibri"/>
              </w:rPr>
              <w:t>/Hr): Uncontrolled, Low NOx Burner, or Flue Gas Recirculation</w:t>
            </w:r>
          </w:p>
        </w:tc>
      </w:tr>
      <w:tr w:rsidR="00E370AE" w14:paraId="3D3DD0CA" w14:textId="77777777" w:rsidTr="005E1327">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tcPr>
          <w:p w14:paraId="06AEEC14" w14:textId="21B342F6" w:rsidR="00192FD7" w:rsidRPr="00E439E8" w:rsidRDefault="00192FD7" w:rsidP="005E1327">
            <w:pPr>
              <w:pStyle w:val="Table"/>
              <w:rPr>
                <w:rFonts w:asciiTheme="minorHAnsi" w:eastAsia="Calibri" w:hAnsiTheme="minorHAnsi"/>
              </w:rPr>
            </w:pPr>
            <w:r>
              <w:rPr>
                <w:rFonts w:asciiTheme="minorHAnsi" w:eastAsia="Calibri" w:hAnsiTheme="minorHAnsi"/>
              </w:rPr>
              <w:t>Component Included</w:t>
            </w:r>
          </w:p>
        </w:tc>
        <w:tc>
          <w:tcPr>
            <w:tcW w:w="0" w:type="auto"/>
            <w:tcBorders>
              <w:left w:val="single" w:sz="4" w:space="0" w:color="auto"/>
              <w:bottom w:val="single" w:sz="4" w:space="0" w:color="auto"/>
              <w:right w:val="single" w:sz="4" w:space="0" w:color="auto"/>
            </w:tcBorders>
          </w:tcPr>
          <w:p w14:paraId="7FA377F4" w14:textId="05CE0D54" w:rsidR="00192FD7" w:rsidRDefault="009C3673" w:rsidP="005E1327">
            <w:pPr>
              <w:pStyle w:val="Table"/>
              <w:cnfStyle w:val="000000000000" w:firstRow="0" w:lastRow="0" w:firstColumn="0" w:lastColumn="0" w:oddVBand="0" w:evenVBand="0" w:oddHBand="0" w:evenHBand="0" w:firstRowFirstColumn="0" w:firstRowLastColumn="0" w:lastRowFirstColumn="0" w:lastRowLastColumn="0"/>
              <w:rPr>
                <w:rFonts w:eastAsia="Calibri"/>
              </w:rPr>
            </w:pPr>
            <w:r>
              <w:t xml:space="preserve">(TRUE. FALSE)  Indicates which components to include in the avoided costs represented in the monthly and annual results. </w:t>
            </w:r>
          </w:p>
        </w:tc>
      </w:tr>
      <w:tr w:rsidR="002D3D38" w14:paraId="7A0CA958" w14:textId="77777777" w:rsidTr="005E1327">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tcPr>
          <w:p w14:paraId="48B62C7F" w14:textId="77777777" w:rsidR="005A01D5" w:rsidRPr="00E439E8" w:rsidRDefault="005A01D5" w:rsidP="005E1327">
            <w:pPr>
              <w:pStyle w:val="Table"/>
              <w:rPr>
                <w:rFonts w:asciiTheme="minorHAnsi" w:hAnsiTheme="minorHAnsi"/>
              </w:rPr>
            </w:pPr>
            <w:r w:rsidRPr="00E439E8">
              <w:rPr>
                <w:rFonts w:asciiTheme="minorHAnsi" w:eastAsia="Calibri" w:hAnsiTheme="minorHAnsi"/>
              </w:rPr>
              <w:t>Start year</w:t>
            </w:r>
          </w:p>
        </w:tc>
        <w:tc>
          <w:tcPr>
            <w:tcW w:w="0" w:type="auto"/>
            <w:tcBorders>
              <w:left w:val="single" w:sz="4" w:space="0" w:color="auto"/>
              <w:bottom w:val="single" w:sz="4" w:space="0" w:color="auto"/>
              <w:right w:val="single" w:sz="4" w:space="0" w:color="auto"/>
            </w:tcBorders>
          </w:tcPr>
          <w:p w14:paraId="19C01C5C" w14:textId="1DF75059" w:rsidR="005A01D5" w:rsidRPr="00262BBF" w:rsidRDefault="005A01D5" w:rsidP="005E1327">
            <w:pPr>
              <w:pStyle w:val="Table"/>
              <w:cnfStyle w:val="000000000000" w:firstRow="0" w:lastRow="0" w:firstColumn="0" w:lastColumn="0" w:oddVBand="0" w:evenVBand="0" w:oddHBand="0" w:evenHBand="0" w:firstRowFirstColumn="0" w:firstRowLastColumn="0" w:lastRowFirstColumn="0" w:lastRowLastColumn="0"/>
              <w:rPr>
                <w:rFonts w:eastAsia="Calibri"/>
              </w:rPr>
            </w:pPr>
            <w:r w:rsidRPr="008A6BDD">
              <w:rPr>
                <w:rFonts w:eastAsia="Calibri"/>
              </w:rPr>
              <w:t xml:space="preserve">This is the first year </w:t>
            </w:r>
            <w:r>
              <w:rPr>
                <w:rFonts w:eastAsia="Calibri"/>
              </w:rPr>
              <w:t>for reported avoided cost results</w:t>
            </w:r>
            <w:r w:rsidRPr="008A6BDD">
              <w:rPr>
                <w:rFonts w:eastAsia="Calibri"/>
              </w:rPr>
              <w:t xml:space="preserve">. The avoided cost </w:t>
            </w:r>
            <w:r w:rsidR="00A966A7">
              <w:rPr>
                <w:rFonts w:eastAsia="Calibri"/>
              </w:rPr>
              <w:t>annual results are reported in nominal dollars</w:t>
            </w:r>
            <w:r w:rsidR="008565B2">
              <w:rPr>
                <w:rFonts w:eastAsia="Calibri"/>
              </w:rPr>
              <w:t xml:space="preserve">. </w:t>
            </w:r>
            <w:r w:rsidR="00A966A7">
              <w:rPr>
                <w:rFonts w:eastAsia="Calibri"/>
              </w:rPr>
              <w:t xml:space="preserve">The levelized results are reported in </w:t>
            </w:r>
            <w:r w:rsidR="005472D6">
              <w:rPr>
                <w:rFonts w:eastAsia="Calibri"/>
              </w:rPr>
              <w:t>year dollars specified by the user.</w:t>
            </w:r>
          </w:p>
        </w:tc>
      </w:tr>
      <w:tr w:rsidR="002D3D38" w14:paraId="2DBC194F" w14:textId="77777777" w:rsidTr="005E132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right w:val="single" w:sz="4" w:space="0" w:color="auto"/>
            </w:tcBorders>
          </w:tcPr>
          <w:p w14:paraId="52C99073" w14:textId="714C64F6" w:rsidR="005A01D5" w:rsidRPr="00E439E8" w:rsidRDefault="002D3D38" w:rsidP="005E1327">
            <w:pPr>
              <w:pStyle w:val="Table"/>
              <w:rPr>
                <w:rFonts w:asciiTheme="minorHAnsi" w:hAnsiTheme="minorHAnsi"/>
              </w:rPr>
            </w:pPr>
            <w:r>
              <w:rPr>
                <w:rFonts w:asciiTheme="minorHAnsi" w:hAnsiTheme="minorHAnsi"/>
              </w:rPr>
              <w:t>Last Year</w:t>
            </w:r>
          </w:p>
        </w:tc>
        <w:tc>
          <w:tcPr>
            <w:tcW w:w="0" w:type="auto"/>
            <w:tcBorders>
              <w:top w:val="single" w:sz="4" w:space="0" w:color="auto"/>
              <w:left w:val="single" w:sz="4" w:space="0" w:color="auto"/>
              <w:right w:val="single" w:sz="4" w:space="0" w:color="auto"/>
            </w:tcBorders>
          </w:tcPr>
          <w:p w14:paraId="19B772CE" w14:textId="7DFC41AE" w:rsidR="005A01D5" w:rsidRDefault="002D3D38" w:rsidP="005E1327">
            <w:pPr>
              <w:pStyle w:val="Table"/>
              <w:cnfStyle w:val="000000000000" w:firstRow="0" w:lastRow="0" w:firstColumn="0" w:lastColumn="0" w:oddVBand="0" w:evenVBand="0" w:oddHBand="0" w:evenHBand="0" w:firstRowFirstColumn="0" w:firstRowLastColumn="0" w:lastRowFirstColumn="0" w:lastRowLastColumn="0"/>
            </w:pPr>
            <w:r>
              <w:t xml:space="preserve">This defines the </w:t>
            </w:r>
            <w:r w:rsidR="005A01D5">
              <w:t xml:space="preserve">number of years to include in the levelization period. </w:t>
            </w:r>
          </w:p>
        </w:tc>
      </w:tr>
      <w:tr w:rsidR="002D3D38" w14:paraId="4A44E7A2" w14:textId="77777777" w:rsidTr="005E132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2423C8B0" w14:textId="21AB7559" w:rsidR="005A01D5" w:rsidRPr="00E439E8" w:rsidRDefault="00C02A20" w:rsidP="005E1327">
            <w:pPr>
              <w:pStyle w:val="Table"/>
              <w:rPr>
                <w:rFonts w:asciiTheme="minorHAnsi" w:hAnsiTheme="minorHAnsi"/>
              </w:rPr>
            </w:pPr>
            <w:r>
              <w:rPr>
                <w:rFonts w:asciiTheme="minorHAnsi" w:hAnsiTheme="minorHAnsi"/>
              </w:rPr>
              <w:t>Nominal discount rate</w:t>
            </w:r>
          </w:p>
        </w:tc>
        <w:tc>
          <w:tcPr>
            <w:tcW w:w="0" w:type="auto"/>
            <w:tcBorders>
              <w:top w:val="single" w:sz="4" w:space="0" w:color="auto"/>
              <w:left w:val="single" w:sz="4" w:space="0" w:color="auto"/>
              <w:bottom w:val="single" w:sz="4" w:space="0" w:color="auto"/>
              <w:right w:val="single" w:sz="4" w:space="0" w:color="auto"/>
            </w:tcBorders>
          </w:tcPr>
          <w:p w14:paraId="0BD6CB60" w14:textId="1F967BF7" w:rsidR="005A01D5" w:rsidRDefault="00C02A20" w:rsidP="005E1327">
            <w:pPr>
              <w:pStyle w:val="Table"/>
              <w:cnfStyle w:val="000000000000" w:firstRow="0" w:lastRow="0" w:firstColumn="0" w:lastColumn="0" w:oddVBand="0" w:evenVBand="0" w:oddHBand="0" w:evenHBand="0" w:firstRowFirstColumn="0" w:firstRowLastColumn="0" w:lastRowFirstColumn="0" w:lastRowLastColumn="0"/>
            </w:pPr>
            <w:r>
              <w:t>The</w:t>
            </w:r>
            <w:r w:rsidRPr="25ED4B98">
              <w:t xml:space="preserve"> </w:t>
            </w:r>
            <w:r w:rsidRPr="1F1357A1">
              <w:t>levelization</w:t>
            </w:r>
            <w:r w:rsidRPr="25ED4B98">
              <w:t xml:space="preserve"> </w:t>
            </w:r>
            <w:r w:rsidRPr="1F1357A1">
              <w:t>uses th</w:t>
            </w:r>
            <w:r>
              <w:t xml:space="preserve">is nominal </w:t>
            </w:r>
            <w:r w:rsidRPr="1F1357A1">
              <w:t xml:space="preserve">discount rate, and therefore is constant in </w:t>
            </w:r>
            <w:r w:rsidR="00E370AE">
              <w:t xml:space="preserve">nominal </w:t>
            </w:r>
            <w:r w:rsidRPr="1F1357A1">
              <w:t xml:space="preserve"> dollars</w:t>
            </w:r>
            <w:r w:rsidR="008565B2">
              <w:t xml:space="preserve">. </w:t>
            </w:r>
            <w:r w:rsidR="00E370AE">
              <w:t>Note that the</w:t>
            </w:r>
            <w:r w:rsidR="006608A7">
              <w:t xml:space="preserve"> evaluation of energy efficiency and other DER do not use these levelized values.</w:t>
            </w:r>
          </w:p>
        </w:tc>
      </w:tr>
    </w:tbl>
    <w:p w14:paraId="24DA1693" w14:textId="77777777" w:rsidR="000F6E16" w:rsidRDefault="000F6E16" w:rsidP="00262BBF"/>
    <w:p w14:paraId="76B216F1" w14:textId="045AA78A" w:rsidR="005A01D5" w:rsidRDefault="005A01D5" w:rsidP="005A01D5">
      <w:pPr>
        <w:pStyle w:val="Heading2"/>
      </w:pPr>
      <w:bookmarkStart w:id="121" w:name="_Toc12445872"/>
      <w:r>
        <w:t>Results</w:t>
      </w:r>
      <w:bookmarkEnd w:id="121"/>
    </w:p>
    <w:p w14:paraId="706448F8" w14:textId="12779222" w:rsidR="005A01D5" w:rsidRDefault="0044632D" w:rsidP="00B03319">
      <w:r>
        <w:t xml:space="preserve">Results are shown at the bottom of the </w:t>
      </w:r>
      <w:r w:rsidRPr="00262BBF">
        <w:rPr>
          <w:b/>
        </w:rPr>
        <w:t>Settings+Results</w:t>
      </w:r>
      <w:r>
        <w:t xml:space="preserve"> tab</w:t>
      </w:r>
      <w:r w:rsidR="008565B2">
        <w:t xml:space="preserve">. </w:t>
      </w:r>
      <w:r w:rsidR="00B96F97">
        <w:t>The fi</w:t>
      </w:r>
      <w:r w:rsidR="004804E3">
        <w:t>rst column is the levelized monthly array</w:t>
      </w:r>
      <w:r w:rsidR="008565B2">
        <w:t xml:space="preserve">. </w:t>
      </w:r>
      <w:r w:rsidR="00BB683C">
        <w:t xml:space="preserve">The </w:t>
      </w:r>
      <w:r w:rsidR="00E01ACE">
        <w:t xml:space="preserve">annual </w:t>
      </w:r>
      <w:r w:rsidR="00080147">
        <w:t>nominal values start just to the right</w:t>
      </w:r>
      <w:r w:rsidR="008565B2">
        <w:t xml:space="preserve">. </w:t>
      </w:r>
      <w:r w:rsidR="00080147">
        <w:t>The results are shown for each month of the year starting with January.</w:t>
      </w:r>
    </w:p>
    <w:p w14:paraId="784A6CA0" w14:textId="77777777" w:rsidR="00E325A1" w:rsidRDefault="00E325A1" w:rsidP="00E325A1">
      <w:pPr>
        <w:pStyle w:val="Heading2"/>
      </w:pPr>
      <w:bookmarkStart w:id="122" w:name="_Toc12445873"/>
      <w:r>
        <w:t>Inputs</w:t>
      </w:r>
      <w:bookmarkEnd w:id="122"/>
    </w:p>
    <w:p w14:paraId="1E4E9AD1" w14:textId="77777777" w:rsidR="00E325A1" w:rsidRDefault="00E325A1" w:rsidP="00B03319"/>
    <w:tbl>
      <w:tblPr>
        <w:tblStyle w:val="E3TableforRealThisTime"/>
        <w:tblW w:w="0" w:type="auto"/>
        <w:tblLook w:val="04A0" w:firstRow="1" w:lastRow="0" w:firstColumn="1" w:lastColumn="0" w:noHBand="0" w:noVBand="1"/>
      </w:tblPr>
      <w:tblGrid>
        <w:gridCol w:w="1351"/>
        <w:gridCol w:w="7284"/>
      </w:tblGrid>
      <w:tr w:rsidR="004D0912" w14:paraId="54EBB138" w14:textId="77777777" w:rsidTr="00512C17">
        <w:trPr>
          <w:cnfStyle w:val="100000000000" w:firstRow="1" w:lastRow="0" w:firstColumn="0" w:lastColumn="0" w:oddVBand="0" w:evenVBand="0" w:oddHBand="0" w:evenHBand="0" w:firstRowFirstColumn="0" w:firstRowLastColumn="0" w:lastRowFirstColumn="0" w:lastRowLastColumn="0"/>
        </w:trPr>
        <w:tc>
          <w:tcPr>
            <w:tcW w:w="1351" w:type="dxa"/>
          </w:tcPr>
          <w:p w14:paraId="0EFCD777" w14:textId="3A822509" w:rsidR="00F962CE" w:rsidRDefault="00F962CE" w:rsidP="00262BBF">
            <w:pPr>
              <w:spacing w:line="240" w:lineRule="auto"/>
            </w:pPr>
            <w:r>
              <w:lastRenderedPageBreak/>
              <w:t>Tab</w:t>
            </w:r>
          </w:p>
        </w:tc>
        <w:tc>
          <w:tcPr>
            <w:tcW w:w="7284" w:type="dxa"/>
          </w:tcPr>
          <w:p w14:paraId="14E29E9D" w14:textId="1C710563" w:rsidR="00F962CE" w:rsidRDefault="00F962CE" w:rsidP="00262BBF">
            <w:pPr>
              <w:spacing w:line="240" w:lineRule="auto"/>
            </w:pPr>
            <w:r>
              <w:t>Inputs</w:t>
            </w:r>
          </w:p>
        </w:tc>
      </w:tr>
      <w:tr w:rsidR="004D0912" w14:paraId="63A09360" w14:textId="77777777" w:rsidTr="00512C17">
        <w:trPr>
          <w:cnfStyle w:val="000000100000" w:firstRow="0" w:lastRow="0" w:firstColumn="0" w:lastColumn="0" w:oddVBand="0" w:evenVBand="0" w:oddHBand="1" w:evenHBand="0" w:firstRowFirstColumn="0" w:firstRowLastColumn="0" w:lastRowFirstColumn="0" w:lastRowLastColumn="0"/>
        </w:trPr>
        <w:tc>
          <w:tcPr>
            <w:tcW w:w="1351" w:type="dxa"/>
          </w:tcPr>
          <w:p w14:paraId="70FA966B" w14:textId="5643D4D3" w:rsidR="00F962CE" w:rsidRDefault="00F962CE" w:rsidP="00262BBF">
            <w:pPr>
              <w:spacing w:line="240" w:lineRule="auto"/>
            </w:pPr>
            <w:r>
              <w:t>Commodity</w:t>
            </w:r>
          </w:p>
        </w:tc>
        <w:tc>
          <w:tcPr>
            <w:tcW w:w="7284" w:type="dxa"/>
          </w:tcPr>
          <w:p w14:paraId="58698859" w14:textId="4C2E5822" w:rsidR="00F962CE" w:rsidRDefault="00AE059A" w:rsidP="00262BBF">
            <w:pPr>
              <w:spacing w:line="240" w:lineRule="auto"/>
            </w:pPr>
            <w:r>
              <w:t>California monthly and annual natural gas price forecast for electric generators</w:t>
            </w:r>
            <w:r w:rsidR="008565B2">
              <w:t xml:space="preserve">. </w:t>
            </w:r>
            <w:r w:rsidR="00380BF4">
              <w:t xml:space="preserve">The inputs are from the </w:t>
            </w:r>
            <w:r w:rsidR="00A12E5D">
              <w:t>MPR Gas Model</w:t>
            </w:r>
          </w:p>
        </w:tc>
      </w:tr>
      <w:tr w:rsidR="00AE059A" w14:paraId="1D51CFF9" w14:textId="77777777" w:rsidTr="00262BBF">
        <w:tc>
          <w:tcPr>
            <w:tcW w:w="1351" w:type="dxa"/>
          </w:tcPr>
          <w:p w14:paraId="31B7328E" w14:textId="1536E44B" w:rsidR="00AE059A" w:rsidRDefault="00495532" w:rsidP="00262BBF">
            <w:pPr>
              <w:spacing w:line="240" w:lineRule="auto"/>
            </w:pPr>
            <w:r>
              <w:t>T&amp;D</w:t>
            </w:r>
          </w:p>
        </w:tc>
        <w:tc>
          <w:tcPr>
            <w:tcW w:w="7284" w:type="dxa"/>
          </w:tcPr>
          <w:p w14:paraId="5C1B45CE" w14:textId="2C625F71" w:rsidR="00AE059A" w:rsidRDefault="00324302" w:rsidP="00262BBF">
            <w:pPr>
              <w:spacing w:line="240" w:lineRule="auto"/>
            </w:pPr>
            <w:r>
              <w:t>Gas transportation marginal costs</w:t>
            </w:r>
            <w:r w:rsidR="007356FA">
              <w:t xml:space="preserve"> b</w:t>
            </w:r>
            <w:r w:rsidR="00D33B97">
              <w:t>y Res</w:t>
            </w:r>
            <w:r w:rsidR="00342C5E">
              <w:t xml:space="preserve"> and Commercial</w:t>
            </w:r>
            <w:r w:rsidR="00362405">
              <w:t xml:space="preserve"> and Total</w:t>
            </w:r>
            <w:r w:rsidR="008565B2">
              <w:t xml:space="preserve">. </w:t>
            </w:r>
            <w:r w:rsidR="00A044ED">
              <w:t>Also contai</w:t>
            </w:r>
            <w:r w:rsidR="002A6066">
              <w:t>ns monthly allocation factors</w:t>
            </w:r>
            <w:r w:rsidR="008565B2">
              <w:t xml:space="preserve">. </w:t>
            </w:r>
            <w:r w:rsidR="002A6066">
              <w:t>Note that these numbers have not been updated</w:t>
            </w:r>
            <w:r w:rsidR="001A493E">
              <w:t xml:space="preserve">, </w:t>
            </w:r>
            <w:r w:rsidR="00CC1141">
              <w:t xml:space="preserve">with the only changes being </w:t>
            </w:r>
            <w:r w:rsidR="00BD058A">
              <w:t>a shift in the values to correspond to the new start year.</w:t>
            </w:r>
          </w:p>
        </w:tc>
      </w:tr>
      <w:tr w:rsidR="004D0912" w14:paraId="07DCC7E9" w14:textId="77777777" w:rsidTr="00512C17">
        <w:trPr>
          <w:cnfStyle w:val="000000100000" w:firstRow="0" w:lastRow="0" w:firstColumn="0" w:lastColumn="0" w:oddVBand="0" w:evenVBand="0" w:oddHBand="1" w:evenHBand="0" w:firstRowFirstColumn="0" w:firstRowLastColumn="0" w:lastRowFirstColumn="0" w:lastRowLastColumn="0"/>
        </w:trPr>
        <w:tc>
          <w:tcPr>
            <w:tcW w:w="1351" w:type="dxa"/>
          </w:tcPr>
          <w:p w14:paraId="741EE6F9" w14:textId="659D80C8" w:rsidR="008C4D8C" w:rsidRDefault="008C4D8C" w:rsidP="00262BBF">
            <w:pPr>
              <w:spacing w:line="240" w:lineRule="auto"/>
            </w:pPr>
            <w:r>
              <w:t>Emissions</w:t>
            </w:r>
          </w:p>
        </w:tc>
        <w:tc>
          <w:tcPr>
            <w:tcW w:w="7284" w:type="dxa"/>
          </w:tcPr>
          <w:p w14:paraId="3D19A705" w14:textId="77777777" w:rsidR="008C4D8C" w:rsidRDefault="00512F8E" w:rsidP="00262BBF">
            <w:pPr>
              <w:spacing w:line="240" w:lineRule="auto"/>
            </w:pPr>
            <w:r>
              <w:t>NOX and CO</w:t>
            </w:r>
            <w:r w:rsidRPr="000850C0">
              <w:rPr>
                <w:vertAlign w:val="subscript"/>
              </w:rPr>
              <w:t>2</w:t>
            </w:r>
            <w:r>
              <w:t xml:space="preserve"> emission rates by Combustion and Control types.</w:t>
            </w:r>
          </w:p>
          <w:p w14:paraId="608FCDF3" w14:textId="364453FF" w:rsidR="00EC4971" w:rsidRDefault="00EC4971" w:rsidP="00262BBF">
            <w:pPr>
              <w:spacing w:line="240" w:lineRule="auto"/>
            </w:pPr>
            <w:r>
              <w:t xml:space="preserve">Emission </w:t>
            </w:r>
            <w:r w:rsidR="00AE058E">
              <w:t>Unit Costs</w:t>
            </w:r>
          </w:p>
        </w:tc>
      </w:tr>
      <w:tr w:rsidR="00127BD2" w14:paraId="123A9428" w14:textId="77777777" w:rsidTr="00262BBF">
        <w:tc>
          <w:tcPr>
            <w:tcW w:w="1351" w:type="dxa"/>
          </w:tcPr>
          <w:p w14:paraId="2B3FFA17" w14:textId="17133910" w:rsidR="00127BD2" w:rsidRDefault="00127BD2" w:rsidP="00262BBF">
            <w:pPr>
              <w:spacing w:line="240" w:lineRule="auto"/>
            </w:pPr>
            <w:r>
              <w:t>Other Inputs</w:t>
            </w:r>
          </w:p>
        </w:tc>
        <w:tc>
          <w:tcPr>
            <w:tcW w:w="7284" w:type="dxa"/>
          </w:tcPr>
          <w:p w14:paraId="2B647808" w14:textId="1B0DCFDF" w:rsidR="00127BD2" w:rsidRDefault="009E0BB9" w:rsidP="00262BBF">
            <w:pPr>
              <w:spacing w:line="240" w:lineRule="auto"/>
            </w:pPr>
            <w:r>
              <w:t>IOU Transpor</w:t>
            </w:r>
            <w:r w:rsidR="003A224D">
              <w:t>t</w:t>
            </w:r>
            <w:r>
              <w:t xml:space="preserve">ation rates for EG (needed to convert </w:t>
            </w:r>
            <w:r w:rsidR="005C56E8">
              <w:t xml:space="preserve">E% commodity market forecasts to </w:t>
            </w:r>
            <w:r w:rsidR="00A43705">
              <w:t xml:space="preserve">the avoided cost of procured </w:t>
            </w:r>
            <w:r w:rsidR="00975B3B">
              <w:t>natural gas)</w:t>
            </w:r>
          </w:p>
          <w:p w14:paraId="506A1F2B" w14:textId="447C4132" w:rsidR="00387A97" w:rsidRDefault="004F6B32" w:rsidP="00262BBF">
            <w:pPr>
              <w:spacing w:line="240" w:lineRule="auto"/>
            </w:pPr>
            <w:r>
              <w:t xml:space="preserve">Compression </w:t>
            </w:r>
            <w:r w:rsidR="00B14596">
              <w:t xml:space="preserve">factors </w:t>
            </w:r>
            <w:r w:rsidR="00B042D8">
              <w:t>and LUAF.</w:t>
            </w:r>
          </w:p>
        </w:tc>
      </w:tr>
    </w:tbl>
    <w:p w14:paraId="505E4B59" w14:textId="77777777" w:rsidR="00081FA5" w:rsidRDefault="00081FA5" w:rsidP="00B03319"/>
    <w:p w14:paraId="6E04C445" w14:textId="77777777" w:rsidR="005A01D5" w:rsidRDefault="005A01D5" w:rsidP="00262BBF"/>
    <w:p w14:paraId="70A5A520" w14:textId="14DD91B9" w:rsidR="00846808" w:rsidRPr="00262BBF" w:rsidRDefault="00C0654D">
      <w:pPr>
        <w:pStyle w:val="Heading1"/>
      </w:pPr>
      <w:bookmarkStart w:id="123" w:name="_Toc12445874"/>
      <w:r>
        <w:rPr>
          <w:lang w:val="en-US"/>
        </w:rPr>
        <w:t>MPR Gas Model 2019</w:t>
      </w:r>
      <w:bookmarkEnd w:id="123"/>
    </w:p>
    <w:p w14:paraId="1DBCAE98" w14:textId="77777777" w:rsidR="00846808" w:rsidRPr="00020926" w:rsidRDefault="00846808" w:rsidP="00846808">
      <w:pPr>
        <w:pStyle w:val="Heading2"/>
      </w:pPr>
      <w:bookmarkStart w:id="124" w:name="_Toc12445875"/>
      <w:r w:rsidRPr="00C97CE1">
        <w:t>Purpose</w:t>
      </w:r>
      <w:bookmarkEnd w:id="124"/>
    </w:p>
    <w:p w14:paraId="6A82BB55" w14:textId="33388575" w:rsidR="00846808" w:rsidRDefault="00846808" w:rsidP="00846808">
      <w:r>
        <w:t xml:space="preserve">The </w:t>
      </w:r>
      <w:r w:rsidR="000701A5">
        <w:t>Gas Market Model</w:t>
      </w:r>
      <w:r>
        <w:t xml:space="preserve"> (</w:t>
      </w:r>
      <w:r w:rsidR="000701A5">
        <w:t>GMM</w:t>
      </w:r>
      <w:r>
        <w:t xml:space="preserve">) is a Microsoft Excel-based tool to calculate </w:t>
      </w:r>
      <w:r w:rsidR="00AE2F2E">
        <w:t>natural gas</w:t>
      </w:r>
      <w:r>
        <w:t xml:space="preserve"> </w:t>
      </w:r>
      <w:r w:rsidR="009A6D3B">
        <w:t xml:space="preserve">market prices for electric generators </w:t>
      </w:r>
      <w:r w:rsidR="00723799">
        <w:t>by month and year</w:t>
      </w:r>
      <w:r>
        <w:t xml:space="preserve">. </w:t>
      </w:r>
      <w:r w:rsidR="00AE3803">
        <w:t>The GMM forecasts are an input to the electricity ACC</w:t>
      </w:r>
      <w:r w:rsidR="00240A26">
        <w:t>, as well as the natural gas avoided cost model</w:t>
      </w:r>
      <w:r w:rsidR="00807B1B">
        <w:t xml:space="preserve">, and </w:t>
      </w:r>
      <w:r w:rsidR="00814FD3">
        <w:t xml:space="preserve">is based on the methodology first established for the </w:t>
      </w:r>
      <w:r w:rsidR="00591104">
        <w:t>Market Price Referent forecasts</w:t>
      </w:r>
      <w:r w:rsidR="003614E8">
        <w:t>.</w:t>
      </w:r>
    </w:p>
    <w:p w14:paraId="34599BF9" w14:textId="77777777" w:rsidR="00846808" w:rsidRDefault="00846808" w:rsidP="00846808">
      <w:pPr>
        <w:pStyle w:val="Heading2"/>
      </w:pPr>
      <w:bookmarkStart w:id="125" w:name="_Toc12445876"/>
      <w:r w:rsidRPr="5EA42FD1">
        <w:lastRenderedPageBreak/>
        <w:t>Using the Model</w:t>
      </w:r>
      <w:bookmarkEnd w:id="125"/>
    </w:p>
    <w:p w14:paraId="1F3F25F9" w14:textId="4E0DD4C4" w:rsidR="00194BCC" w:rsidRPr="00262BBF" w:rsidRDefault="00C51850" w:rsidP="00262BBF">
      <w:pPr>
        <w:sectPr w:rsidR="00194BCC" w:rsidRPr="00262BBF" w:rsidSect="00EC1B91">
          <w:headerReference w:type="even" r:id="rId91"/>
          <w:headerReference w:type="default" r:id="rId92"/>
          <w:footerReference w:type="even" r:id="rId93"/>
          <w:footerReference w:type="default" r:id="rId94"/>
          <w:headerReference w:type="first" r:id="rId95"/>
          <w:footerReference w:type="first" r:id="rId96"/>
          <w:pgSz w:w="12240" w:h="15840"/>
          <w:pgMar w:top="1440" w:right="1440" w:bottom="1440" w:left="1440" w:header="720" w:footer="720" w:gutter="0"/>
          <w:cols w:space="720"/>
          <w:titlePg/>
          <w:docGrid w:linePitch="360"/>
        </w:sectPr>
      </w:pPr>
      <w:r>
        <w:t xml:space="preserve">The natural gas forecast is shown in the </w:t>
      </w:r>
      <w:r w:rsidR="00287F3B" w:rsidRPr="00262BBF">
        <w:rPr>
          <w:b/>
        </w:rPr>
        <w:t>Output to ACM</w:t>
      </w:r>
      <w:r w:rsidR="00287F3B">
        <w:t xml:space="preserve"> tab</w:t>
      </w:r>
      <w:r w:rsidR="008565B2">
        <w:t xml:space="preserve">. </w:t>
      </w:r>
      <w:r w:rsidR="00C84ECC">
        <w:t>Th</w:t>
      </w:r>
      <w:r w:rsidR="000E579E">
        <w:t>e</w:t>
      </w:r>
      <w:r w:rsidR="00C84ECC">
        <w:t xml:space="preserve"> monthly forecast</w:t>
      </w:r>
      <w:r w:rsidR="00FC4CA6">
        <w:t xml:space="preserve"> takes the annual </w:t>
      </w:r>
      <w:r w:rsidR="005055E0">
        <w:t xml:space="preserve">natural gas forecast from column AD of the </w:t>
      </w:r>
      <w:r w:rsidR="003546BB" w:rsidRPr="00262BBF">
        <w:rPr>
          <w:b/>
        </w:rPr>
        <w:t>CA_Gas_</w:t>
      </w:r>
      <w:r w:rsidR="00D8572A" w:rsidRPr="00262BBF">
        <w:rPr>
          <w:b/>
        </w:rPr>
        <w:t>F</w:t>
      </w:r>
      <w:r w:rsidR="003546BB" w:rsidRPr="00262BBF">
        <w:rPr>
          <w:b/>
        </w:rPr>
        <w:t>orecast</w:t>
      </w:r>
      <w:r w:rsidR="00D8572A">
        <w:t xml:space="preserve"> tab </w:t>
      </w:r>
      <w:r w:rsidR="00C84ECC">
        <w:t xml:space="preserve">and applies the monthly variations </w:t>
      </w:r>
      <w:r w:rsidR="00B97693">
        <w:t>from the monthly NYMEX data</w:t>
      </w:r>
      <w:r w:rsidR="008565B2">
        <w:t xml:space="preserve">. </w:t>
      </w:r>
    </w:p>
    <w:p w14:paraId="255442A6" w14:textId="65996953" w:rsidR="5EBC713F" w:rsidRDefault="5EBC713F" w:rsidP="008A6BDD">
      <w:pPr>
        <w:pStyle w:val="Heading1"/>
      </w:pPr>
      <w:bookmarkStart w:id="126" w:name="_Toc12445877"/>
      <w:r w:rsidRPr="48773D83">
        <w:lastRenderedPageBreak/>
        <w:t>Version Change S</w:t>
      </w:r>
      <w:r w:rsidR="48773D83" w:rsidRPr="48773D83">
        <w:t>ummary</w:t>
      </w:r>
      <w:bookmarkEnd w:id="126"/>
    </w:p>
    <w:p w14:paraId="4B2C4081" w14:textId="72B5C485" w:rsidR="00A22981" w:rsidRDefault="00A22981" w:rsidP="008F6B8D">
      <w:pPr>
        <w:pStyle w:val="Heading2"/>
      </w:pPr>
      <w:bookmarkStart w:id="127" w:name="_Toc12445878"/>
      <w:r>
        <w:t>Avoided Cost Model Version ACC_2019_v1</w:t>
      </w:r>
      <w:r w:rsidR="0097492A">
        <w:t>b</w:t>
      </w:r>
      <w:bookmarkEnd w:id="127"/>
    </w:p>
    <w:p w14:paraId="33E30758" w14:textId="36B3D66B" w:rsidR="00125578" w:rsidRDefault="00521705" w:rsidP="00125578">
      <w:r>
        <w:t>Revision date: 6/</w:t>
      </w:r>
      <w:r w:rsidR="0097492A">
        <w:t>2</w:t>
      </w:r>
      <w:r>
        <w:t>6/2019</w:t>
      </w:r>
    </w:p>
    <w:p w14:paraId="46619A79" w14:textId="77777777" w:rsidR="0097492A" w:rsidRDefault="0097492A" w:rsidP="0097492A">
      <w:pPr>
        <w:numPr>
          <w:ilvl w:val="0"/>
          <w:numId w:val="30"/>
        </w:numPr>
      </w:pPr>
      <w:r>
        <w:t>Natural gas prices</w:t>
      </w:r>
    </w:p>
    <w:p w14:paraId="296FEDA6" w14:textId="77777777" w:rsidR="0097492A" w:rsidRDefault="0097492A" w:rsidP="0097492A">
      <w:pPr>
        <w:numPr>
          <w:ilvl w:val="1"/>
          <w:numId w:val="30"/>
        </w:numPr>
      </w:pPr>
      <w:r>
        <w:t>New York Mercantile Exchange (NYMEX) natural gas futures prices from most recent 22 trading days</w:t>
      </w:r>
    </w:p>
    <w:p w14:paraId="45FCBD0A" w14:textId="77777777" w:rsidR="0097492A" w:rsidRDefault="0097492A" w:rsidP="0097492A">
      <w:pPr>
        <w:numPr>
          <w:ilvl w:val="1"/>
          <w:numId w:val="30"/>
        </w:numPr>
      </w:pPr>
      <w:r>
        <w:t>Long-term natural gas forecast using revised 2019 Integrated Energy Policy report (IEPR) Mid-Demand case, and Energy Information Administration (EIA) 2019 Annual Energy Outlook (AEO) Report</w:t>
      </w:r>
    </w:p>
    <w:p w14:paraId="0BED0A45" w14:textId="77777777" w:rsidR="0097492A" w:rsidRDefault="0097492A" w:rsidP="0097492A">
      <w:pPr>
        <w:numPr>
          <w:ilvl w:val="1"/>
          <w:numId w:val="30"/>
        </w:numPr>
      </w:pPr>
      <w:r>
        <w:t>SoCal, PG&amp;E BB and PG&amp;E LT natural gas transportation rates from 2019 tariff sheets (effective April 1, 2019)</w:t>
      </w:r>
    </w:p>
    <w:p w14:paraId="1FAFA02E" w14:textId="77777777" w:rsidR="0097492A" w:rsidRDefault="0097492A" w:rsidP="0097492A">
      <w:pPr>
        <w:numPr>
          <w:ilvl w:val="1"/>
          <w:numId w:val="30"/>
        </w:numPr>
      </w:pPr>
      <w:r>
        <w:t>Municipal surcharge rate for SoCal Gas</w:t>
      </w:r>
    </w:p>
    <w:p w14:paraId="2FA0D782" w14:textId="77777777" w:rsidR="0097492A" w:rsidRDefault="0097492A" w:rsidP="0097492A">
      <w:pPr>
        <w:numPr>
          <w:ilvl w:val="0"/>
          <w:numId w:val="30"/>
        </w:numPr>
      </w:pPr>
      <w:r>
        <w:t>Electricity Forward prices. On-peak and Off-peak forwards for NP-15 and SP-15</w:t>
      </w:r>
      <w:r>
        <w:rPr>
          <w:rStyle w:val="FootnoteReference"/>
        </w:rPr>
        <w:footnoteReference w:id="29"/>
      </w:r>
      <w:r>
        <w:t xml:space="preserve"> using most recent 22 trading days</w:t>
      </w:r>
    </w:p>
    <w:p w14:paraId="4878650D" w14:textId="77777777" w:rsidR="0097492A" w:rsidRDefault="0097492A" w:rsidP="0097492A">
      <w:pPr>
        <w:numPr>
          <w:ilvl w:val="0"/>
          <w:numId w:val="30"/>
        </w:numPr>
      </w:pPr>
      <w:r>
        <w:t xml:space="preserve">Ancillary service costs updated to 0.9% for annual energy from the </w:t>
      </w:r>
      <w:r w:rsidRPr="00192F7D">
        <w:rPr>
          <w:i/>
          <w:iCs/>
        </w:rPr>
        <w:t>CAISO 2018 Annual Report on Market Issues and Performance</w:t>
      </w:r>
      <w:r>
        <w:t xml:space="preserve">, excluding regulation services. (from pp. 141-142 of that report) </w:t>
      </w:r>
    </w:p>
    <w:p w14:paraId="4DC980DC" w14:textId="77777777" w:rsidR="0097492A" w:rsidRDefault="0097492A" w:rsidP="0097492A">
      <w:pPr>
        <w:numPr>
          <w:ilvl w:val="0"/>
          <w:numId w:val="30"/>
        </w:numPr>
      </w:pPr>
      <w:r>
        <w:t>Hourly Market Price Shapes</w:t>
      </w:r>
    </w:p>
    <w:p w14:paraId="4661494B" w14:textId="77777777" w:rsidR="0097492A" w:rsidRDefault="0097492A" w:rsidP="0097492A">
      <w:pPr>
        <w:numPr>
          <w:ilvl w:val="1"/>
          <w:numId w:val="30"/>
        </w:numPr>
      </w:pPr>
      <w:r>
        <w:t xml:space="preserve">Day-ahead and real-time prices for 2018 for NP-15 and SP-15. </w:t>
      </w:r>
    </w:p>
    <w:p w14:paraId="1D45A621" w14:textId="77777777" w:rsidR="0097492A" w:rsidRDefault="0097492A" w:rsidP="0097492A">
      <w:pPr>
        <w:numPr>
          <w:ilvl w:val="1"/>
          <w:numId w:val="30"/>
        </w:numPr>
      </w:pPr>
      <w:r>
        <w:lastRenderedPageBreak/>
        <w:t>Daily 2018 natural gas spot prices for PG&amp;E Citygate and SoCal Border hubs (used to derive implied heat rates)</w:t>
      </w:r>
    </w:p>
    <w:p w14:paraId="1402F856" w14:textId="77777777" w:rsidR="0097492A" w:rsidRDefault="0097492A" w:rsidP="0097492A">
      <w:pPr>
        <w:numPr>
          <w:ilvl w:val="1"/>
          <w:numId w:val="30"/>
        </w:numPr>
      </w:pPr>
      <w:r>
        <w:t>Average 2018 CO</w:t>
      </w:r>
      <w:r w:rsidRPr="004A3362">
        <w:rPr>
          <w:vertAlign w:val="subscript"/>
        </w:rPr>
        <w:t>2</w:t>
      </w:r>
      <w:r>
        <w:t xml:space="preserve"> trading price, from March 2019 IEPR </w:t>
      </w:r>
      <w:r w:rsidRPr="00E420D5">
        <w:t>(</w:t>
      </w:r>
      <w:r w:rsidRPr="00E420D5">
        <w:rPr>
          <w:i/>
        </w:rPr>
        <w:t>Preliminary Carbon Allowance Price Scenarios</w:t>
      </w:r>
      <w:r>
        <w:t>)</w:t>
      </w:r>
    </w:p>
    <w:p w14:paraId="50FDC57F" w14:textId="77777777" w:rsidR="0097492A" w:rsidRDefault="0097492A" w:rsidP="0097492A">
      <w:pPr>
        <w:numPr>
          <w:ilvl w:val="0"/>
          <w:numId w:val="30"/>
        </w:numPr>
      </w:pPr>
      <w:r>
        <w:t>CO</w:t>
      </w:r>
      <w:r w:rsidRPr="004A3362">
        <w:rPr>
          <w:vertAlign w:val="subscript"/>
        </w:rPr>
        <w:t>2</w:t>
      </w:r>
      <w:r>
        <w:t xml:space="preserve"> market price forecast from Revised 2019 IEPR Mid-Demand forecast</w:t>
      </w:r>
    </w:p>
    <w:p w14:paraId="328E7334" w14:textId="77777777" w:rsidR="0097492A" w:rsidRDefault="0097492A" w:rsidP="0097492A">
      <w:pPr>
        <w:numPr>
          <w:ilvl w:val="0"/>
          <w:numId w:val="30"/>
        </w:numPr>
      </w:pPr>
      <w:r>
        <w:t>Transmission and distribution (</w:t>
      </w:r>
      <w:r w:rsidRPr="00D91963">
        <w:t>T&amp;D</w:t>
      </w:r>
      <w:r>
        <w:t>)</w:t>
      </w:r>
      <w:r w:rsidRPr="00D91963">
        <w:t xml:space="preserve"> marginal costs ($/kW-yr values) </w:t>
      </w:r>
      <w:r>
        <w:t>were updated from the following sources:</w:t>
      </w:r>
    </w:p>
    <w:p w14:paraId="1DE6521B" w14:textId="77777777" w:rsidR="0097492A" w:rsidRDefault="0097492A" w:rsidP="0097492A">
      <w:pPr>
        <w:pStyle w:val="ListParagraph"/>
        <w:numPr>
          <w:ilvl w:val="0"/>
          <w:numId w:val="22"/>
        </w:numPr>
      </w:pPr>
      <w:r w:rsidRPr="00D91963">
        <w:rPr>
          <w:u w:val="single"/>
        </w:rPr>
        <w:t>PG&amp;E</w:t>
      </w:r>
      <w:r>
        <w:t>: settlement agreement in the utility’s 2017 Phase II General Rate Case (GRC) proceeding.</w:t>
      </w:r>
    </w:p>
    <w:p w14:paraId="27E8A2D6" w14:textId="77777777" w:rsidR="0097492A" w:rsidRDefault="0097492A" w:rsidP="0097492A">
      <w:pPr>
        <w:pStyle w:val="ListParagraph"/>
        <w:numPr>
          <w:ilvl w:val="0"/>
          <w:numId w:val="22"/>
        </w:numPr>
      </w:pPr>
      <w:r w:rsidRPr="00D91963">
        <w:rPr>
          <w:u w:val="single"/>
        </w:rPr>
        <w:t>SCE</w:t>
      </w:r>
      <w:r>
        <w:t xml:space="preserve">: </w:t>
      </w:r>
      <w:r w:rsidRPr="00CE0423">
        <w:t>estimate</w:t>
      </w:r>
      <w:r>
        <w:t>s</w:t>
      </w:r>
      <w:r w:rsidRPr="00CE0423">
        <w:t xml:space="preserve"> by SCE’s regression analysis of cumulative distribution capacity-related investments and cumulative peak loads</w:t>
      </w:r>
      <w:r>
        <w:t>,</w:t>
      </w:r>
      <w:r w:rsidRPr="00CE0423">
        <w:t xml:space="preserve"> consistent with avoided distribution capacity costs that have been used for SCE in prior avoided cost updates.</w:t>
      </w:r>
    </w:p>
    <w:p w14:paraId="22BBBB18" w14:textId="77777777" w:rsidR="0097492A" w:rsidRDefault="0097492A" w:rsidP="0097492A">
      <w:pPr>
        <w:pStyle w:val="ListParagraph"/>
        <w:numPr>
          <w:ilvl w:val="0"/>
          <w:numId w:val="22"/>
        </w:numPr>
      </w:pPr>
      <w:r w:rsidRPr="00D91963">
        <w:rPr>
          <w:u w:val="single"/>
        </w:rPr>
        <w:t>SDG&amp;E</w:t>
      </w:r>
      <w:r>
        <w:t>: testimony filed by the utility in its 2016 GRC (as these costs were not adopted in the proceeding or related settlement agreement).</w:t>
      </w:r>
    </w:p>
    <w:p w14:paraId="170548E9" w14:textId="77777777" w:rsidR="0097492A" w:rsidRDefault="0097492A" w:rsidP="0097492A">
      <w:pPr>
        <w:numPr>
          <w:ilvl w:val="0"/>
          <w:numId w:val="30"/>
        </w:numPr>
      </w:pPr>
      <w:r>
        <w:t>T&amp;D hourly allocation factors were updated based on 2018 recorded weather by climate zone, and 2018 weekend and holiday schedules.</w:t>
      </w:r>
    </w:p>
    <w:p w14:paraId="40CAC72B" w14:textId="77777777" w:rsidR="0097492A" w:rsidRDefault="0097492A" w:rsidP="0097492A">
      <w:pPr>
        <w:numPr>
          <w:ilvl w:val="0"/>
          <w:numId w:val="30"/>
        </w:numPr>
      </w:pPr>
      <w:r>
        <w:t>Generation capacity hourly allocation factors were updated using 2018 recorded weather.</w:t>
      </w:r>
    </w:p>
    <w:p w14:paraId="3E47A320" w14:textId="77777777" w:rsidR="0097492A" w:rsidRDefault="0097492A" w:rsidP="0097492A">
      <w:pPr>
        <w:numPr>
          <w:ilvl w:val="0"/>
          <w:numId w:val="30"/>
        </w:numPr>
      </w:pPr>
      <w:r>
        <w:t xml:space="preserve">New natural gas generation costs and performance remain based on 2017 Integrated Resource Plan (IRP) assumptions (no change from 2018 version of the ACC), while financing costs for new generation have been updated based on the CEC’s 2019 </w:t>
      </w:r>
      <w:r w:rsidRPr="00381BDB">
        <w:rPr>
          <w:i/>
          <w:iCs/>
        </w:rPr>
        <w:t>Estimated Cost of New Utility-Scale Generation in California: 2018 Update</w:t>
      </w:r>
      <w:r w:rsidRPr="00C156C5">
        <w:t>.</w:t>
      </w:r>
    </w:p>
    <w:p w14:paraId="5D49C8AE" w14:textId="77777777" w:rsidR="0097492A" w:rsidRPr="00597B07" w:rsidRDefault="0097492A" w:rsidP="0097492A">
      <w:pPr>
        <w:numPr>
          <w:ilvl w:val="0"/>
          <w:numId w:val="30"/>
        </w:numPr>
      </w:pPr>
      <w:r>
        <w:lastRenderedPageBreak/>
        <w:t>Several i</w:t>
      </w:r>
      <w:r w:rsidRPr="00597B07">
        <w:t>nputs for natural gas avoided costs</w:t>
      </w:r>
      <w:r>
        <w:t xml:space="preserve"> were updated</w:t>
      </w:r>
      <w:r w:rsidRPr="00597B07">
        <w:t>, in addition to the market prices used for electricity avoided costs:</w:t>
      </w:r>
    </w:p>
    <w:p w14:paraId="72A4B50B" w14:textId="77777777" w:rsidR="0097492A" w:rsidRPr="00597B07" w:rsidRDefault="0097492A" w:rsidP="0097492A">
      <w:pPr>
        <w:numPr>
          <w:ilvl w:val="1"/>
          <w:numId w:val="30"/>
        </w:numPr>
      </w:pPr>
      <w:r w:rsidRPr="00597B07">
        <w:t>California electric generation gas price forecast from the updated “MPR Gas Forecast 2019”</w:t>
      </w:r>
      <w:r>
        <w:rPr>
          <w:rStyle w:val="FootnoteReference"/>
        </w:rPr>
        <w:footnoteReference w:id="30"/>
      </w:r>
    </w:p>
    <w:p w14:paraId="33C24E2C" w14:textId="77777777" w:rsidR="0097492A" w:rsidRPr="00597B07" w:rsidRDefault="0097492A" w:rsidP="0097492A">
      <w:pPr>
        <w:numPr>
          <w:ilvl w:val="1"/>
          <w:numId w:val="30"/>
        </w:numPr>
      </w:pPr>
      <w:r w:rsidRPr="00597B07">
        <w:t>Gas transportation rates sourced directly from current utility tariffs</w:t>
      </w:r>
    </w:p>
    <w:p w14:paraId="403DCC78" w14:textId="77777777" w:rsidR="0097492A" w:rsidRDefault="0097492A" w:rsidP="0097492A">
      <w:pPr>
        <w:numPr>
          <w:ilvl w:val="1"/>
          <w:numId w:val="30"/>
        </w:numPr>
      </w:pPr>
      <w:r w:rsidRPr="00597B07">
        <w:t>Inflation rate and nominal discount rate to reflect values used in the electricity ACC model.</w:t>
      </w:r>
    </w:p>
    <w:p w14:paraId="1DD9F34F" w14:textId="77777777" w:rsidR="0097492A" w:rsidRDefault="0097492A" w:rsidP="0097492A">
      <w:r>
        <w:t>In addition to the updates described above, several corrections to the ACC have been made:</w:t>
      </w:r>
    </w:p>
    <w:p w14:paraId="4D57DDC3" w14:textId="77777777" w:rsidR="0097492A" w:rsidRDefault="0097492A" w:rsidP="0097492A">
      <w:pPr>
        <w:pStyle w:val="ListParagraph"/>
        <w:numPr>
          <w:ilvl w:val="0"/>
          <w:numId w:val="28"/>
        </w:numPr>
      </w:pPr>
      <w:r>
        <w:t>Inconsistent calculation references to Northern California vs. Southern California price and temperature adjustments and heat rate multipliers were resolved (on the “Market Dynamics” tab).</w:t>
      </w:r>
    </w:p>
    <w:p w14:paraId="3EE3674B" w14:textId="77777777" w:rsidR="0097492A" w:rsidRDefault="0097492A" w:rsidP="0097492A">
      <w:pPr>
        <w:pStyle w:val="ListParagraph"/>
        <w:numPr>
          <w:ilvl w:val="0"/>
          <w:numId w:val="28"/>
        </w:numPr>
      </w:pPr>
      <w:r>
        <w:t>The model was updated to account for hours with negative energy prices but positive GHG emissions (a situation which will no longer occur).</w:t>
      </w:r>
    </w:p>
    <w:p w14:paraId="34FE7FD7" w14:textId="3B39C9E1" w:rsidR="0097492A" w:rsidRDefault="0097492A" w:rsidP="0097492A">
      <w:pPr>
        <w:pStyle w:val="ListParagraph"/>
        <w:numPr>
          <w:ilvl w:val="0"/>
          <w:numId w:val="28"/>
        </w:numPr>
      </w:pPr>
      <w:r>
        <w:t xml:space="preserve">The regression equations used to estimate T&amp;D allocation factors were corrected to include an improved forecast of distributed PV by climate zone (see Section </w:t>
      </w:r>
      <w:r>
        <w:fldChar w:fldCharType="begin"/>
      </w:r>
      <w:r>
        <w:instrText xml:space="preserve"> REF _Ref10615790 \n \h </w:instrText>
      </w:r>
      <w:r>
        <w:fldChar w:fldCharType="separate"/>
      </w:r>
      <w:r>
        <w:t>4.5.1</w:t>
      </w:r>
      <w:r>
        <w:fldChar w:fldCharType="end"/>
      </w:r>
      <w:r>
        <w:t xml:space="preserve"> for additional detail).</w:t>
      </w:r>
    </w:p>
    <w:p w14:paraId="227B1B8C" w14:textId="77777777" w:rsidR="0097492A" w:rsidRDefault="0097492A" w:rsidP="0097492A">
      <w:pPr>
        <w:pStyle w:val="ListParagraph"/>
        <w:numPr>
          <w:ilvl w:val="0"/>
          <w:numId w:val="28"/>
        </w:numPr>
      </w:pPr>
      <w:r w:rsidRPr="006D1B5E">
        <w:t>The “DR Outputs”</w:t>
      </w:r>
      <w:r>
        <w:rPr>
          <w:rStyle w:val="FootnoteReference"/>
        </w:rPr>
        <w:footnoteReference w:id="31"/>
      </w:r>
      <w:r w:rsidRPr="006D1B5E">
        <w:t xml:space="preserve"> tab was corrected to report </w:t>
      </w:r>
      <w:r>
        <w:t xml:space="preserve">outputs for </w:t>
      </w:r>
      <w:r w:rsidRPr="006D1B5E">
        <w:t>five years</w:t>
      </w:r>
      <w:r>
        <w:t>,</w:t>
      </w:r>
      <w:r w:rsidRPr="006D1B5E">
        <w:t xml:space="preserve"> rather than three.</w:t>
      </w:r>
    </w:p>
    <w:p w14:paraId="67DC856D" w14:textId="77777777" w:rsidR="0097492A" w:rsidRDefault="0097492A" w:rsidP="0097492A">
      <w:r>
        <w:t>Finally, the following methodological change was made for the 2019 ACC update.</w:t>
      </w:r>
    </w:p>
    <w:p w14:paraId="4647062A" w14:textId="638D7C49" w:rsidR="00A22981" w:rsidRPr="00A22981" w:rsidRDefault="0097492A" w:rsidP="00125578">
      <w:pPr>
        <w:pStyle w:val="ListParagraph"/>
        <w:numPr>
          <w:ilvl w:val="0"/>
          <w:numId w:val="29"/>
        </w:numPr>
      </w:pPr>
      <w:r>
        <w:lastRenderedPageBreak/>
        <w:t>The assumed high efficiency heat rate threshold for natural gas generators was reduced from 6,900 to zero Btu/kWh, to reflect that hours with low implied marginal heat rates may represent averaging of marginal fossil fuel and renewable resources within that hour, either temporally or spatially. The low</w:t>
      </w:r>
      <w:r w:rsidRPr="00DB6AE4">
        <w:t xml:space="preserve"> </w:t>
      </w:r>
      <w:r>
        <w:t xml:space="preserve">efficiency heat rate threshold was maintained at 12,500 Btu/kWh. Please see Sections </w:t>
      </w:r>
      <w:r>
        <w:fldChar w:fldCharType="begin"/>
      </w:r>
      <w:r>
        <w:instrText xml:space="preserve"> REF _Ref11839900 \n \h </w:instrText>
      </w:r>
      <w:r>
        <w:fldChar w:fldCharType="separate"/>
      </w:r>
      <w:r>
        <w:t>4.6.1</w:t>
      </w:r>
      <w:r>
        <w:fldChar w:fldCharType="end"/>
      </w:r>
      <w:r>
        <w:t xml:space="preserve"> and </w:t>
      </w:r>
      <w:r>
        <w:fldChar w:fldCharType="begin"/>
      </w:r>
      <w:r>
        <w:instrText xml:space="preserve"> REF _Ref11840596 \n \h </w:instrText>
      </w:r>
      <w:r>
        <w:fldChar w:fldCharType="separate"/>
      </w:r>
      <w:r>
        <w:t>5.6</w:t>
      </w:r>
      <w:r>
        <w:fldChar w:fldCharType="end"/>
      </w:r>
      <w:r>
        <w:t xml:space="preserve"> for additional detail on the change to the high efficiency threshold and the maintenance of the low efficiency threshold.</w:t>
      </w:r>
    </w:p>
    <w:p w14:paraId="64756068" w14:textId="53464E07" w:rsidR="008F6B8D" w:rsidRDefault="008F6B8D" w:rsidP="008F6B8D">
      <w:pPr>
        <w:pStyle w:val="Heading2"/>
      </w:pPr>
      <w:bookmarkStart w:id="128" w:name="_Toc12445879"/>
      <w:r>
        <w:t>Avoided Cost Model Version ACC_2018_v1</w:t>
      </w:r>
      <w:r w:rsidR="00976BFA">
        <w:t>h</w:t>
      </w:r>
      <w:bookmarkEnd w:id="128"/>
      <w:r>
        <w:t xml:space="preserve"> </w:t>
      </w:r>
    </w:p>
    <w:p w14:paraId="06005159" w14:textId="72E2166B" w:rsidR="008F6B8D" w:rsidRDefault="008F6B8D" w:rsidP="008F6B8D">
      <w:pPr>
        <w:spacing w:line="240" w:lineRule="auto"/>
      </w:pPr>
      <w:r>
        <w:t xml:space="preserve">Revision Date:  </w:t>
      </w:r>
      <w:r w:rsidR="00976BFA">
        <w:t>6/28/2018</w:t>
      </w:r>
      <w:r>
        <w:t xml:space="preserve"> </w:t>
      </w:r>
    </w:p>
    <w:p w14:paraId="49936B88" w14:textId="16EEE8DE" w:rsidR="00EE6B3B" w:rsidRDefault="00EE6B3B" w:rsidP="008F6B8D">
      <w:pPr>
        <w:pStyle w:val="ListParagraph"/>
        <w:numPr>
          <w:ilvl w:val="0"/>
          <w:numId w:val="1"/>
        </w:numPr>
        <w:spacing w:line="240" w:lineRule="auto"/>
        <w:rPr>
          <w:rFonts w:eastAsia="Calibri"/>
        </w:rPr>
      </w:pPr>
      <w:r>
        <w:rPr>
          <w:b/>
          <w:bCs/>
        </w:rPr>
        <w:t>Data Updates</w:t>
      </w:r>
    </w:p>
    <w:p w14:paraId="2CCE8C66" w14:textId="77777777" w:rsidR="00EE6B3B" w:rsidRDefault="00EE6B3B" w:rsidP="008F6B8D">
      <w:pPr>
        <w:numPr>
          <w:ilvl w:val="1"/>
          <w:numId w:val="1"/>
        </w:numPr>
        <w:spacing w:line="240" w:lineRule="auto"/>
      </w:pPr>
      <w:r>
        <w:t>Natural gas prices</w:t>
      </w:r>
    </w:p>
    <w:p w14:paraId="0AECE486" w14:textId="77777777" w:rsidR="00EE6B3B" w:rsidRDefault="00EE6B3B" w:rsidP="008F6B8D">
      <w:pPr>
        <w:numPr>
          <w:ilvl w:val="2"/>
          <w:numId w:val="1"/>
        </w:numPr>
        <w:spacing w:line="240" w:lineRule="auto"/>
      </w:pPr>
      <w:r>
        <w:t>NYMEX natural gas futures prices from most recent 22 trading days</w:t>
      </w:r>
    </w:p>
    <w:p w14:paraId="3D079663" w14:textId="77777777" w:rsidR="00EE6B3B" w:rsidRDefault="00EE6B3B" w:rsidP="008F6B8D">
      <w:pPr>
        <w:numPr>
          <w:ilvl w:val="2"/>
          <w:numId w:val="1"/>
        </w:numPr>
        <w:spacing w:line="240" w:lineRule="auto"/>
      </w:pPr>
      <w:r>
        <w:t>Long-term natural gas forecast using revised 2017 IEPR Mid-Demand case, and EIA 2018 AEO Report</w:t>
      </w:r>
    </w:p>
    <w:p w14:paraId="67212629" w14:textId="39D93A88" w:rsidR="00EE6B3B" w:rsidRDefault="00D216FA" w:rsidP="008F6B8D">
      <w:pPr>
        <w:numPr>
          <w:ilvl w:val="2"/>
          <w:numId w:val="1"/>
        </w:numPr>
        <w:spacing w:line="240" w:lineRule="auto"/>
      </w:pPr>
      <w:r>
        <w:t>SoCal</w:t>
      </w:r>
      <w:r w:rsidR="00EE6B3B">
        <w:t>, PG&amp;E BB and PG&amp;E LT natural gas transportation rates from 2017 IEPR</w:t>
      </w:r>
    </w:p>
    <w:p w14:paraId="7DC1D6B2" w14:textId="77777777" w:rsidR="00EE6B3B" w:rsidRDefault="00EE6B3B" w:rsidP="008F6B8D">
      <w:pPr>
        <w:numPr>
          <w:ilvl w:val="2"/>
          <w:numId w:val="1"/>
        </w:numPr>
        <w:spacing w:line="240" w:lineRule="auto"/>
      </w:pPr>
      <w:r>
        <w:t>Municipal surcharge rate for PG&amp;E</w:t>
      </w:r>
    </w:p>
    <w:p w14:paraId="105668C6" w14:textId="6A870976" w:rsidR="00EE6B3B" w:rsidRDefault="00EE6B3B" w:rsidP="008F6B8D">
      <w:pPr>
        <w:numPr>
          <w:ilvl w:val="1"/>
          <w:numId w:val="1"/>
        </w:numPr>
        <w:spacing w:line="240" w:lineRule="auto"/>
      </w:pPr>
      <w:r>
        <w:t>Electricity Forward prices</w:t>
      </w:r>
      <w:r w:rsidR="005C385F">
        <w:t xml:space="preserve">. </w:t>
      </w:r>
      <w:r>
        <w:t>On-peak and Off-peak forwards for NP-15 and SP-15 using most recent 22 trading days</w:t>
      </w:r>
    </w:p>
    <w:p w14:paraId="5DFE1C04" w14:textId="0B569C34" w:rsidR="00EE6B3B" w:rsidRDefault="00E73263" w:rsidP="00E73263">
      <w:pPr>
        <w:numPr>
          <w:ilvl w:val="1"/>
          <w:numId w:val="1"/>
        </w:numPr>
        <w:spacing w:line="240" w:lineRule="auto"/>
      </w:pPr>
      <w:r w:rsidRPr="00E73263">
        <w:t>Update AS multiple to 0.6% to exclude regulation up and down costs</w:t>
      </w:r>
      <w:r w:rsidR="005C385F">
        <w:t xml:space="preserve">. </w:t>
      </w:r>
      <w:r w:rsidR="00EE6B3B">
        <w:t xml:space="preserve">CAISO 2016 Annual Report on Market Issues and Performance </w:t>
      </w:r>
    </w:p>
    <w:p w14:paraId="7885A61C" w14:textId="77777777" w:rsidR="00EE6B3B" w:rsidRDefault="00EE6B3B" w:rsidP="008F6B8D">
      <w:pPr>
        <w:numPr>
          <w:ilvl w:val="1"/>
          <w:numId w:val="1"/>
        </w:numPr>
        <w:spacing w:line="240" w:lineRule="auto"/>
      </w:pPr>
      <w:r>
        <w:t>Hourly Market Price Shapes</w:t>
      </w:r>
    </w:p>
    <w:p w14:paraId="3A426626" w14:textId="1FE2C872" w:rsidR="00EE6B3B" w:rsidRDefault="008B44B8" w:rsidP="008F6B8D">
      <w:pPr>
        <w:numPr>
          <w:ilvl w:val="2"/>
          <w:numId w:val="1"/>
        </w:numPr>
        <w:spacing w:line="240" w:lineRule="auto"/>
      </w:pPr>
      <w:r>
        <w:t>Day-ahead</w:t>
      </w:r>
      <w:r w:rsidR="00EE6B3B">
        <w:t xml:space="preserve"> and </w:t>
      </w:r>
      <w:r w:rsidR="004B6078">
        <w:t>real-time</w:t>
      </w:r>
      <w:r w:rsidR="00EE6B3B">
        <w:t xml:space="preserve"> prices for 2017 for NP-15 and SP-15</w:t>
      </w:r>
      <w:r w:rsidR="005C385F">
        <w:t xml:space="preserve">. </w:t>
      </w:r>
    </w:p>
    <w:p w14:paraId="2055A1E3" w14:textId="55E9CFDA" w:rsidR="00EE6B3B" w:rsidRDefault="00EE6B3B" w:rsidP="008F6B8D">
      <w:pPr>
        <w:numPr>
          <w:ilvl w:val="2"/>
          <w:numId w:val="1"/>
        </w:numPr>
        <w:spacing w:line="240" w:lineRule="auto"/>
      </w:pPr>
      <w:r>
        <w:t xml:space="preserve">Daily 2017 natural gas spot prices (used to derive </w:t>
      </w:r>
      <w:r w:rsidR="00512634">
        <w:t>implied heat</w:t>
      </w:r>
      <w:r>
        <w:t xml:space="preserve"> rates)</w:t>
      </w:r>
    </w:p>
    <w:p w14:paraId="10305264" w14:textId="77777777" w:rsidR="00EE6B3B" w:rsidRPr="00F139BD" w:rsidRDefault="00EE6B3B" w:rsidP="008F6B8D">
      <w:pPr>
        <w:numPr>
          <w:ilvl w:val="2"/>
          <w:numId w:val="1"/>
        </w:numPr>
        <w:spacing w:line="240" w:lineRule="auto"/>
      </w:pPr>
      <w:r>
        <w:t>Average 2017 CO</w:t>
      </w:r>
      <w:r w:rsidRPr="00946C63">
        <w:rPr>
          <w:vertAlign w:val="subscript"/>
        </w:rPr>
        <w:t>2</w:t>
      </w:r>
      <w:r>
        <w:t xml:space="preserve"> trading price</w:t>
      </w:r>
    </w:p>
    <w:p w14:paraId="324C2478" w14:textId="6CD7521F" w:rsidR="00E73263" w:rsidRDefault="00E73263" w:rsidP="008F6B8D">
      <w:pPr>
        <w:numPr>
          <w:ilvl w:val="1"/>
          <w:numId w:val="1"/>
        </w:numPr>
        <w:spacing w:line="240" w:lineRule="auto"/>
      </w:pPr>
      <w:r>
        <w:t>CO</w:t>
      </w:r>
      <w:r w:rsidR="00DC05D8" w:rsidRPr="00946C63">
        <w:rPr>
          <w:vertAlign w:val="subscript"/>
        </w:rPr>
        <w:t>2</w:t>
      </w:r>
      <w:r>
        <w:t xml:space="preserve"> Costs</w:t>
      </w:r>
    </w:p>
    <w:p w14:paraId="28D58066" w14:textId="2E1FE709" w:rsidR="00EE6B3B" w:rsidRDefault="00EE6B3B" w:rsidP="00E73263">
      <w:pPr>
        <w:numPr>
          <w:ilvl w:val="2"/>
          <w:numId w:val="1"/>
        </w:numPr>
        <w:spacing w:line="240" w:lineRule="auto"/>
      </w:pPr>
      <w:r>
        <w:t>CO</w:t>
      </w:r>
      <w:r w:rsidRPr="00946C63">
        <w:rPr>
          <w:vertAlign w:val="subscript"/>
        </w:rPr>
        <w:t>2</w:t>
      </w:r>
      <w:r>
        <w:t xml:space="preserve"> market price forecast from Revised 2017 IEPR Mid-Demand forecast</w:t>
      </w:r>
    </w:p>
    <w:p w14:paraId="21AB9A21" w14:textId="2C7C1148" w:rsidR="00EE6B3B" w:rsidRDefault="00EE6B3B" w:rsidP="00DC05D8">
      <w:pPr>
        <w:numPr>
          <w:ilvl w:val="2"/>
          <w:numId w:val="1"/>
        </w:numPr>
        <w:spacing w:line="240" w:lineRule="auto"/>
      </w:pPr>
      <w:r>
        <w:lastRenderedPageBreak/>
        <w:t>Societal cost of carbon from values adopted in CPUC Decision D18.02-018, Table 6</w:t>
      </w:r>
      <w:r w:rsidR="005C385F">
        <w:t xml:space="preserve">. </w:t>
      </w:r>
      <w:r w:rsidR="00DC05D8">
        <w:t>Use of the resulting GHG adder also required the following updates:</w:t>
      </w:r>
    </w:p>
    <w:p w14:paraId="1A8575E4" w14:textId="77777777" w:rsidR="00DC05D8" w:rsidRDefault="00DC05D8" w:rsidP="00DC05D8">
      <w:pPr>
        <w:pStyle w:val="ListParagraph"/>
        <w:numPr>
          <w:ilvl w:val="3"/>
          <w:numId w:val="1"/>
        </w:numPr>
        <w:spacing w:line="240" w:lineRule="auto"/>
      </w:pPr>
      <w:r>
        <w:t>Remove RPS adder (set model to zero out RPS adder when RPS busbar cost equals zero in the General Inputs tab.</w:t>
      </w:r>
    </w:p>
    <w:p w14:paraId="14D85B37" w14:textId="4CDA05C0" w:rsidR="00DC05D8" w:rsidRDefault="00DC05D8" w:rsidP="00DC05D8">
      <w:pPr>
        <w:pStyle w:val="ListParagraph"/>
        <w:numPr>
          <w:ilvl w:val="3"/>
          <w:numId w:val="1"/>
        </w:numPr>
        <w:spacing w:line="240" w:lineRule="auto"/>
      </w:pPr>
      <w:r w:rsidRPr="00E464C7">
        <w:t>Remove (1-RPS%) adjustment factor from calculation of marginal heat rates on emissions tab, and GHG adder and criteria pollutant costs on Dashboard tab</w:t>
      </w:r>
    </w:p>
    <w:p w14:paraId="631B7B74" w14:textId="7FC06E58" w:rsidR="00DC05D8" w:rsidRDefault="00DC05D8" w:rsidP="00DC05D8">
      <w:pPr>
        <w:pStyle w:val="ListParagraph"/>
        <w:numPr>
          <w:ilvl w:val="3"/>
          <w:numId w:val="1"/>
        </w:numPr>
        <w:spacing w:line="240" w:lineRule="auto"/>
      </w:pPr>
      <w:r>
        <w:t xml:space="preserve">Update hourly </w:t>
      </w:r>
      <w:r w:rsidR="008B44B8">
        <w:t>day-ahead</w:t>
      </w:r>
      <w:r>
        <w:t xml:space="preserve"> heat rate forecast with updated RPS Calculator consistent with GHG adder renewable forecast assumptions</w:t>
      </w:r>
    </w:p>
    <w:p w14:paraId="4F44ABFE" w14:textId="77777777" w:rsidR="00EE6B3B" w:rsidRDefault="00EE6B3B" w:rsidP="008F6B8D">
      <w:pPr>
        <w:numPr>
          <w:ilvl w:val="1"/>
          <w:numId w:val="1"/>
        </w:numPr>
        <w:spacing w:line="240" w:lineRule="auto"/>
      </w:pPr>
      <w:r>
        <w:t>T&amp;D hourly allocation factors updated based on 2017 recorded weather by climate zone, and 2017 weekend and holiday schedules.</w:t>
      </w:r>
    </w:p>
    <w:p w14:paraId="18871E78" w14:textId="77777777" w:rsidR="00EE6B3B" w:rsidRDefault="00EE6B3B" w:rsidP="008F6B8D">
      <w:pPr>
        <w:numPr>
          <w:ilvl w:val="1"/>
          <w:numId w:val="1"/>
        </w:numPr>
        <w:spacing w:line="240" w:lineRule="auto"/>
      </w:pPr>
      <w:r>
        <w:t>Generation capacity hourly allocation factors updated using 2017 recorded weather</w:t>
      </w:r>
    </w:p>
    <w:p w14:paraId="12A8AA5A" w14:textId="5BE36F09" w:rsidR="00EE6B3B" w:rsidRDefault="00EE6B3B" w:rsidP="008F6B8D">
      <w:pPr>
        <w:numPr>
          <w:ilvl w:val="1"/>
          <w:numId w:val="1"/>
        </w:numPr>
        <w:spacing w:line="240" w:lineRule="auto"/>
      </w:pPr>
      <w:r>
        <w:t>New natural gas generation costs and performance updated based on 2017 IRP assumptions.</w:t>
      </w:r>
    </w:p>
    <w:p w14:paraId="3F279B17" w14:textId="0F39352A" w:rsidR="00216EAB" w:rsidRDefault="00216EAB" w:rsidP="00216EAB">
      <w:pPr>
        <w:numPr>
          <w:ilvl w:val="1"/>
          <w:numId w:val="1"/>
        </w:numPr>
        <w:spacing w:line="240" w:lineRule="auto"/>
      </w:pPr>
      <w:r>
        <w:t>NP-15 and SP-15 hourly heat rate profiles updated based on RPSCalculatorIRP.xlsm using u</w:t>
      </w:r>
      <w:r w:rsidRPr="00216EAB">
        <w:t xml:space="preserve">pdated RPS Values from 2018-2030 based on </w:t>
      </w:r>
      <w:r>
        <w:t>2017</w:t>
      </w:r>
      <w:r w:rsidRPr="00216EAB">
        <w:t xml:space="preserve"> CPUC IRP</w:t>
      </w:r>
      <w:r>
        <w:t>.</w:t>
      </w:r>
    </w:p>
    <w:p w14:paraId="4C28D2DD" w14:textId="353A5A63" w:rsidR="00274F49" w:rsidRDefault="00274F49" w:rsidP="008F6B8D">
      <w:pPr>
        <w:numPr>
          <w:ilvl w:val="1"/>
          <w:numId w:val="1"/>
        </w:numPr>
        <w:spacing w:line="240" w:lineRule="auto"/>
      </w:pPr>
      <w:r>
        <w:t xml:space="preserve">Inconsistencies in Hourly Inputs tab data corrected in version </w:t>
      </w:r>
      <w:r w:rsidR="00976BFA">
        <w:t>h</w:t>
      </w:r>
    </w:p>
    <w:p w14:paraId="17322F24" w14:textId="13BD9341" w:rsidR="00EE6B3B" w:rsidRDefault="00DC05D8" w:rsidP="008F6B8D">
      <w:pPr>
        <w:spacing w:line="240" w:lineRule="auto"/>
      </w:pPr>
      <w:r>
        <w:t>Other Changes</w:t>
      </w:r>
    </w:p>
    <w:p w14:paraId="6AC6F0D0" w14:textId="72EB1548" w:rsidR="00DC05D8" w:rsidRDefault="00DC05D8" w:rsidP="008F6B8D">
      <w:pPr>
        <w:spacing w:line="240" w:lineRule="auto"/>
      </w:pPr>
      <w:r>
        <w:tab/>
        <w:t>Update Dashboard labels.</w:t>
      </w:r>
    </w:p>
    <w:p w14:paraId="74B4F460" w14:textId="77777777" w:rsidR="00EE6B3B" w:rsidRDefault="00EE6B3B" w:rsidP="008F6B8D">
      <w:pPr>
        <w:spacing w:line="240" w:lineRule="auto"/>
      </w:pPr>
    </w:p>
    <w:p w14:paraId="0E1A724A" w14:textId="77777777" w:rsidR="00B76B06" w:rsidRDefault="000B055C" w:rsidP="008F6B8D">
      <w:pPr>
        <w:pStyle w:val="Heading2"/>
      </w:pPr>
      <w:bookmarkStart w:id="129" w:name="_Toc12445880"/>
      <w:r>
        <w:t>Avoided Cost Model Version ACC_2017_v1</w:t>
      </w:r>
      <w:bookmarkEnd w:id="129"/>
      <w:r>
        <w:t xml:space="preserve">  </w:t>
      </w:r>
    </w:p>
    <w:p w14:paraId="65FA117D" w14:textId="26044D69" w:rsidR="000B055C" w:rsidRDefault="000B055C" w:rsidP="008F6B8D">
      <w:pPr>
        <w:spacing w:line="240" w:lineRule="auto"/>
      </w:pPr>
      <w:r>
        <w:t>Revision Date:  9/18/2017</w:t>
      </w:r>
    </w:p>
    <w:p w14:paraId="2D5335D3" w14:textId="7078E571" w:rsidR="000B055C" w:rsidRDefault="000B055C" w:rsidP="008F6B8D">
      <w:pPr>
        <w:pStyle w:val="ListParagraph"/>
        <w:numPr>
          <w:ilvl w:val="0"/>
          <w:numId w:val="1"/>
        </w:numPr>
        <w:spacing w:line="240" w:lineRule="auto"/>
        <w:rPr>
          <w:rFonts w:eastAsia="Calibri"/>
        </w:rPr>
      </w:pPr>
      <w:r w:rsidRPr="008A6BDD">
        <w:rPr>
          <w:b/>
          <w:bCs/>
        </w:rPr>
        <w:t>Methodology enhancements</w:t>
      </w:r>
    </w:p>
    <w:p w14:paraId="6C449C44" w14:textId="0F61604E" w:rsidR="000B055C" w:rsidRDefault="000B055C" w:rsidP="008F6B8D">
      <w:pPr>
        <w:pStyle w:val="ListParagraph"/>
        <w:numPr>
          <w:ilvl w:val="1"/>
          <w:numId w:val="1"/>
        </w:numPr>
        <w:spacing w:line="240" w:lineRule="auto"/>
        <w:rPr>
          <w:rFonts w:eastAsia="Calibri"/>
          <w:color w:val="000000" w:themeColor="text1"/>
        </w:rPr>
      </w:pPr>
      <w:r>
        <w:t>Add societal cost of CO</w:t>
      </w:r>
      <w:r w:rsidRPr="00946C63">
        <w:rPr>
          <w:vertAlign w:val="subscript"/>
        </w:rPr>
        <w:t>2</w:t>
      </w:r>
      <w:r>
        <w:t xml:space="preserve"> forecast, and </w:t>
      </w:r>
      <w:r w:rsidR="00EE6B3B">
        <w:t>include residual value of Societal Value – Market value of CO</w:t>
      </w:r>
      <w:r w:rsidR="00EE6B3B" w:rsidRPr="00946C63">
        <w:rPr>
          <w:vertAlign w:val="subscript"/>
        </w:rPr>
        <w:t>2</w:t>
      </w:r>
      <w:r w:rsidR="00EE6B3B">
        <w:t xml:space="preserve"> as a GHG adder component</w:t>
      </w:r>
    </w:p>
    <w:p w14:paraId="03901101" w14:textId="77777777" w:rsidR="000B055C" w:rsidRDefault="000B055C" w:rsidP="008F6B8D">
      <w:pPr>
        <w:spacing w:line="240" w:lineRule="auto"/>
      </w:pPr>
    </w:p>
    <w:p w14:paraId="22EA709C" w14:textId="77777777" w:rsidR="00B76B06" w:rsidRDefault="58A26562" w:rsidP="008F6B8D">
      <w:pPr>
        <w:pStyle w:val="Heading2"/>
      </w:pPr>
      <w:bookmarkStart w:id="130" w:name="_Toc12445881"/>
      <w:r w:rsidRPr="58A26562">
        <w:lastRenderedPageBreak/>
        <w:t xml:space="preserve">Avoided Cost Model Version </w:t>
      </w:r>
      <w:r w:rsidR="000B055C">
        <w:t>ACC_2016_v1</w:t>
      </w:r>
      <w:bookmarkEnd w:id="130"/>
      <w:r w:rsidR="000B055C">
        <w:t xml:space="preserve">  </w:t>
      </w:r>
    </w:p>
    <w:p w14:paraId="52507E91" w14:textId="279F3CC1" w:rsidR="58A26562" w:rsidRDefault="684E8241" w:rsidP="008F6B8D">
      <w:pPr>
        <w:spacing w:line="240" w:lineRule="auto"/>
      </w:pPr>
      <w:r w:rsidRPr="684E8241">
        <w:t>Rev</w:t>
      </w:r>
      <w:r w:rsidR="07A19A9E" w:rsidRPr="684E8241">
        <w:t xml:space="preserve">ision Date: </w:t>
      </w:r>
      <w:r w:rsidRPr="684E8241">
        <w:t>5/</w:t>
      </w:r>
      <w:r w:rsidR="07A19A9E" w:rsidRPr="684E8241">
        <w:t>31/2016</w:t>
      </w:r>
    </w:p>
    <w:p w14:paraId="1B7D08F2" w14:textId="057FA2DC" w:rsidR="07A19A9E" w:rsidRDefault="486F82CE" w:rsidP="008F6B8D">
      <w:pPr>
        <w:pStyle w:val="ListParagraph"/>
        <w:numPr>
          <w:ilvl w:val="0"/>
          <w:numId w:val="1"/>
        </w:numPr>
        <w:spacing w:line="240" w:lineRule="auto"/>
        <w:rPr>
          <w:rFonts w:eastAsia="Calibri"/>
        </w:rPr>
      </w:pPr>
      <w:r w:rsidRPr="008A6BDD">
        <w:rPr>
          <w:b/>
          <w:bCs/>
        </w:rPr>
        <w:t>Methodology corrections</w:t>
      </w:r>
      <w:r w:rsidR="62A95F32" w:rsidRPr="008A6BDD">
        <w:rPr>
          <w:b/>
          <w:bCs/>
        </w:rPr>
        <w:t xml:space="preserve"> and enha</w:t>
      </w:r>
      <w:r w:rsidR="2B260064" w:rsidRPr="008A6BDD">
        <w:rPr>
          <w:b/>
          <w:bCs/>
        </w:rPr>
        <w:t>n</w:t>
      </w:r>
      <w:r w:rsidR="62A95F32" w:rsidRPr="008A6BDD">
        <w:rPr>
          <w:b/>
          <w:bCs/>
        </w:rPr>
        <w:t>cements</w:t>
      </w:r>
    </w:p>
    <w:p w14:paraId="7E993D6D" w14:textId="5839F20E" w:rsidR="758DF0B9" w:rsidRDefault="758DF0B9" w:rsidP="008F6B8D">
      <w:pPr>
        <w:pStyle w:val="ListParagraph"/>
        <w:numPr>
          <w:ilvl w:val="1"/>
          <w:numId w:val="1"/>
        </w:numPr>
        <w:spacing w:line="240" w:lineRule="auto"/>
        <w:rPr>
          <w:rFonts w:eastAsia="Calibri"/>
          <w:color w:val="000000" w:themeColor="text1"/>
        </w:rPr>
      </w:pPr>
      <w:r>
        <w:t xml:space="preserve">Update T&amp;D allocation factors to reflect </w:t>
      </w:r>
      <w:r w:rsidR="60961552">
        <w:t>recent IOU distribution loading patterns and simulate increased PV impa</w:t>
      </w:r>
      <w:r w:rsidR="2E87AA4B">
        <w:t>cts on net distribution loads</w:t>
      </w:r>
    </w:p>
    <w:p w14:paraId="3067E7C5" w14:textId="569FAE73" w:rsidR="3F3D5780" w:rsidRDefault="2E87AA4B" w:rsidP="008F6B8D">
      <w:pPr>
        <w:pStyle w:val="ListParagraph"/>
        <w:numPr>
          <w:ilvl w:val="1"/>
          <w:numId w:val="1"/>
        </w:numPr>
        <w:spacing w:line="240" w:lineRule="auto"/>
        <w:rPr>
          <w:rFonts w:eastAsia="Calibri"/>
        </w:rPr>
      </w:pPr>
      <w:r w:rsidRPr="3F3D5780">
        <w:t>Replace 250 peak hour method for genera</w:t>
      </w:r>
      <w:r w:rsidR="25925690" w:rsidRPr="3F3D5780">
        <w:t>ti</w:t>
      </w:r>
      <w:r w:rsidRPr="3F3D5780">
        <w:t>on capacity all</w:t>
      </w:r>
      <w:r w:rsidR="14BCF539" w:rsidRPr="3F3D5780">
        <w:t xml:space="preserve">ocation </w:t>
      </w:r>
      <w:r w:rsidR="3F3D5780" w:rsidRPr="3F3D5780">
        <w:t>with unserved energy probabilities based on E3 RECAP model</w:t>
      </w:r>
      <w:r w:rsidRPr="008A6BDD">
        <w:rPr>
          <w:rStyle w:val="FootnoteReference"/>
        </w:rPr>
        <w:footnoteReference w:id="32"/>
      </w:r>
      <w:r w:rsidR="3F3D5780" w:rsidRPr="25ED4B98">
        <w:t>.</w:t>
      </w:r>
    </w:p>
    <w:p w14:paraId="504BC477" w14:textId="01B28823" w:rsidR="0C1D08FB" w:rsidRPr="00051934" w:rsidRDefault="0C1D08FB" w:rsidP="008F6B8D">
      <w:pPr>
        <w:numPr>
          <w:ilvl w:val="1"/>
          <w:numId w:val="1"/>
        </w:numPr>
        <w:spacing w:line="240" w:lineRule="auto"/>
        <w:rPr>
          <w:rFonts w:eastAsia="Calibri"/>
        </w:rPr>
      </w:pPr>
      <w:r w:rsidRPr="00051934">
        <w:t xml:space="preserve">Replace use of private long-run gas forecasts (as no longer procured by the CPUC) with </w:t>
      </w:r>
      <w:r w:rsidR="008A6BDD" w:rsidRPr="00051934">
        <w:t>IEPR and EIA escalation rate.</w:t>
      </w:r>
    </w:p>
    <w:p w14:paraId="13409074" w14:textId="2554BD9F" w:rsidR="1B540A3B" w:rsidRDefault="1B540A3B" w:rsidP="008F6B8D">
      <w:pPr>
        <w:pStyle w:val="ListParagraph"/>
        <w:numPr>
          <w:ilvl w:val="1"/>
          <w:numId w:val="1"/>
        </w:numPr>
        <w:spacing w:line="240" w:lineRule="auto"/>
        <w:rPr>
          <w:rFonts w:eastAsia="Calibri"/>
        </w:rPr>
      </w:pPr>
      <w:r>
        <w:t>Replace 2010 MRTU hourly energy price shapes with 2015 data and update the hourly price shapes to reflect changes in market prices expected to occur due to increased renewable generation as California continues to move toward the 50% RPS goal.</w:t>
      </w:r>
    </w:p>
    <w:p w14:paraId="010C2065" w14:textId="326BD9EA" w:rsidR="23BBA6DA" w:rsidRDefault="23BBA6DA" w:rsidP="008F6B8D">
      <w:pPr>
        <w:numPr>
          <w:ilvl w:val="1"/>
          <w:numId w:val="1"/>
        </w:numPr>
        <w:spacing w:line="240" w:lineRule="auto"/>
        <w:rPr>
          <w:rFonts w:eastAsia="Calibri"/>
        </w:rPr>
      </w:pPr>
      <w:r w:rsidRPr="23BBA6DA">
        <w:t>Include the carbon price and variable O&amp;M in the dispatch logic for calculating the residual net cost of generation capacity.</w:t>
      </w:r>
    </w:p>
    <w:p w14:paraId="7BEBF5D1" w14:textId="133A6E91" w:rsidR="2DCCF5AD" w:rsidRDefault="2DCCF5AD" w:rsidP="008F6B8D">
      <w:pPr>
        <w:numPr>
          <w:ilvl w:val="1"/>
          <w:numId w:val="1"/>
        </w:numPr>
        <w:spacing w:line="240" w:lineRule="auto"/>
        <w:rPr>
          <w:rFonts w:eastAsia="Calibri"/>
        </w:rPr>
      </w:pPr>
      <w:r w:rsidRPr="008A6BDD">
        <w:rPr>
          <w:rFonts w:eastAsia="Calibri"/>
        </w:rPr>
        <w:t>Forecast annual energy prices that include CO</w:t>
      </w:r>
      <w:r w:rsidRPr="00946C63">
        <w:rPr>
          <w:rFonts w:eastAsia="Calibri"/>
          <w:vertAlign w:val="subscript"/>
        </w:rPr>
        <w:t>2</w:t>
      </w:r>
      <w:r w:rsidRPr="008A6BDD">
        <w:rPr>
          <w:rFonts w:eastAsia="Calibri"/>
        </w:rPr>
        <w:t xml:space="preserve"> costs (consistent with the </w:t>
      </w:r>
      <w:r w:rsidR="00FD431B">
        <w:rPr>
          <w:rFonts w:eastAsia="Calibri"/>
        </w:rPr>
        <w:t>c</w:t>
      </w:r>
      <w:r w:rsidRPr="008A6BDD">
        <w:rPr>
          <w:rFonts w:eastAsia="Calibri"/>
        </w:rPr>
        <w:t xml:space="preserve">ap and </w:t>
      </w:r>
      <w:r w:rsidR="00FD431B">
        <w:rPr>
          <w:rFonts w:eastAsia="Calibri"/>
        </w:rPr>
        <w:t>t</w:t>
      </w:r>
      <w:r w:rsidRPr="008A6BDD">
        <w:rPr>
          <w:rFonts w:eastAsia="Calibri"/>
        </w:rPr>
        <w:t xml:space="preserve">rade market), and decompose those prices into energy and </w:t>
      </w:r>
      <w:r w:rsidR="000606BD">
        <w:rPr>
          <w:rFonts w:eastAsia="Calibri"/>
        </w:rPr>
        <w:t>monetized carbon (</w:t>
      </w:r>
      <w:r w:rsidR="00FD431B">
        <w:rPr>
          <w:rFonts w:eastAsia="Calibri"/>
        </w:rPr>
        <w:t>cap and trade</w:t>
      </w:r>
      <w:r w:rsidR="000606BD">
        <w:rPr>
          <w:rFonts w:eastAsia="Calibri"/>
        </w:rPr>
        <w:t xml:space="preserve">) </w:t>
      </w:r>
      <w:r w:rsidRPr="008A6BDD">
        <w:rPr>
          <w:rFonts w:eastAsia="Calibri"/>
        </w:rPr>
        <w:t>components.</w:t>
      </w:r>
    </w:p>
    <w:p w14:paraId="55FB0B6D" w14:textId="61191A59" w:rsidR="62A95F32" w:rsidRDefault="62A95F32" w:rsidP="008F6B8D">
      <w:pPr>
        <w:numPr>
          <w:ilvl w:val="1"/>
          <w:numId w:val="1"/>
        </w:numPr>
        <w:spacing w:line="240" w:lineRule="auto"/>
        <w:rPr>
          <w:rFonts w:eastAsia="Calibri"/>
        </w:rPr>
      </w:pPr>
      <w:r w:rsidRPr="008A6BDD">
        <w:rPr>
          <w:rFonts w:eastAsia="Calibri"/>
        </w:rPr>
        <w:t>Include adjustments to the hourly energy price profile using the CPUC RPS Calculator to account for projected increases in renewable generation</w:t>
      </w:r>
      <w:r w:rsidR="005C385F">
        <w:rPr>
          <w:rFonts w:eastAsia="Calibri"/>
        </w:rPr>
        <w:t xml:space="preserve">. </w:t>
      </w:r>
      <w:r w:rsidR="50DAAC3D" w:rsidRPr="008A6BDD">
        <w:rPr>
          <w:rFonts w:eastAsia="Calibri"/>
        </w:rPr>
        <w:t>RPS Calcu</w:t>
      </w:r>
      <w:r w:rsidR="78B3B494" w:rsidRPr="008A6BDD">
        <w:rPr>
          <w:rFonts w:eastAsia="Calibri"/>
        </w:rPr>
        <w:t>lator impl</w:t>
      </w:r>
      <w:r w:rsidR="50DAAC3D" w:rsidRPr="008A6BDD">
        <w:rPr>
          <w:rFonts w:eastAsia="Calibri"/>
        </w:rPr>
        <w:t xml:space="preserve">ied heat rate changes by month/hour are incorporated into the price shape for </w:t>
      </w:r>
      <w:r w:rsidR="78B3B494" w:rsidRPr="008A6BDD">
        <w:rPr>
          <w:rFonts w:eastAsia="Calibri"/>
        </w:rPr>
        <w:t>2020</w:t>
      </w:r>
      <w:r w:rsidR="005C385F">
        <w:rPr>
          <w:rFonts w:eastAsia="Calibri"/>
        </w:rPr>
        <w:t xml:space="preserve">. </w:t>
      </w:r>
      <w:r w:rsidR="78B3B494" w:rsidRPr="008A6BDD">
        <w:rPr>
          <w:rFonts w:eastAsia="Calibri"/>
        </w:rPr>
        <w:t xml:space="preserve">Adjustments prior to 2020 are </w:t>
      </w:r>
      <w:r w:rsidR="4C086A0A" w:rsidRPr="008A6BDD">
        <w:rPr>
          <w:rFonts w:eastAsia="Calibri"/>
        </w:rPr>
        <w:t>linearly interpolated, and adjustments after 2020 are held at the 2020 levels.</w:t>
      </w:r>
    </w:p>
    <w:p w14:paraId="2B13CE53" w14:textId="72A7E149" w:rsidR="2B260064" w:rsidRDefault="504903AA" w:rsidP="008F6B8D">
      <w:pPr>
        <w:numPr>
          <w:ilvl w:val="1"/>
          <w:numId w:val="1"/>
        </w:numPr>
        <w:spacing w:line="240" w:lineRule="auto"/>
        <w:rPr>
          <w:rFonts w:eastAsia="Calibri"/>
        </w:rPr>
      </w:pPr>
      <w:r w:rsidRPr="008A6BDD">
        <w:rPr>
          <w:rFonts w:eastAsia="Calibri"/>
        </w:rPr>
        <w:t>CT levelized cost changes</w:t>
      </w:r>
    </w:p>
    <w:p w14:paraId="1B092D46" w14:textId="14FBD01D" w:rsidR="2B260064" w:rsidRDefault="504903AA" w:rsidP="008F6B8D">
      <w:pPr>
        <w:numPr>
          <w:ilvl w:val="2"/>
          <w:numId w:val="1"/>
        </w:numPr>
        <w:spacing w:line="240" w:lineRule="auto"/>
        <w:rPr>
          <w:rFonts w:eastAsia="Calibri"/>
        </w:rPr>
      </w:pPr>
      <w:r w:rsidRPr="008A6BDD">
        <w:rPr>
          <w:rFonts w:eastAsia="Calibri"/>
        </w:rPr>
        <w:t xml:space="preserve">Change from use of </w:t>
      </w:r>
      <w:r w:rsidR="3EC6CF88" w:rsidRPr="008A6BDD">
        <w:rPr>
          <w:rFonts w:eastAsia="Calibri"/>
        </w:rPr>
        <w:t xml:space="preserve">instant </w:t>
      </w:r>
      <w:r w:rsidRPr="008A6BDD">
        <w:rPr>
          <w:rFonts w:eastAsia="Calibri"/>
        </w:rPr>
        <w:t>costs to installed costs as CT plant cost input</w:t>
      </w:r>
    </w:p>
    <w:p w14:paraId="6D10B2E0" w14:textId="739E3CD9" w:rsidR="504903AA" w:rsidRDefault="07967B52" w:rsidP="008F6B8D">
      <w:pPr>
        <w:numPr>
          <w:ilvl w:val="2"/>
          <w:numId w:val="1"/>
        </w:numPr>
        <w:spacing w:line="240" w:lineRule="auto"/>
        <w:rPr>
          <w:rFonts w:eastAsia="Calibri"/>
        </w:rPr>
      </w:pPr>
      <w:r w:rsidRPr="5BD6E86E">
        <w:t>Remove manufacturer tax credit</w:t>
      </w:r>
    </w:p>
    <w:p w14:paraId="22B260D1" w14:textId="6CBC41BC" w:rsidR="07967B52" w:rsidRDefault="7814C2A1" w:rsidP="008F6B8D">
      <w:pPr>
        <w:numPr>
          <w:ilvl w:val="2"/>
          <w:numId w:val="1"/>
        </w:numPr>
        <w:spacing w:line="240" w:lineRule="auto"/>
        <w:rPr>
          <w:rFonts w:eastAsia="Calibri"/>
        </w:rPr>
      </w:pPr>
      <w:r w:rsidRPr="5BD6E86E">
        <w:t xml:space="preserve">Remove short term tax effect scaling factor (as installed costs are used instead of </w:t>
      </w:r>
      <w:r w:rsidR="3EC6CF88" w:rsidRPr="5BD6E86E">
        <w:t xml:space="preserve">instant </w:t>
      </w:r>
      <w:r w:rsidRPr="5BD6E86E">
        <w:t>costs)</w:t>
      </w:r>
    </w:p>
    <w:p w14:paraId="5DB57916" w14:textId="6C895A65" w:rsidR="05DA9323" w:rsidRDefault="05DA9323" w:rsidP="008F6B8D">
      <w:pPr>
        <w:pStyle w:val="ListParagraph"/>
        <w:numPr>
          <w:ilvl w:val="0"/>
          <w:numId w:val="1"/>
        </w:numPr>
        <w:spacing w:line="240" w:lineRule="auto"/>
        <w:rPr>
          <w:rFonts w:eastAsia="Calibri"/>
        </w:rPr>
      </w:pPr>
      <w:r w:rsidRPr="008A6BDD">
        <w:rPr>
          <w:rStyle w:val="Strong"/>
        </w:rPr>
        <w:t>Simple Data Updates</w:t>
      </w:r>
    </w:p>
    <w:p w14:paraId="062B509E" w14:textId="049998E5" w:rsidR="05DA9323" w:rsidRDefault="1285F18B" w:rsidP="00521705">
      <w:pPr>
        <w:numPr>
          <w:ilvl w:val="1"/>
          <w:numId w:val="26"/>
        </w:numPr>
        <w:spacing w:line="240" w:lineRule="auto"/>
      </w:pPr>
      <w:r w:rsidRPr="1285F18B">
        <w:lastRenderedPageBreak/>
        <w:t>Move the resource balance year (the year when the avoided costs for are based on sustaining new CT and CCGT units in the market) to 2015.</w:t>
      </w:r>
    </w:p>
    <w:p w14:paraId="3D698DE4" w14:textId="6C895A65" w:rsidR="05DA9323" w:rsidRDefault="05DA9323" w:rsidP="00521705">
      <w:pPr>
        <w:numPr>
          <w:ilvl w:val="1"/>
          <w:numId w:val="26"/>
        </w:numPr>
        <w:spacing w:line="240" w:lineRule="auto"/>
      </w:pPr>
      <w:r>
        <w:t>Update the cost and operating characteristics of a simple cycle gas turbine (CT) and a combined cycle gas turbine (CCGT) unit with data from the CEC Estimated Cost of New Renewable and Fossil Generation in California report</w:t>
      </w:r>
      <w:r w:rsidRPr="008A6BDD">
        <w:rPr>
          <w:rStyle w:val="FootnoteReference"/>
        </w:rPr>
        <w:footnoteReference w:id="33"/>
      </w:r>
      <w:r w:rsidRPr="42C633DC">
        <w:t>.</w:t>
      </w:r>
    </w:p>
    <w:p w14:paraId="7E0FCE05" w14:textId="56E564E4" w:rsidR="05DA9323" w:rsidRDefault="05DA9323" w:rsidP="00521705">
      <w:pPr>
        <w:numPr>
          <w:ilvl w:val="1"/>
          <w:numId w:val="26"/>
        </w:numPr>
        <w:spacing w:line="240" w:lineRule="auto"/>
      </w:pPr>
      <w:r>
        <w:t xml:space="preserve">Update the ancillary service </w:t>
      </w:r>
      <w:r w:rsidR="7235951E">
        <w:t>p</w:t>
      </w:r>
      <w:r w:rsidR="6D6352EB">
        <w:t xml:space="preserve">ercentage relative to energy costs </w:t>
      </w:r>
      <w:r>
        <w:t>to reflect 2015 markets</w:t>
      </w:r>
    </w:p>
    <w:p w14:paraId="598CBCD0" w14:textId="7E55D7B3" w:rsidR="6D6352EB" w:rsidRDefault="6D6352EB" w:rsidP="00521705">
      <w:pPr>
        <w:numPr>
          <w:ilvl w:val="1"/>
          <w:numId w:val="26"/>
        </w:numPr>
        <w:spacing w:line="240" w:lineRule="auto"/>
      </w:pPr>
      <w:r>
        <w:t>Update the CT ancillar</w:t>
      </w:r>
      <w:r w:rsidR="75664574">
        <w:t xml:space="preserve">y revenues adder with the CAISO 2015 market performance and monitoring </w:t>
      </w:r>
      <w:r w:rsidR="6921EF02">
        <w:t>report.</w:t>
      </w:r>
    </w:p>
    <w:p w14:paraId="2C5B4ACE" w14:textId="6C895A65" w:rsidR="05DA9323" w:rsidRDefault="05DA9323" w:rsidP="00521705">
      <w:pPr>
        <w:numPr>
          <w:ilvl w:val="1"/>
          <w:numId w:val="26"/>
        </w:numPr>
        <w:spacing w:line="240" w:lineRule="auto"/>
      </w:pPr>
      <w:r>
        <w:t>Update T&amp;D capacity costs for latest utility General Rate Case (GRC) filings.</w:t>
      </w:r>
    </w:p>
    <w:p w14:paraId="55B9F35F" w14:textId="6C895A65" w:rsidR="05DA9323" w:rsidRDefault="05DA9323" w:rsidP="00521705">
      <w:pPr>
        <w:numPr>
          <w:ilvl w:val="1"/>
          <w:numId w:val="26"/>
        </w:numPr>
        <w:spacing w:line="240" w:lineRule="auto"/>
      </w:pPr>
      <w:r>
        <w:t>Replace Synapse forecast of CO</w:t>
      </w:r>
      <w:r w:rsidRPr="00946C63">
        <w:rPr>
          <w:vertAlign w:val="subscript"/>
        </w:rPr>
        <w:t>2</w:t>
      </w:r>
      <w:r>
        <w:t xml:space="preserve"> price forecast with 2015 IEPR mid-case forecast values</w:t>
      </w:r>
    </w:p>
    <w:p w14:paraId="2B99F525" w14:textId="100BCBB3" w:rsidR="05DA9323" w:rsidRDefault="05DA9323" w:rsidP="00521705">
      <w:pPr>
        <w:numPr>
          <w:ilvl w:val="1"/>
          <w:numId w:val="26"/>
        </w:numPr>
        <w:spacing w:line="240" w:lineRule="auto"/>
      </w:pPr>
      <w:r>
        <w:t>Update the marginal RPS cost (used to calculate the RPS premium) with values from the latest RPS Calculator spreadsheet model (version 6.2)</w:t>
      </w:r>
    </w:p>
    <w:p w14:paraId="2F92528B" w14:textId="05A5DD70" w:rsidR="00AC3D95" w:rsidRDefault="00AC3D95" w:rsidP="00521705">
      <w:pPr>
        <w:numPr>
          <w:ilvl w:val="1"/>
          <w:numId w:val="26"/>
        </w:numPr>
        <w:spacing w:line="240" w:lineRule="auto"/>
      </w:pPr>
      <w:r>
        <w:t>Updated RECAP model to incorporate 2015 LTPP net qualifying capacity generator data, updated NREL wind profiles from the western wind dataset, and load and renewable penetrations consistent with SB 350 i.e. 2x energy efficiency and 50% RPS by 2030</w:t>
      </w:r>
    </w:p>
    <w:sectPr w:rsidR="00AC3D95" w:rsidSect="00931CC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0006F" w14:textId="77777777" w:rsidR="00D667EA" w:rsidRDefault="00D667EA" w:rsidP="000145D0">
      <w:r>
        <w:separator/>
      </w:r>
    </w:p>
  </w:endnote>
  <w:endnote w:type="continuationSeparator" w:id="0">
    <w:p w14:paraId="02A3E7B2" w14:textId="77777777" w:rsidR="00D667EA" w:rsidRDefault="00D667EA" w:rsidP="000145D0">
      <w:r>
        <w:continuationSeparator/>
      </w:r>
    </w:p>
  </w:endnote>
  <w:endnote w:type="continuationNotice" w:id="1">
    <w:p w14:paraId="400BFC89" w14:textId="77777777" w:rsidR="00D667EA" w:rsidRDefault="00D667E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Times New 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1A64B" w14:textId="77777777" w:rsidR="00D667EA" w:rsidRDefault="00D667EA" w:rsidP="000145D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0557101" w14:textId="77777777" w:rsidR="00D667EA" w:rsidRDefault="00D667EA" w:rsidP="000145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7EDC3" w14:textId="5C3FD2B1" w:rsidR="00D667EA" w:rsidRDefault="00D667EA" w:rsidP="00121E26">
    <w:pPr>
      <w:pStyle w:val="Footer"/>
      <w:pBdr>
        <w:top w:val="single" w:sz="4" w:space="1" w:color="D9D9D9"/>
      </w:pBdr>
      <w:jc w:val="right"/>
    </w:pPr>
    <w:r>
      <w:fldChar w:fldCharType="begin"/>
    </w:r>
    <w:r>
      <w:instrText xml:space="preserve"> PAGE   \* MERGEFORMAT </w:instrText>
    </w:r>
    <w:r>
      <w:fldChar w:fldCharType="separate"/>
    </w:r>
    <w:r>
      <w:rPr>
        <w:noProof/>
      </w:rPr>
      <w:t>40</w:t>
    </w:r>
    <w:r>
      <w:rPr>
        <w:noProof/>
      </w:rPr>
      <w:fldChar w:fldCharType="end"/>
    </w:r>
    <w:r>
      <w:t xml:space="preserve"> | </w:t>
    </w:r>
    <w:r w:rsidRPr="00121E26">
      <w:rPr>
        <w:color w:val="808080"/>
        <w:spacing w:val="60"/>
      </w:rPr>
      <w:t>Page</w:t>
    </w:r>
  </w:p>
  <w:p w14:paraId="745943A7" w14:textId="77777777" w:rsidR="00D667EA" w:rsidRDefault="00D667EA" w:rsidP="000145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BB361" w14:textId="77777777" w:rsidR="00D667EA" w:rsidRDefault="00D667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A697B" w14:textId="77777777" w:rsidR="00D667EA" w:rsidRDefault="00D667EA" w:rsidP="000145D0">
      <w:r>
        <w:separator/>
      </w:r>
    </w:p>
  </w:footnote>
  <w:footnote w:type="continuationSeparator" w:id="0">
    <w:p w14:paraId="5B3D5E13" w14:textId="77777777" w:rsidR="00D667EA" w:rsidRDefault="00D667EA" w:rsidP="000145D0">
      <w:r>
        <w:continuationSeparator/>
      </w:r>
    </w:p>
  </w:footnote>
  <w:footnote w:type="continuationNotice" w:id="1">
    <w:p w14:paraId="585F1CE0" w14:textId="77777777" w:rsidR="00D667EA" w:rsidRDefault="00D667EA">
      <w:pPr>
        <w:spacing w:before="0" w:after="0" w:line="240" w:lineRule="auto"/>
      </w:pPr>
    </w:p>
  </w:footnote>
  <w:footnote w:id="2">
    <w:p w14:paraId="66F43D67" w14:textId="59CBD70C" w:rsidR="00D667EA" w:rsidRDefault="00D667EA">
      <w:pPr>
        <w:pStyle w:val="FootnoteText"/>
      </w:pPr>
      <w:r>
        <w:rPr>
          <w:rStyle w:val="FootnoteReference"/>
        </w:rPr>
        <w:footnoteRef/>
      </w:r>
      <w:r>
        <w:t xml:space="preserve"> NP-15 and SP-15 are </w:t>
      </w:r>
      <w:r w:rsidRPr="00795BDE">
        <w:t>load-aggregation points in Northern and Southern California, respectively</w:t>
      </w:r>
      <w:r>
        <w:t>.</w:t>
      </w:r>
    </w:p>
  </w:footnote>
  <w:footnote w:id="3">
    <w:p w14:paraId="3C344F4C" w14:textId="77777777" w:rsidR="00D667EA" w:rsidRDefault="00D667EA" w:rsidP="00795BDE">
      <w:pPr>
        <w:pStyle w:val="FootnoteText"/>
      </w:pPr>
      <w:r>
        <w:rPr>
          <w:rStyle w:val="FootnoteReference"/>
        </w:rPr>
        <w:footnoteRef/>
      </w:r>
      <w:r>
        <w:t xml:space="preserve"> Market Price Referent.</w:t>
      </w:r>
    </w:p>
  </w:footnote>
  <w:footnote w:id="4">
    <w:p w14:paraId="195B9881" w14:textId="5E22DEF5" w:rsidR="00D667EA" w:rsidRDefault="00D667EA">
      <w:pPr>
        <w:pStyle w:val="FootnoteText"/>
      </w:pPr>
      <w:r>
        <w:rPr>
          <w:rStyle w:val="FootnoteReference"/>
        </w:rPr>
        <w:footnoteRef/>
      </w:r>
      <w:r>
        <w:t xml:space="preserve"> DR = Demand Response.</w:t>
      </w:r>
    </w:p>
  </w:footnote>
  <w:footnote w:id="5">
    <w:p w14:paraId="3713BB95" w14:textId="22927C28" w:rsidR="00D667EA" w:rsidRDefault="00D667EA" w:rsidP="00A962CD">
      <w:pPr>
        <w:pStyle w:val="FootnoteText"/>
        <w:spacing w:before="0" w:line="240" w:lineRule="auto"/>
      </w:pPr>
      <w:r>
        <w:rPr>
          <w:rStyle w:val="FootnoteReference"/>
        </w:rPr>
        <w:footnoteRef/>
      </w:r>
      <w:r>
        <w:t xml:space="preserve"> New York Mercantile Exchange, </w:t>
      </w:r>
      <w:hyperlink r:id="rId1" w:history="1">
        <w:r>
          <w:rPr>
            <w:rStyle w:val="Hyperlink"/>
          </w:rPr>
          <w:t>http://www.nymex.com/jsp/markets/ng_oth_pgbdes.jsp</w:t>
        </w:r>
      </w:hyperlink>
    </w:p>
  </w:footnote>
  <w:footnote w:id="6">
    <w:p w14:paraId="3ADFC13D" w14:textId="4E1DB160" w:rsidR="00D667EA" w:rsidRDefault="00D667EA" w:rsidP="000F536C">
      <w:pPr>
        <w:pStyle w:val="FootnoteText"/>
        <w:spacing w:before="0" w:line="240" w:lineRule="auto"/>
      </w:pPr>
      <w:r>
        <w:rPr>
          <w:rStyle w:val="FootnoteReference"/>
        </w:rPr>
        <w:footnoteRef/>
      </w:r>
      <w:r>
        <w:t xml:space="preserve"> </w:t>
      </w:r>
      <w:r w:rsidRPr="000F536C">
        <w:rPr>
          <w:u w:val="single"/>
        </w:rPr>
        <w:t>SoCal Gas</w:t>
      </w:r>
      <w:r>
        <w:t xml:space="preserve">: GT-5NC; </w:t>
      </w:r>
      <w:r w:rsidRPr="000F536C">
        <w:rPr>
          <w:u w:val="single"/>
        </w:rPr>
        <w:t>PG&amp;E</w:t>
      </w:r>
      <w:r>
        <w:t xml:space="preserve"> G-EG</w:t>
      </w:r>
    </w:p>
  </w:footnote>
  <w:footnote w:id="7">
    <w:p w14:paraId="6E58CD46" w14:textId="739C19ED" w:rsidR="00D667EA" w:rsidRDefault="00D667EA" w:rsidP="00A962CD">
      <w:pPr>
        <w:pStyle w:val="FootnoteText"/>
        <w:spacing w:before="0" w:line="240" w:lineRule="auto"/>
      </w:pPr>
      <w:r>
        <w:rPr>
          <w:rStyle w:val="FootnoteReference"/>
        </w:rPr>
        <w:footnoteRef/>
      </w:r>
      <w:r>
        <w:t xml:space="preserve"> A</w:t>
      </w:r>
      <w:r w:rsidRPr="007361A6">
        <w:t xml:space="preserve">verage surcharge for </w:t>
      </w:r>
      <w:r>
        <w:t>SoCal</w:t>
      </w:r>
      <w:r w:rsidRPr="007361A6">
        <w:t xml:space="preserve"> Gas and PG&amp;E. See </w:t>
      </w:r>
      <w:hyperlink r:id="rId2" w:history="1">
        <w:r w:rsidRPr="001768F2">
          <w:rPr>
            <w:rStyle w:val="Hyperlink"/>
          </w:rPr>
          <w:t>http://www.</w:t>
        </w:r>
        <w:r>
          <w:rPr>
            <w:rStyle w:val="Hyperlink"/>
          </w:rPr>
          <w:t>SoCal</w:t>
        </w:r>
        <w:r w:rsidRPr="001768F2">
          <w:rPr>
            <w:rStyle w:val="Hyperlink"/>
          </w:rPr>
          <w:t>gas.com/regulatory/tariffs/tm2/pdf/G-MSUR.pdf</w:t>
        </w:r>
      </w:hyperlink>
      <w:r>
        <w:t xml:space="preserve"> </w:t>
      </w:r>
      <w:r w:rsidRPr="007361A6">
        <w:t xml:space="preserve"> and </w:t>
      </w:r>
      <w:hyperlink r:id="rId3" w:history="1">
        <w:r w:rsidRPr="001768F2">
          <w:rPr>
            <w:rStyle w:val="Hyperlink"/>
          </w:rPr>
          <w:t>https://www.pge.com/tariffs/assets/pdf/tariffbook/GAS_SCHEDS_G-SUR.pdf</w:t>
        </w:r>
      </w:hyperlink>
      <w:r>
        <w:t xml:space="preserve"> </w:t>
      </w:r>
    </w:p>
  </w:footnote>
  <w:footnote w:id="8">
    <w:p w14:paraId="24150907" w14:textId="77777777" w:rsidR="00D667EA" w:rsidRPr="00A00333" w:rsidRDefault="00D667EA" w:rsidP="00BC09CE">
      <w:pPr>
        <w:keepNext/>
        <w:spacing w:before="0" w:after="0" w:line="240" w:lineRule="auto"/>
        <w:rPr>
          <w:sz w:val="22"/>
        </w:rPr>
      </w:pPr>
      <w:r>
        <w:rPr>
          <w:rStyle w:val="FootnoteReference"/>
        </w:rPr>
        <w:footnoteRef/>
      </w:r>
      <w:r>
        <w:t xml:space="preserve"> </w:t>
      </w:r>
      <w:r w:rsidRPr="000637DE">
        <w:rPr>
          <w:sz w:val="22"/>
          <w:szCs w:val="22"/>
        </w:rPr>
        <w:t>The actual process steps for determining the calibration factor for each year (and therefore the real-time and day-ahead market prices) are listed below.</w:t>
      </w:r>
    </w:p>
    <w:p w14:paraId="56080983" w14:textId="0B8F2E1C" w:rsidR="00D667EA" w:rsidRPr="00626886" w:rsidRDefault="00D667EA" w:rsidP="00BC09CE">
      <w:pPr>
        <w:numPr>
          <w:ilvl w:val="0"/>
          <w:numId w:val="3"/>
        </w:numPr>
        <w:spacing w:before="0" w:after="0" w:line="240" w:lineRule="auto"/>
        <w:rPr>
          <w:sz w:val="20"/>
          <w:szCs w:val="20"/>
        </w:rPr>
      </w:pPr>
      <w:r w:rsidRPr="00626886">
        <w:rPr>
          <w:sz w:val="20"/>
          <w:szCs w:val="20"/>
        </w:rPr>
        <w:t>Set the annual day-ahead energy price at the 2018 level increased by the percentage change in the forecast annual gas burner tip price</w:t>
      </w:r>
    </w:p>
    <w:p w14:paraId="0D61DABB" w14:textId="0EE89F66" w:rsidR="00D667EA" w:rsidRPr="00626886" w:rsidRDefault="00D667EA" w:rsidP="00BC09CE">
      <w:pPr>
        <w:numPr>
          <w:ilvl w:val="0"/>
          <w:numId w:val="3"/>
        </w:numPr>
        <w:spacing w:before="0" w:after="0" w:line="240" w:lineRule="auto"/>
        <w:rPr>
          <w:sz w:val="20"/>
          <w:szCs w:val="20"/>
        </w:rPr>
      </w:pPr>
      <w:r w:rsidRPr="00626886">
        <w:rPr>
          <w:sz w:val="20"/>
          <w:szCs w:val="20"/>
        </w:rPr>
        <w:t>Set the energy market calibration factor to 100%</w:t>
      </w:r>
    </w:p>
    <w:p w14:paraId="7E11003C" w14:textId="0D37BA83" w:rsidR="00D667EA" w:rsidRPr="00626886" w:rsidRDefault="00D667EA" w:rsidP="00BC09CE">
      <w:pPr>
        <w:numPr>
          <w:ilvl w:val="0"/>
          <w:numId w:val="3"/>
        </w:numPr>
        <w:spacing w:before="0" w:after="0" w:line="240" w:lineRule="auto"/>
        <w:rPr>
          <w:sz w:val="20"/>
          <w:szCs w:val="20"/>
        </w:rPr>
      </w:pPr>
      <w:r w:rsidRPr="00626886">
        <w:rPr>
          <w:sz w:val="20"/>
          <w:szCs w:val="20"/>
        </w:rPr>
        <w:t>Multiply (1) by (2) to yield the adjusted annual day-ahead price</w:t>
      </w:r>
    </w:p>
    <w:p w14:paraId="6D4308DD" w14:textId="2DFAFEBF" w:rsidR="00D667EA" w:rsidRPr="00626886" w:rsidRDefault="00D667EA" w:rsidP="00BC09CE">
      <w:pPr>
        <w:numPr>
          <w:ilvl w:val="0"/>
          <w:numId w:val="3"/>
        </w:numPr>
        <w:spacing w:before="0" w:after="0" w:line="240" w:lineRule="auto"/>
        <w:rPr>
          <w:sz w:val="20"/>
          <w:szCs w:val="20"/>
        </w:rPr>
      </w:pPr>
      <w:r w:rsidRPr="00626886">
        <w:rPr>
          <w:sz w:val="20"/>
          <w:szCs w:val="20"/>
        </w:rPr>
        <w:t>Calculate capacity cost</w:t>
      </w:r>
    </w:p>
    <w:p w14:paraId="3FB7E4EC" w14:textId="2249FD82" w:rsidR="00D667EA" w:rsidRPr="00626886" w:rsidRDefault="00D667EA" w:rsidP="00BC09CE">
      <w:pPr>
        <w:numPr>
          <w:ilvl w:val="1"/>
          <w:numId w:val="3"/>
        </w:numPr>
        <w:spacing w:before="0" w:after="0" w:line="240" w:lineRule="auto"/>
        <w:rPr>
          <w:sz w:val="20"/>
          <w:szCs w:val="20"/>
        </w:rPr>
      </w:pPr>
      <w:r w:rsidRPr="00626886">
        <w:rPr>
          <w:sz w:val="20"/>
          <w:szCs w:val="20"/>
        </w:rPr>
        <w:t>Multiply the real-time hourly price shape by the adjusted annual day-ahead price</w:t>
      </w:r>
    </w:p>
    <w:p w14:paraId="0CD5F519" w14:textId="798AFBC9" w:rsidR="00D667EA" w:rsidRPr="00626886" w:rsidRDefault="00D667EA" w:rsidP="00BC09CE">
      <w:pPr>
        <w:numPr>
          <w:ilvl w:val="1"/>
          <w:numId w:val="3"/>
        </w:numPr>
        <w:spacing w:before="0" w:after="0" w:line="240" w:lineRule="auto"/>
        <w:rPr>
          <w:sz w:val="20"/>
          <w:szCs w:val="20"/>
        </w:rPr>
      </w:pPr>
      <w:r w:rsidRPr="00626886">
        <w:rPr>
          <w:sz w:val="20"/>
          <w:szCs w:val="20"/>
        </w:rPr>
        <w:t>Dispatch a new CT against the hourly prices in Northern and Southern CA from 4a to determine real-time dispatch revenue in Northern and Southern CA</w:t>
      </w:r>
    </w:p>
    <w:p w14:paraId="07287EE0" w14:textId="46F454E8" w:rsidR="00D667EA" w:rsidRPr="00626886" w:rsidRDefault="00D667EA" w:rsidP="00BC09CE">
      <w:pPr>
        <w:numPr>
          <w:ilvl w:val="1"/>
          <w:numId w:val="3"/>
        </w:numPr>
        <w:spacing w:before="0" w:after="0" w:line="240" w:lineRule="auto"/>
        <w:rPr>
          <w:sz w:val="20"/>
          <w:szCs w:val="20"/>
        </w:rPr>
      </w:pPr>
      <w:r w:rsidRPr="00626886">
        <w:rPr>
          <w:sz w:val="20"/>
          <w:szCs w:val="20"/>
        </w:rPr>
        <w:t>Calculate ancillary service revenues as 2.74% of the real-time dispatch revenue</w:t>
      </w:r>
    </w:p>
    <w:p w14:paraId="37981318" w14:textId="6F71610F" w:rsidR="00D667EA" w:rsidRPr="00626886" w:rsidRDefault="00D667EA" w:rsidP="00BC09CE">
      <w:pPr>
        <w:numPr>
          <w:ilvl w:val="1"/>
          <w:numId w:val="3"/>
        </w:numPr>
        <w:spacing w:before="0" w:after="0" w:line="240" w:lineRule="auto"/>
        <w:rPr>
          <w:sz w:val="20"/>
          <w:szCs w:val="20"/>
        </w:rPr>
      </w:pPr>
      <w:r w:rsidRPr="00626886">
        <w:rPr>
          <w:sz w:val="20"/>
          <w:szCs w:val="20"/>
        </w:rPr>
        <w:t xml:space="preserve">Capacity value is the net capacity cost. Net capacity cost = the levelized cost of the new CT plus fuel and O&amp;M costs less </w:t>
      </w:r>
      <w:r w:rsidRPr="00626886">
        <w:rPr>
          <w:sz w:val="22"/>
          <w:szCs w:val="22"/>
        </w:rPr>
        <w:t>4.b</w:t>
      </w:r>
      <w:r w:rsidRPr="00626886">
        <w:rPr>
          <w:sz w:val="20"/>
          <w:szCs w:val="20"/>
        </w:rPr>
        <w:t xml:space="preserve"> and </w:t>
      </w:r>
      <w:r w:rsidRPr="00626886">
        <w:rPr>
          <w:sz w:val="22"/>
          <w:szCs w:val="22"/>
        </w:rPr>
        <w:t>4.c.</w:t>
      </w:r>
    </w:p>
    <w:p w14:paraId="602150A4" w14:textId="77777777" w:rsidR="00D667EA" w:rsidRPr="00626886" w:rsidRDefault="00D667EA" w:rsidP="00BC09CE">
      <w:pPr>
        <w:numPr>
          <w:ilvl w:val="1"/>
          <w:numId w:val="3"/>
        </w:numPr>
        <w:spacing w:before="0" w:after="0" w:line="240" w:lineRule="auto"/>
        <w:rPr>
          <w:sz w:val="20"/>
          <w:szCs w:val="20"/>
        </w:rPr>
      </w:pPr>
      <w:r w:rsidRPr="00626886">
        <w:rPr>
          <w:sz w:val="20"/>
          <w:szCs w:val="20"/>
        </w:rPr>
        <w:t>Adjust capacity value ($/kW-yr) to reflect degraded output at system peak weather conditions</w:t>
      </w:r>
    </w:p>
    <w:p w14:paraId="791F8402" w14:textId="77777777" w:rsidR="00D667EA" w:rsidRPr="00626886" w:rsidRDefault="00D667EA" w:rsidP="00BC09CE">
      <w:pPr>
        <w:numPr>
          <w:ilvl w:val="1"/>
          <w:numId w:val="3"/>
        </w:numPr>
        <w:spacing w:before="0" w:after="0" w:line="240" w:lineRule="auto"/>
        <w:rPr>
          <w:sz w:val="20"/>
          <w:szCs w:val="20"/>
        </w:rPr>
      </w:pPr>
      <w:r w:rsidRPr="00626886">
        <w:rPr>
          <w:sz w:val="20"/>
          <w:szCs w:val="20"/>
        </w:rPr>
        <w:t>Set the capacity value at the average of Northern and Southern CA capacity values</w:t>
      </w:r>
    </w:p>
    <w:p w14:paraId="49183829" w14:textId="77777777" w:rsidR="00D667EA" w:rsidRPr="00626886" w:rsidRDefault="00D667EA" w:rsidP="00BC09CE">
      <w:pPr>
        <w:numPr>
          <w:ilvl w:val="0"/>
          <w:numId w:val="3"/>
        </w:numPr>
        <w:spacing w:before="0" w:after="0" w:line="240" w:lineRule="auto"/>
        <w:rPr>
          <w:sz w:val="20"/>
          <w:szCs w:val="20"/>
        </w:rPr>
      </w:pPr>
      <w:r w:rsidRPr="00626886">
        <w:rPr>
          <w:sz w:val="20"/>
          <w:szCs w:val="20"/>
        </w:rPr>
        <w:t>Calculate energy cost</w:t>
      </w:r>
    </w:p>
    <w:p w14:paraId="412F6B6A" w14:textId="00139954" w:rsidR="00D667EA" w:rsidRPr="00626886" w:rsidRDefault="00D667EA" w:rsidP="00BC09CE">
      <w:pPr>
        <w:numPr>
          <w:ilvl w:val="1"/>
          <w:numId w:val="3"/>
        </w:numPr>
        <w:spacing w:before="0" w:after="0" w:line="240" w:lineRule="auto"/>
        <w:rPr>
          <w:sz w:val="20"/>
          <w:szCs w:val="20"/>
        </w:rPr>
      </w:pPr>
      <w:r w:rsidRPr="00626886">
        <w:rPr>
          <w:sz w:val="20"/>
          <w:szCs w:val="20"/>
        </w:rPr>
        <w:t>Multiply the day-ahead hourly price shape by the adjusted annual day ahead price</w:t>
      </w:r>
    </w:p>
    <w:p w14:paraId="53389846" w14:textId="0FCF9FB1" w:rsidR="00D667EA" w:rsidRPr="00626886" w:rsidRDefault="00D667EA" w:rsidP="00BC09CE">
      <w:pPr>
        <w:numPr>
          <w:ilvl w:val="1"/>
          <w:numId w:val="3"/>
        </w:numPr>
        <w:spacing w:before="0" w:after="0" w:line="240" w:lineRule="auto"/>
        <w:rPr>
          <w:sz w:val="20"/>
          <w:szCs w:val="20"/>
        </w:rPr>
      </w:pPr>
      <w:r w:rsidRPr="00626886">
        <w:rPr>
          <w:sz w:val="20"/>
          <w:szCs w:val="20"/>
        </w:rPr>
        <w:t xml:space="preserve">Dispatch a new CCGT against the hourly prices from </w:t>
      </w:r>
      <w:r w:rsidRPr="00626886">
        <w:rPr>
          <w:sz w:val="22"/>
          <w:szCs w:val="22"/>
        </w:rPr>
        <w:t>5.a</w:t>
      </w:r>
      <w:r w:rsidRPr="00626886">
        <w:rPr>
          <w:sz w:val="20"/>
          <w:szCs w:val="20"/>
        </w:rPr>
        <w:t xml:space="preserve"> to determine the day-ahead dispatch revenue </w:t>
      </w:r>
    </w:p>
    <w:p w14:paraId="3D369C4F" w14:textId="761A4292" w:rsidR="00D667EA" w:rsidRPr="00626886" w:rsidRDefault="00D667EA" w:rsidP="00BC09CE">
      <w:pPr>
        <w:numPr>
          <w:ilvl w:val="1"/>
          <w:numId w:val="3"/>
        </w:numPr>
        <w:spacing w:before="0" w:after="0" w:line="240" w:lineRule="auto"/>
        <w:rPr>
          <w:sz w:val="20"/>
          <w:szCs w:val="20"/>
        </w:rPr>
      </w:pPr>
      <w:r w:rsidRPr="00626886">
        <w:rPr>
          <w:sz w:val="20"/>
          <w:szCs w:val="20"/>
        </w:rPr>
        <w:t xml:space="preserve">Calculate the excess (deficient) margin of a CCGT unit as the levelized cost of a new CCGT plus fuel and O&amp;M costs less </w:t>
      </w:r>
      <w:r w:rsidRPr="00626886">
        <w:rPr>
          <w:sz w:val="22"/>
          <w:szCs w:val="22"/>
        </w:rPr>
        <w:t xml:space="preserve">5.b </w:t>
      </w:r>
      <w:r w:rsidRPr="00626886">
        <w:rPr>
          <w:sz w:val="20"/>
          <w:szCs w:val="20"/>
        </w:rPr>
        <w:t xml:space="preserve">and less </w:t>
      </w:r>
      <w:r w:rsidRPr="00626886">
        <w:rPr>
          <w:sz w:val="22"/>
          <w:szCs w:val="22"/>
        </w:rPr>
        <w:t>4.e</w:t>
      </w:r>
      <w:r w:rsidRPr="00626886">
        <w:rPr>
          <w:sz w:val="20"/>
          <w:szCs w:val="20"/>
        </w:rPr>
        <w:t xml:space="preserve"> (adjusted for CCGT output degradation)</w:t>
      </w:r>
    </w:p>
    <w:p w14:paraId="5EC7F406" w14:textId="21A761F5" w:rsidR="00D667EA" w:rsidRPr="00D216FA" w:rsidRDefault="00D667EA" w:rsidP="00BC09CE">
      <w:pPr>
        <w:numPr>
          <w:ilvl w:val="0"/>
          <w:numId w:val="3"/>
        </w:numPr>
        <w:spacing w:before="0" w:after="0" w:line="240" w:lineRule="auto"/>
        <w:rPr>
          <w:sz w:val="22"/>
          <w:szCs w:val="22"/>
        </w:rPr>
      </w:pPr>
      <w:r w:rsidRPr="00626886">
        <w:rPr>
          <w:sz w:val="20"/>
          <w:szCs w:val="20"/>
        </w:rPr>
        <w:t xml:space="preserve">If there is excess or deficient margin for the CCGT unit, decrease or increase the energy market calibration factor, and repeat from step </w:t>
      </w:r>
      <w:r w:rsidRPr="00626886">
        <w:rPr>
          <w:sz w:val="22"/>
          <w:szCs w:val="22"/>
        </w:rPr>
        <w:t>2</w:t>
      </w:r>
    </w:p>
  </w:footnote>
  <w:footnote w:id="9">
    <w:p w14:paraId="67D33B7B" w14:textId="088F279D" w:rsidR="00D667EA" w:rsidRDefault="00D667EA" w:rsidP="00A962CD">
      <w:pPr>
        <w:pStyle w:val="FootnoteText"/>
        <w:spacing w:before="0" w:line="240" w:lineRule="auto"/>
      </w:pPr>
      <w:r w:rsidRPr="0075198E">
        <w:rPr>
          <w:rStyle w:val="FootnoteReference"/>
        </w:rPr>
        <w:footnoteRef/>
      </w:r>
      <w:r w:rsidRPr="0075198E">
        <w:t xml:space="preserve"> </w:t>
      </w:r>
      <w:hyperlink r:id="rId4" w:history="1">
        <w:r w:rsidRPr="001768F2">
          <w:rPr>
            <w:rStyle w:val="Hyperlink"/>
          </w:rPr>
          <w:t>https://e3.sharefile.com/d-s75a44f147ac4b48a</w:t>
        </w:r>
      </w:hyperlink>
    </w:p>
  </w:footnote>
  <w:footnote w:id="10">
    <w:p w14:paraId="277210E4" w14:textId="703D25E5" w:rsidR="00D667EA" w:rsidRDefault="00D667EA" w:rsidP="00A962CD">
      <w:pPr>
        <w:pStyle w:val="FootnoteText"/>
        <w:spacing w:before="0" w:line="240" w:lineRule="auto"/>
      </w:pPr>
      <w:r>
        <w:rPr>
          <w:rStyle w:val="FootnoteReference"/>
        </w:rPr>
        <w:footnoteRef/>
      </w:r>
      <w:r>
        <w:t xml:space="preserve"> According to the CAISO’s </w:t>
      </w:r>
      <w:r w:rsidRPr="00336CA6">
        <w:t>201</w:t>
      </w:r>
      <w:r>
        <w:t>5</w:t>
      </w:r>
      <w:r w:rsidRPr="00336CA6">
        <w:t xml:space="preserve"> Annual Report on Market Issues and Performance</w:t>
      </w:r>
      <w:r>
        <w:t xml:space="preserve"> CT A/S revenues from 2012 through 2015 averaged 2.74% of the CT energy market revenue  </w:t>
      </w:r>
      <w:hyperlink r:id="rId5" w:history="1">
        <w:r w:rsidRPr="00570878">
          <w:rPr>
            <w:rStyle w:val="Hyperlink"/>
          </w:rPr>
          <w:t>http://caiso.com/Documents/2015AnnualReportonMarketIssuesandPerformance.pdf</w:t>
        </w:r>
      </w:hyperlink>
      <w:r>
        <w:t xml:space="preserve">  Table 1.10 Financial analysis of a new combustion turbine (2012-2015). An updated value was not available in the CAISO’s 2018 annual report.</w:t>
      </w:r>
    </w:p>
  </w:footnote>
  <w:footnote w:id="11">
    <w:p w14:paraId="1E4EB5E6" w14:textId="4496400C" w:rsidR="00D667EA" w:rsidRDefault="00D667EA" w:rsidP="00A962CD">
      <w:pPr>
        <w:pStyle w:val="FootnoteText"/>
        <w:spacing w:before="0" w:line="240" w:lineRule="auto"/>
      </w:pPr>
      <w:r>
        <w:rPr>
          <w:rStyle w:val="FootnoteReference"/>
        </w:rPr>
        <w:footnoteRef/>
      </w:r>
      <w:r>
        <w:t xml:space="preserve"> The market calibration factor is used to adjust the energy market prices to a level each year such that a new CCGT would not over or under collect its return on and of capital from the energy market margins, and is described in more detail in the energy market section.</w:t>
      </w:r>
    </w:p>
  </w:footnote>
  <w:footnote w:id="12">
    <w:p w14:paraId="11F94B1C" w14:textId="77777777" w:rsidR="00D667EA" w:rsidRDefault="00D667EA" w:rsidP="00A962CD">
      <w:pPr>
        <w:pStyle w:val="FootnoteText"/>
        <w:spacing w:before="0" w:line="240" w:lineRule="auto"/>
      </w:pPr>
      <w:r>
        <w:rPr>
          <w:rStyle w:val="FootnoteReference"/>
        </w:rPr>
        <w:footnoteRef/>
      </w:r>
      <w:r>
        <w:t xml:space="preserve"> ISO conditions assume 59ºF, 60% relative humidity, and elevation at sea level.</w:t>
      </w:r>
    </w:p>
  </w:footnote>
  <w:footnote w:id="13">
    <w:p w14:paraId="23C3277F" w14:textId="77777777" w:rsidR="00D667EA" w:rsidRDefault="00D667EA" w:rsidP="00A962CD">
      <w:pPr>
        <w:pStyle w:val="FootnoteText"/>
        <w:spacing w:before="0" w:line="240" w:lineRule="auto"/>
      </w:pPr>
      <w:r>
        <w:rPr>
          <w:rStyle w:val="FootnoteReference"/>
        </w:rPr>
        <w:footnoteRef/>
      </w:r>
      <w:r>
        <w:t xml:space="preserve"> See </w:t>
      </w:r>
      <w:r>
        <w:rPr>
          <w:lang w:val="fr-FR"/>
        </w:rPr>
        <w:t xml:space="preserve">D.10-06-036 OP 6b, and the 2012 Final RA Guide at </w:t>
      </w:r>
      <w:hyperlink r:id="rId6" w:history="1">
        <w:r>
          <w:rPr>
            <w:rStyle w:val="Hyperlink"/>
          </w:rPr>
          <w:t>http://www.cpuc.ca.gov/PUC/energy/Procurement/RA/ra_compliance_materials.htm</w:t>
        </w:r>
      </w:hyperlink>
    </w:p>
  </w:footnote>
  <w:footnote w:id="14">
    <w:p w14:paraId="544F5F73" w14:textId="3B8C90B7" w:rsidR="00D667EA" w:rsidRDefault="00D667EA" w:rsidP="00A962CD">
      <w:pPr>
        <w:pStyle w:val="FootnoteText"/>
        <w:spacing w:before="0" w:line="240" w:lineRule="auto"/>
      </w:pPr>
      <w:r>
        <w:rPr>
          <w:rStyle w:val="FootnoteReference"/>
        </w:rPr>
        <w:footnoteRef/>
      </w:r>
      <w:r>
        <w:t xml:space="preserve"> In the 2019 update, the temperature threshold for the month of September was set to 85 degrees F (rather than 90), to account for the fact that only one non-workday in September 2018 – from which the underlying weather data is used – had an average temperature above 90 F (which is inconsistent with the September weather characterized in the RECAP assumptions).</w:t>
      </w:r>
    </w:p>
  </w:footnote>
  <w:footnote w:id="15">
    <w:p w14:paraId="2674131D" w14:textId="3EEB0B85" w:rsidR="00D667EA" w:rsidRDefault="00D667EA" w:rsidP="00A962CD">
      <w:pPr>
        <w:pStyle w:val="FootnoteText"/>
        <w:spacing w:before="0" w:line="240" w:lineRule="auto"/>
      </w:pPr>
      <w:r>
        <w:rPr>
          <w:rStyle w:val="FootnoteReference"/>
        </w:rPr>
        <w:footnoteRef/>
      </w:r>
      <w:r>
        <w:t xml:space="preserve"> </w:t>
      </w:r>
      <w:hyperlink r:id="rId7" w:history="1">
        <w:r w:rsidRPr="00952775">
          <w:rPr>
            <w:rStyle w:val="Hyperlink"/>
          </w:rPr>
          <w:t>https://ethree.com/public_projects/recap.php</w:t>
        </w:r>
      </w:hyperlink>
      <w:r>
        <w:t xml:space="preserve"> </w:t>
      </w:r>
    </w:p>
  </w:footnote>
  <w:footnote w:id="16">
    <w:p w14:paraId="10CF0111" w14:textId="1FBA470F" w:rsidR="00D667EA" w:rsidRPr="008F6B8D" w:rsidRDefault="00D667EA" w:rsidP="00A962CD">
      <w:pPr>
        <w:spacing w:before="0" w:line="240" w:lineRule="auto"/>
        <w:rPr>
          <w:sz w:val="20"/>
          <w:szCs w:val="20"/>
        </w:rPr>
      </w:pPr>
      <w:r>
        <w:rPr>
          <w:rStyle w:val="FootnoteReference"/>
        </w:rPr>
        <w:footnoteRef/>
      </w:r>
      <w:hyperlink r:id="rId8" w:history="1">
        <w:r w:rsidRPr="004700F3">
          <w:rPr>
            <w:rStyle w:val="Hyperlink"/>
            <w:sz w:val="20"/>
            <w:szCs w:val="20"/>
          </w:rPr>
          <w:t>https://www.caiso.com/Documents/2018AnnualReportonMarketIssuesandPerformance.pdf</w:t>
        </w:r>
      </w:hyperlink>
      <w:r>
        <w:rPr>
          <w:sz w:val="20"/>
          <w:szCs w:val="20"/>
        </w:rPr>
        <w:t>, p. 141</w:t>
      </w:r>
      <w:hyperlink w:history="1"/>
    </w:p>
  </w:footnote>
  <w:footnote w:id="17">
    <w:p w14:paraId="7102A021" w14:textId="43CDF09B" w:rsidR="00D667EA" w:rsidRDefault="00D667EA" w:rsidP="00A962CD">
      <w:pPr>
        <w:pStyle w:val="FootnoteText"/>
        <w:spacing w:before="0" w:line="240" w:lineRule="auto"/>
      </w:pPr>
      <w:r>
        <w:rPr>
          <w:rStyle w:val="FootnoteReference"/>
        </w:rPr>
        <w:footnoteRef/>
      </w:r>
      <w:r>
        <w:t xml:space="preserve"> </w:t>
      </w:r>
      <w:r w:rsidRPr="00D975B2">
        <w:rPr>
          <w:u w:val="single"/>
        </w:rPr>
        <w:t>SCE</w:t>
      </w:r>
      <w:r w:rsidRPr="00D975B2">
        <w:t>: ERRATA, PHASE 2 OF 2018 GENERAL RATE CASE MARGINAL COST AND SALES FORECAST PROPOSALS, SCE-02A TABLE I-14 (SCE 2018 GRC PHASE II)</w:t>
      </w:r>
      <w:r>
        <w:t xml:space="preserve">; </w:t>
      </w:r>
      <w:r w:rsidRPr="00D975B2">
        <w:rPr>
          <w:u w:val="single"/>
        </w:rPr>
        <w:t>SDG&amp;E</w:t>
      </w:r>
      <w:r w:rsidRPr="00D975B2">
        <w:t>: PREPARED DIRECT TESTIMONY OF WILLIAM G. SAXE ON BEHALF OF SAN DIEGO GAS &amp; ELECTRIC COMPANY IN SUPPORT OF SECOND AMENDED APPLICATION CHAPTER 6, P. WGS-6 (SDG&amp;E 2016 GRC)</w:t>
      </w:r>
    </w:p>
  </w:footnote>
  <w:footnote w:id="18">
    <w:p w14:paraId="287C1D49" w14:textId="6344345A" w:rsidR="00D667EA" w:rsidRDefault="00D667EA" w:rsidP="00A962CD">
      <w:pPr>
        <w:pStyle w:val="FootnoteText"/>
        <w:spacing w:before="0" w:line="240" w:lineRule="auto"/>
      </w:pPr>
      <w:r>
        <w:rPr>
          <w:rStyle w:val="FootnoteReference"/>
        </w:rPr>
        <w:footnoteRef/>
      </w:r>
      <w:r>
        <w:t xml:space="preserve"> </w:t>
      </w:r>
      <w:r w:rsidRPr="00D975B2">
        <w:t>SETTLEMENT AGREEMENT ON MARGINAL COST AND REVENUE ALLOCATION IN PHASE II OF PACIFIC GAS AND ELECTRIC COMPANY’S 2017 GENERAL RATE CASE</w:t>
      </w:r>
    </w:p>
  </w:footnote>
  <w:footnote w:id="19">
    <w:p w14:paraId="64E1A0D4" w14:textId="6CADD571" w:rsidR="00D667EA" w:rsidRDefault="00D667EA" w:rsidP="00A45C91">
      <w:pPr>
        <w:pStyle w:val="FootnoteText"/>
        <w:spacing w:line="240" w:lineRule="auto"/>
      </w:pPr>
      <w:r>
        <w:rPr>
          <w:rStyle w:val="FootnoteReference"/>
        </w:rPr>
        <w:footnoteRef/>
      </w:r>
      <w:r>
        <w:t xml:space="preserve"> In the 2019 update, the North Coast Division was assigned the T&amp;D capacity costs reported for the “Humboldt” Division in PG&amp;E’s 2017 GRC Phase II settlement agreement, as the naming convention appears to have changed.</w:t>
      </w:r>
    </w:p>
  </w:footnote>
  <w:footnote w:id="20">
    <w:p w14:paraId="7B2CFD53" w14:textId="36959331" w:rsidR="00D667EA" w:rsidRDefault="00D667EA" w:rsidP="00A962CD">
      <w:pPr>
        <w:pStyle w:val="FootnoteText"/>
        <w:spacing w:before="0" w:line="240" w:lineRule="auto"/>
      </w:pPr>
      <w:r>
        <w:rPr>
          <w:rStyle w:val="FootnoteReference"/>
        </w:rPr>
        <w:footnoteRef/>
      </w:r>
      <w:r>
        <w:t xml:space="preserve"> While the updated allocation factors are superior to the prior values, they are not substitutes or replacements for the work that utilities are currently undertaking as part of the DRP proceeding. These allocation factors are simulations based on a limited number of 2010 circuit and substation load patterns. Actual loading for a specific local distribution area within a climate zone could vary significantly from the loading assumed herein. Moreover, the IOUs may develop alternate methods for determining the peak contribution of distributed energy resources.</w:t>
      </w:r>
    </w:p>
  </w:footnote>
  <w:footnote w:id="21">
    <w:p w14:paraId="4F5E7A3A" w14:textId="5CF83992" w:rsidR="00D667EA" w:rsidRDefault="00D667EA" w:rsidP="00A962CD">
      <w:pPr>
        <w:pStyle w:val="FootnoteText"/>
        <w:spacing w:before="0" w:line="240" w:lineRule="auto"/>
      </w:pPr>
      <w:r>
        <w:rPr>
          <w:rStyle w:val="FootnoteReference"/>
        </w:rPr>
        <w:footnoteRef/>
      </w:r>
      <w:r>
        <w:t xml:space="preserve"> The complete list of regression variables and model fit can be found in the Appendix.</w:t>
      </w:r>
    </w:p>
  </w:footnote>
  <w:footnote w:id="22">
    <w:p w14:paraId="3E8FC82B" w14:textId="56859E1F" w:rsidR="00D667EA" w:rsidRDefault="00D667EA" w:rsidP="00A962CD">
      <w:pPr>
        <w:pStyle w:val="FootnoteText"/>
        <w:spacing w:before="0" w:line="240" w:lineRule="auto"/>
      </w:pPr>
      <w:r>
        <w:rPr>
          <w:rStyle w:val="FootnoteReference"/>
        </w:rPr>
        <w:footnoteRef/>
      </w:r>
      <w:r>
        <w:t xml:space="preserve"> 2.3 percent per year annual inflation was used. The value is from the </w:t>
      </w:r>
      <w:r w:rsidRPr="00356B42">
        <w:t>2/9/2018 Long-term inflation forecast from</w:t>
      </w:r>
      <w:r>
        <w:t xml:space="preserve"> the Federal Reserve Bank of Philadelphia</w:t>
      </w:r>
      <w:r w:rsidRPr="00356B42">
        <w:t xml:space="preserve"> Survey of Professional Forecasters</w:t>
      </w:r>
      <w:r>
        <w:t xml:space="preserve">, rounded to the nearest tenth of a percent. </w:t>
      </w:r>
      <w:r w:rsidRPr="00356B42">
        <w:t>https://www.philadelphiafed.org/research-and-data/real-time-center/survey-of-professional-forecasters/historical-data/inflation-forecasts</w:t>
      </w:r>
    </w:p>
  </w:footnote>
  <w:footnote w:id="23">
    <w:p w14:paraId="05A31781" w14:textId="06559522" w:rsidR="00D667EA" w:rsidRDefault="00D667EA" w:rsidP="00A962CD">
      <w:pPr>
        <w:pStyle w:val="FootnoteText"/>
        <w:spacing w:before="0" w:line="240" w:lineRule="auto"/>
      </w:pPr>
      <w:r>
        <w:rPr>
          <w:rStyle w:val="FootnoteReference"/>
        </w:rPr>
        <w:footnoteRef/>
      </w:r>
      <w:r>
        <w:t xml:space="preserve"> </w:t>
      </w:r>
      <w:bookmarkStart w:id="86" w:name="_Hlk514936514"/>
      <w:r>
        <w:t>In prior versions of the avoided cost calculator, the emissions factors were adjusted by the factor (1 minus the RPS%). The rationale was that w</w:t>
      </w:r>
      <w:r w:rsidRPr="00C15663">
        <w:t>hen a distributed resource saves a kWh of electricity, the utility consequently procures 0.5 kWh less renewable energy (under a 50% RPS). Th</w:t>
      </w:r>
      <w:r>
        <w:t xml:space="preserve">e renewables that </w:t>
      </w:r>
      <w:r w:rsidRPr="00C15663">
        <w:t>the utility no longer procures would have offset GHG emissions, so the resulting net GHG impact must be adjusted by (1 minus the RPS%).</w:t>
      </w:r>
      <w:r>
        <w:t xml:space="preserve"> However, as discussed in the section on Avoided RPS Cost, renewable levels are now expected to exceed the RPS goals in the future. With the breakage of the direct link between usage and renewable procurement levels, reductions in usage would not necessarily result in an RPS% reduction in renewable procurement. Therefore, the (1 minus RPS%) adjustment to the emissions factors is no longer warranted.</w:t>
      </w:r>
      <w:bookmarkEnd w:id="86"/>
    </w:p>
  </w:footnote>
  <w:footnote w:id="24">
    <w:p w14:paraId="2B8AB5FB" w14:textId="15B56804" w:rsidR="00D667EA" w:rsidRDefault="00D667EA" w:rsidP="00A962CD">
      <w:pPr>
        <w:pStyle w:val="FootnoteText"/>
        <w:spacing w:before="0" w:line="240" w:lineRule="auto"/>
      </w:pPr>
      <w:r>
        <w:rPr>
          <w:rStyle w:val="FootnoteReference"/>
        </w:rPr>
        <w:footnoteRef/>
      </w:r>
      <w:r>
        <w:t xml:space="preserve">  More information about the use of non-energy benefits to evaluate Low Income programs can be found in the revised final report “</w:t>
      </w:r>
      <w:r w:rsidRPr="3095E0BA">
        <w:rPr>
          <w:i/>
          <w:iCs/>
        </w:rPr>
        <w:t xml:space="preserve">Non-Energy Benefits:  Status, Findings, Next Steps, and Implications for Low Income Program Analyses in </w:t>
      </w:r>
      <w:smartTag w:uri="urn:schemas-microsoft-com:office:smarttags" w:element="place">
        <w:smartTag w:uri="urn:schemas-microsoft-com:office:smarttags" w:element="State">
          <w:r w:rsidRPr="3095E0BA">
            <w:rPr>
              <w:i/>
              <w:iCs/>
            </w:rPr>
            <w:t>California</w:t>
          </w:r>
        </w:smartTag>
      </w:smartTag>
      <w:r>
        <w:t xml:space="preserve">” issued May 11, 2010. </w:t>
      </w:r>
      <w:hyperlink r:id="rId9" w:history="1">
        <w:r>
          <w:rPr>
            <w:rStyle w:val="Hyperlink"/>
          </w:rPr>
          <w:t>http://www.liob.org/docs/LIEE%20Non-Energy%20Benefits%20Revised%20Report.pdf</w:t>
        </w:r>
      </w:hyperlink>
    </w:p>
  </w:footnote>
  <w:footnote w:id="25">
    <w:p w14:paraId="03741E67" w14:textId="2EAE6917" w:rsidR="00D667EA" w:rsidRDefault="00D667EA" w:rsidP="00A962CD">
      <w:pPr>
        <w:pStyle w:val="FootnoteText"/>
        <w:spacing w:before="0" w:line="240" w:lineRule="auto"/>
      </w:pPr>
      <w:r>
        <w:rPr>
          <w:rStyle w:val="FootnoteReference"/>
        </w:rPr>
        <w:footnoteRef/>
      </w:r>
      <w:r>
        <w:t xml:space="preserve"> </w:t>
      </w:r>
      <w:hyperlink r:id="rId10" w:history="1">
        <w:r w:rsidRPr="006442F2">
          <w:rPr>
            <w:rStyle w:val="Hyperlink"/>
            <w:sz w:val="18"/>
          </w:rPr>
          <w:t>http://www.cpuc.ca.gov/PUC/energy/Energy+Efficiency/EM+and+V/Embedded+Energy+in+Water+Studies1_and_2.htm</w:t>
        </w:r>
      </w:hyperlink>
      <w:r w:rsidRPr="00E73263">
        <w:rPr>
          <w:sz w:val="18"/>
        </w:rPr>
        <w:t xml:space="preserve"> </w:t>
      </w:r>
    </w:p>
  </w:footnote>
  <w:footnote w:id="26">
    <w:p w14:paraId="18BEFC15" w14:textId="729475D8" w:rsidR="00D667EA" w:rsidRDefault="00D667EA" w:rsidP="00A962CD">
      <w:pPr>
        <w:pStyle w:val="FootnoteText"/>
        <w:spacing w:before="0" w:line="240" w:lineRule="auto"/>
      </w:pPr>
      <w:r>
        <w:rPr>
          <w:rStyle w:val="FootnoteReference"/>
        </w:rPr>
        <w:footnoteRef/>
      </w:r>
      <w:r>
        <w:t xml:space="preserve"> </w:t>
      </w:r>
      <w:hyperlink r:id="rId11" w:history="1">
        <w:r w:rsidRPr="007F6604">
          <w:rPr>
            <w:rStyle w:val="Hyperlink"/>
          </w:rPr>
          <w:t>http://www.ethree.com/public_projects/cpucOEEP.php</w:t>
        </w:r>
      </w:hyperlink>
      <w:r>
        <w:t xml:space="preserve"> </w:t>
      </w:r>
    </w:p>
  </w:footnote>
  <w:footnote w:id="27">
    <w:p w14:paraId="142F8EDD" w14:textId="2B0A9F59" w:rsidR="00D667EA" w:rsidRDefault="00D667EA">
      <w:pPr>
        <w:pStyle w:val="FootnoteText"/>
      </w:pPr>
      <w:r>
        <w:rPr>
          <w:rStyle w:val="FootnoteReference"/>
        </w:rPr>
        <w:footnoteRef/>
      </w:r>
      <w:r>
        <w:t xml:space="preserve"> </w:t>
      </w:r>
      <w:hyperlink r:id="rId12" w:history="1">
        <w:r w:rsidRPr="008C0833">
          <w:rPr>
            <w:rStyle w:val="Hyperlink"/>
          </w:rPr>
          <w:t>https://www.energy.ca.gov/maps/renewable/building_climate_zones.html</w:t>
        </w:r>
      </w:hyperlink>
      <w:r>
        <w:t xml:space="preserve"> </w:t>
      </w:r>
    </w:p>
  </w:footnote>
  <w:footnote w:id="28">
    <w:p w14:paraId="1F83E6A7" w14:textId="77777777" w:rsidR="00D667EA" w:rsidRDefault="00D667EA" w:rsidP="00A962CD">
      <w:pPr>
        <w:pStyle w:val="FootnoteText"/>
        <w:spacing w:before="0" w:line="240" w:lineRule="auto"/>
      </w:pPr>
      <w:r>
        <w:rPr>
          <w:rStyle w:val="FootnoteReference"/>
        </w:rPr>
        <w:footnoteRef/>
      </w:r>
      <w:r>
        <w:t xml:space="preserve"> </w:t>
      </w:r>
      <w:r w:rsidRPr="002C1848">
        <w:t>Costs by component could</w:t>
      </w:r>
      <w:r>
        <w:t xml:space="preserve"> be generated by running the export macros with only the desired component set to TRUE in the Dashboard Electricity Components section.</w:t>
      </w:r>
    </w:p>
  </w:footnote>
  <w:footnote w:id="29">
    <w:p w14:paraId="615A1F96" w14:textId="77777777" w:rsidR="0097492A" w:rsidRDefault="0097492A" w:rsidP="0097492A">
      <w:pPr>
        <w:pStyle w:val="FootnoteText"/>
      </w:pPr>
      <w:r>
        <w:rPr>
          <w:rStyle w:val="FootnoteReference"/>
        </w:rPr>
        <w:footnoteRef/>
      </w:r>
      <w:r>
        <w:t xml:space="preserve"> NP-15 and SP-15 are </w:t>
      </w:r>
      <w:r w:rsidRPr="00795BDE">
        <w:t>load-aggregation points in Northern and Southern California, respectively</w:t>
      </w:r>
      <w:r>
        <w:t>.</w:t>
      </w:r>
    </w:p>
  </w:footnote>
  <w:footnote w:id="30">
    <w:p w14:paraId="597AB42D" w14:textId="77777777" w:rsidR="0097492A" w:rsidRDefault="0097492A" w:rsidP="0097492A">
      <w:pPr>
        <w:pStyle w:val="FootnoteText"/>
      </w:pPr>
      <w:r>
        <w:rPr>
          <w:rStyle w:val="FootnoteReference"/>
        </w:rPr>
        <w:footnoteRef/>
      </w:r>
      <w:r>
        <w:t xml:space="preserve"> Market Price Referent.</w:t>
      </w:r>
    </w:p>
  </w:footnote>
  <w:footnote w:id="31">
    <w:p w14:paraId="535F17C2" w14:textId="77777777" w:rsidR="0097492A" w:rsidRDefault="0097492A" w:rsidP="0097492A">
      <w:pPr>
        <w:pStyle w:val="FootnoteText"/>
      </w:pPr>
      <w:r>
        <w:rPr>
          <w:rStyle w:val="FootnoteReference"/>
        </w:rPr>
        <w:footnoteRef/>
      </w:r>
      <w:r>
        <w:t xml:space="preserve"> DR = Demand Response.</w:t>
      </w:r>
    </w:p>
  </w:footnote>
  <w:footnote w:id="32">
    <w:p w14:paraId="7FF7C209" w14:textId="4035CA46" w:rsidR="00D667EA" w:rsidRDefault="00D667EA" w:rsidP="00A962CD">
      <w:pPr>
        <w:pStyle w:val="FootnoteText"/>
        <w:spacing w:before="0" w:line="240" w:lineRule="auto"/>
      </w:pPr>
      <w:r w:rsidRPr="008A6BDD">
        <w:rPr>
          <w:rStyle w:val="FootnoteReference"/>
        </w:rPr>
        <w:footnoteRef/>
      </w:r>
      <w:r>
        <w:t xml:space="preserve"> </w:t>
      </w:r>
      <w:hyperlink r:id="rId13" w:history="1">
        <w:r w:rsidRPr="003D7849">
          <w:rPr>
            <w:rStyle w:val="Hyperlink"/>
          </w:rPr>
          <w:t>https://ethree.com/public_projects/recap.php</w:t>
        </w:r>
      </w:hyperlink>
      <w:r>
        <w:t xml:space="preserve"> </w:t>
      </w:r>
    </w:p>
  </w:footnote>
  <w:footnote w:id="33">
    <w:p w14:paraId="0A06069E" w14:textId="77777777" w:rsidR="00D667EA" w:rsidRDefault="00D667EA" w:rsidP="00A962CD">
      <w:pPr>
        <w:pStyle w:val="FootnoteText"/>
        <w:spacing w:before="0" w:line="240" w:lineRule="auto"/>
      </w:pPr>
      <w:r w:rsidRPr="008A6BDD">
        <w:rPr>
          <w:rStyle w:val="FootnoteReference"/>
        </w:rPr>
        <w:footnoteRef/>
      </w:r>
      <w:r>
        <w:t xml:space="preserve"> </w:t>
      </w:r>
      <w:hyperlink r:id="rId14">
        <w:r w:rsidRPr="008A6BDD">
          <w:rPr>
            <w:rStyle w:val="Hyperlink"/>
          </w:rPr>
          <w:t>http://www.energy.ca.gov/2014publications/CEC-200-2014-003/index.html</w:t>
        </w:r>
      </w:hyperlink>
    </w:p>
    <w:p w14:paraId="67FAB9A5" w14:textId="77777777" w:rsidR="00D667EA" w:rsidRDefault="00D667EA" w:rsidP="00A962CD">
      <w:pPr>
        <w:pStyle w:val="FootnoteText"/>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9636C" w14:textId="77777777" w:rsidR="00D667EA" w:rsidRDefault="00D667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721F8" w14:textId="77777777" w:rsidR="00D667EA" w:rsidRDefault="00D667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B8FD1" w14:textId="77777777" w:rsidR="00D667EA" w:rsidRDefault="00D66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9A6E3D2"/>
    <w:lvl w:ilvl="0">
      <w:start w:val="1"/>
      <w:numFmt w:val="decimal"/>
      <w:pStyle w:val="ListNumber"/>
      <w:lvlText w:val="%1."/>
      <w:lvlJc w:val="left"/>
      <w:pPr>
        <w:tabs>
          <w:tab w:val="num" w:pos="360"/>
        </w:tabs>
        <w:ind w:left="360" w:hanging="360"/>
      </w:pPr>
    </w:lvl>
  </w:abstractNum>
  <w:abstractNum w:abstractNumId="1" w15:restartNumberingAfterBreak="0">
    <w:nsid w:val="0BBB317E"/>
    <w:multiLevelType w:val="hybridMultilevel"/>
    <w:tmpl w:val="CED084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E051C1"/>
    <w:multiLevelType w:val="hybridMultilevel"/>
    <w:tmpl w:val="998AB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180011"/>
    <w:multiLevelType w:val="hybridMultilevel"/>
    <w:tmpl w:val="5B705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4681F"/>
    <w:multiLevelType w:val="hybridMultilevel"/>
    <w:tmpl w:val="998AB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D362EB"/>
    <w:multiLevelType w:val="hybridMultilevel"/>
    <w:tmpl w:val="1EC849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790033"/>
    <w:multiLevelType w:val="hybridMultilevel"/>
    <w:tmpl w:val="A52ADF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B9527C7"/>
    <w:multiLevelType w:val="hybridMultilevel"/>
    <w:tmpl w:val="63C87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CD4F2A"/>
    <w:multiLevelType w:val="hybridMultilevel"/>
    <w:tmpl w:val="796A3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65846"/>
    <w:multiLevelType w:val="hybridMultilevel"/>
    <w:tmpl w:val="79C84FF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32B17F5E"/>
    <w:multiLevelType w:val="hybridMultilevel"/>
    <w:tmpl w:val="3CEED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902DA7"/>
    <w:multiLevelType w:val="hybridMultilevel"/>
    <w:tmpl w:val="91364DB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5818BF"/>
    <w:multiLevelType w:val="hybridMultilevel"/>
    <w:tmpl w:val="0C1E1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5C178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B7A7ABE"/>
    <w:multiLevelType w:val="hybridMultilevel"/>
    <w:tmpl w:val="2272E966"/>
    <w:lvl w:ilvl="0" w:tplc="836A1314">
      <w:start w:val="1"/>
      <w:numFmt w:val="decimal"/>
      <w:lvlText w:val="%1."/>
      <w:lvlJc w:val="left"/>
      <w:pPr>
        <w:ind w:left="720" w:hanging="360"/>
      </w:pPr>
    </w:lvl>
    <w:lvl w:ilvl="1" w:tplc="6478DB7E">
      <w:start w:val="1"/>
      <w:numFmt w:val="lowerLetter"/>
      <w:lvlText w:val="%2."/>
      <w:lvlJc w:val="left"/>
      <w:pPr>
        <w:ind w:left="1440" w:hanging="360"/>
      </w:pPr>
    </w:lvl>
    <w:lvl w:ilvl="2" w:tplc="216440C8">
      <w:start w:val="1"/>
      <w:numFmt w:val="lowerRoman"/>
      <w:lvlText w:val="%3."/>
      <w:lvlJc w:val="right"/>
      <w:pPr>
        <w:ind w:left="2160" w:hanging="180"/>
      </w:pPr>
    </w:lvl>
    <w:lvl w:ilvl="3" w:tplc="BE740872">
      <w:start w:val="1"/>
      <w:numFmt w:val="decimal"/>
      <w:lvlText w:val="%4."/>
      <w:lvlJc w:val="left"/>
      <w:pPr>
        <w:ind w:left="2880" w:hanging="360"/>
      </w:pPr>
    </w:lvl>
    <w:lvl w:ilvl="4" w:tplc="7DF8F022">
      <w:start w:val="1"/>
      <w:numFmt w:val="lowerLetter"/>
      <w:lvlText w:val="%5."/>
      <w:lvlJc w:val="left"/>
      <w:pPr>
        <w:ind w:left="3600" w:hanging="360"/>
      </w:pPr>
    </w:lvl>
    <w:lvl w:ilvl="5" w:tplc="E80CB414">
      <w:start w:val="1"/>
      <w:numFmt w:val="lowerRoman"/>
      <w:lvlText w:val="%6."/>
      <w:lvlJc w:val="right"/>
      <w:pPr>
        <w:ind w:left="4320" w:hanging="180"/>
      </w:pPr>
    </w:lvl>
    <w:lvl w:ilvl="6" w:tplc="D77C5812">
      <w:start w:val="1"/>
      <w:numFmt w:val="decimal"/>
      <w:lvlText w:val="%7."/>
      <w:lvlJc w:val="left"/>
      <w:pPr>
        <w:ind w:left="5040" w:hanging="360"/>
      </w:pPr>
    </w:lvl>
    <w:lvl w:ilvl="7" w:tplc="39BC2C26">
      <w:start w:val="1"/>
      <w:numFmt w:val="lowerLetter"/>
      <w:lvlText w:val="%8."/>
      <w:lvlJc w:val="left"/>
      <w:pPr>
        <w:ind w:left="5760" w:hanging="360"/>
      </w:pPr>
    </w:lvl>
    <w:lvl w:ilvl="8" w:tplc="289AF47A">
      <w:start w:val="1"/>
      <w:numFmt w:val="lowerRoman"/>
      <w:lvlText w:val="%9."/>
      <w:lvlJc w:val="right"/>
      <w:pPr>
        <w:ind w:left="6480" w:hanging="180"/>
      </w:pPr>
    </w:lvl>
  </w:abstractNum>
  <w:abstractNum w:abstractNumId="15" w15:restartNumberingAfterBreak="0">
    <w:nsid w:val="3C0A19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C2F2152"/>
    <w:multiLevelType w:val="hybridMultilevel"/>
    <w:tmpl w:val="3DD0BC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3E4F63"/>
    <w:multiLevelType w:val="hybridMultilevel"/>
    <w:tmpl w:val="91364DB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163CB6"/>
    <w:multiLevelType w:val="hybridMultilevel"/>
    <w:tmpl w:val="A60C95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DA940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3445326"/>
    <w:multiLevelType w:val="hybridMultilevel"/>
    <w:tmpl w:val="1CFEC3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8CE4E53"/>
    <w:multiLevelType w:val="hybridMultilevel"/>
    <w:tmpl w:val="3CEED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E95B22"/>
    <w:multiLevelType w:val="hybridMultilevel"/>
    <w:tmpl w:val="91364DB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02616B"/>
    <w:multiLevelType w:val="hybridMultilevel"/>
    <w:tmpl w:val="3A3C6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3464BC"/>
    <w:multiLevelType w:val="hybridMultilevel"/>
    <w:tmpl w:val="7CAAF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ED37FB"/>
    <w:multiLevelType w:val="hybridMultilevel"/>
    <w:tmpl w:val="C28E4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1161B3"/>
    <w:multiLevelType w:val="hybridMultilevel"/>
    <w:tmpl w:val="C7685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E655F8"/>
    <w:multiLevelType w:val="hybridMultilevel"/>
    <w:tmpl w:val="C1160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A7C41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AF71B0E"/>
    <w:multiLevelType w:val="hybridMultilevel"/>
    <w:tmpl w:val="3CF26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1"/>
  </w:num>
  <w:num w:numId="3">
    <w:abstractNumId w:val="5"/>
  </w:num>
  <w:num w:numId="4">
    <w:abstractNumId w:val="12"/>
  </w:num>
  <w:num w:numId="5">
    <w:abstractNumId w:val="3"/>
  </w:num>
  <w:num w:numId="6">
    <w:abstractNumId w:val="29"/>
  </w:num>
  <w:num w:numId="7">
    <w:abstractNumId w:val="1"/>
  </w:num>
  <w:num w:numId="8">
    <w:abstractNumId w:val="16"/>
  </w:num>
  <w:num w:numId="9">
    <w:abstractNumId w:val="6"/>
  </w:num>
  <w:num w:numId="10">
    <w:abstractNumId w:val="7"/>
  </w:num>
  <w:num w:numId="11">
    <w:abstractNumId w:val="21"/>
  </w:num>
  <w:num w:numId="12">
    <w:abstractNumId w:val="10"/>
  </w:num>
  <w:num w:numId="13">
    <w:abstractNumId w:val="2"/>
  </w:num>
  <w:num w:numId="14">
    <w:abstractNumId w:val="4"/>
  </w:num>
  <w:num w:numId="15">
    <w:abstractNumId w:val="13"/>
  </w:num>
  <w:num w:numId="16">
    <w:abstractNumId w:val="19"/>
  </w:num>
  <w:num w:numId="17">
    <w:abstractNumId w:val="28"/>
  </w:num>
  <w:num w:numId="18">
    <w:abstractNumId w:val="15"/>
  </w:num>
  <w:num w:numId="19">
    <w:abstractNumId w:val="0"/>
  </w:num>
  <w:num w:numId="20">
    <w:abstractNumId w:val="9"/>
  </w:num>
  <w:num w:numId="21">
    <w:abstractNumId w:val="8"/>
  </w:num>
  <w:num w:numId="22">
    <w:abstractNumId w:val="27"/>
  </w:num>
  <w:num w:numId="23">
    <w:abstractNumId w:val="26"/>
  </w:num>
  <w:num w:numId="24">
    <w:abstractNumId w:val="20"/>
  </w:num>
  <w:num w:numId="25">
    <w:abstractNumId w:val="18"/>
  </w:num>
  <w:num w:numId="26">
    <w:abstractNumId w:val="17"/>
  </w:num>
  <w:num w:numId="27">
    <w:abstractNumId w:val="24"/>
  </w:num>
  <w:num w:numId="28">
    <w:abstractNumId w:val="25"/>
  </w:num>
  <w:num w:numId="29">
    <w:abstractNumId w:val="23"/>
  </w:num>
  <w:num w:numId="30">
    <w:abstractNumId w:val="2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75D"/>
    <w:rsid w:val="0000065E"/>
    <w:rsid w:val="00000ADA"/>
    <w:rsid w:val="00003F5F"/>
    <w:rsid w:val="0001237A"/>
    <w:rsid w:val="00012643"/>
    <w:rsid w:val="00012746"/>
    <w:rsid w:val="00012FE3"/>
    <w:rsid w:val="000145D0"/>
    <w:rsid w:val="00014ABE"/>
    <w:rsid w:val="000158CA"/>
    <w:rsid w:val="00016E60"/>
    <w:rsid w:val="000201A2"/>
    <w:rsid w:val="00020926"/>
    <w:rsid w:val="00024776"/>
    <w:rsid w:val="0003179A"/>
    <w:rsid w:val="00033948"/>
    <w:rsid w:val="00034564"/>
    <w:rsid w:val="00035DCA"/>
    <w:rsid w:val="00037DDF"/>
    <w:rsid w:val="0004044C"/>
    <w:rsid w:val="0004296A"/>
    <w:rsid w:val="00043C28"/>
    <w:rsid w:val="00044404"/>
    <w:rsid w:val="00044BC8"/>
    <w:rsid w:val="00044C5A"/>
    <w:rsid w:val="000450DC"/>
    <w:rsid w:val="00045E93"/>
    <w:rsid w:val="00046323"/>
    <w:rsid w:val="00046DA9"/>
    <w:rsid w:val="00047597"/>
    <w:rsid w:val="00047D70"/>
    <w:rsid w:val="00050DBF"/>
    <w:rsid w:val="00051097"/>
    <w:rsid w:val="000514E9"/>
    <w:rsid w:val="000518B6"/>
    <w:rsid w:val="00051934"/>
    <w:rsid w:val="00052F61"/>
    <w:rsid w:val="00053DCC"/>
    <w:rsid w:val="000561E2"/>
    <w:rsid w:val="000606BD"/>
    <w:rsid w:val="00060B2F"/>
    <w:rsid w:val="00060EFB"/>
    <w:rsid w:val="00061C1C"/>
    <w:rsid w:val="00062024"/>
    <w:rsid w:val="000637DE"/>
    <w:rsid w:val="00063EC2"/>
    <w:rsid w:val="00064471"/>
    <w:rsid w:val="000647F6"/>
    <w:rsid w:val="000701A5"/>
    <w:rsid w:val="0007140F"/>
    <w:rsid w:val="0007300F"/>
    <w:rsid w:val="00074CF9"/>
    <w:rsid w:val="0007675C"/>
    <w:rsid w:val="00076775"/>
    <w:rsid w:val="0007707A"/>
    <w:rsid w:val="0007763F"/>
    <w:rsid w:val="00080147"/>
    <w:rsid w:val="00081FA5"/>
    <w:rsid w:val="00082E8C"/>
    <w:rsid w:val="000850C0"/>
    <w:rsid w:val="0008735B"/>
    <w:rsid w:val="00087461"/>
    <w:rsid w:val="00087AE6"/>
    <w:rsid w:val="00090957"/>
    <w:rsid w:val="000938AE"/>
    <w:rsid w:val="00093B00"/>
    <w:rsid w:val="00095CA3"/>
    <w:rsid w:val="00097618"/>
    <w:rsid w:val="0009792D"/>
    <w:rsid w:val="00097E23"/>
    <w:rsid w:val="000A0574"/>
    <w:rsid w:val="000A1CC0"/>
    <w:rsid w:val="000A21E1"/>
    <w:rsid w:val="000A2828"/>
    <w:rsid w:val="000A7ECD"/>
    <w:rsid w:val="000B055C"/>
    <w:rsid w:val="000B0B1C"/>
    <w:rsid w:val="000B2479"/>
    <w:rsid w:val="000B2BBF"/>
    <w:rsid w:val="000B4394"/>
    <w:rsid w:val="000B4DFF"/>
    <w:rsid w:val="000B5D4C"/>
    <w:rsid w:val="000B63AA"/>
    <w:rsid w:val="000B6B25"/>
    <w:rsid w:val="000C185D"/>
    <w:rsid w:val="000C1FB2"/>
    <w:rsid w:val="000C333A"/>
    <w:rsid w:val="000C4BA0"/>
    <w:rsid w:val="000C5FA9"/>
    <w:rsid w:val="000C7769"/>
    <w:rsid w:val="000C7775"/>
    <w:rsid w:val="000C7C10"/>
    <w:rsid w:val="000D1A99"/>
    <w:rsid w:val="000D2E6B"/>
    <w:rsid w:val="000D61B2"/>
    <w:rsid w:val="000E204E"/>
    <w:rsid w:val="000E2F4B"/>
    <w:rsid w:val="000E579E"/>
    <w:rsid w:val="000E5EF4"/>
    <w:rsid w:val="000E68DD"/>
    <w:rsid w:val="000F22EC"/>
    <w:rsid w:val="000F2C89"/>
    <w:rsid w:val="000F376F"/>
    <w:rsid w:val="000F3A5B"/>
    <w:rsid w:val="000F4670"/>
    <w:rsid w:val="000F536C"/>
    <w:rsid w:val="000F59D7"/>
    <w:rsid w:val="000F6E16"/>
    <w:rsid w:val="001021F6"/>
    <w:rsid w:val="00102C16"/>
    <w:rsid w:val="00104200"/>
    <w:rsid w:val="00105936"/>
    <w:rsid w:val="00105FB7"/>
    <w:rsid w:val="001068CE"/>
    <w:rsid w:val="00110689"/>
    <w:rsid w:val="00110F98"/>
    <w:rsid w:val="001120E8"/>
    <w:rsid w:val="00113609"/>
    <w:rsid w:val="0011366A"/>
    <w:rsid w:val="0011488E"/>
    <w:rsid w:val="00115188"/>
    <w:rsid w:val="00115F87"/>
    <w:rsid w:val="0011637C"/>
    <w:rsid w:val="001203D6"/>
    <w:rsid w:val="00120C40"/>
    <w:rsid w:val="00121C13"/>
    <w:rsid w:val="00121E26"/>
    <w:rsid w:val="0012336C"/>
    <w:rsid w:val="00123E9E"/>
    <w:rsid w:val="00123F5C"/>
    <w:rsid w:val="001240CD"/>
    <w:rsid w:val="00124A40"/>
    <w:rsid w:val="00125578"/>
    <w:rsid w:val="00127448"/>
    <w:rsid w:val="00127A9A"/>
    <w:rsid w:val="00127BD2"/>
    <w:rsid w:val="00127E9A"/>
    <w:rsid w:val="00132655"/>
    <w:rsid w:val="001359AF"/>
    <w:rsid w:val="00135E08"/>
    <w:rsid w:val="00137726"/>
    <w:rsid w:val="00137AAD"/>
    <w:rsid w:val="00140509"/>
    <w:rsid w:val="00142308"/>
    <w:rsid w:val="001427A0"/>
    <w:rsid w:val="001445FA"/>
    <w:rsid w:val="00144EA9"/>
    <w:rsid w:val="001467EE"/>
    <w:rsid w:val="00146FB1"/>
    <w:rsid w:val="001525BF"/>
    <w:rsid w:val="00152965"/>
    <w:rsid w:val="00153A2D"/>
    <w:rsid w:val="00154255"/>
    <w:rsid w:val="00155022"/>
    <w:rsid w:val="00156051"/>
    <w:rsid w:val="001560CE"/>
    <w:rsid w:val="00157452"/>
    <w:rsid w:val="00160D97"/>
    <w:rsid w:val="00161C0A"/>
    <w:rsid w:val="00163213"/>
    <w:rsid w:val="001678E0"/>
    <w:rsid w:val="00167FBD"/>
    <w:rsid w:val="0017063B"/>
    <w:rsid w:val="00170C89"/>
    <w:rsid w:val="00170CD9"/>
    <w:rsid w:val="00170EEC"/>
    <w:rsid w:val="001738B7"/>
    <w:rsid w:val="00174BC6"/>
    <w:rsid w:val="00175286"/>
    <w:rsid w:val="001760F6"/>
    <w:rsid w:val="001807EA"/>
    <w:rsid w:val="00181133"/>
    <w:rsid w:val="00181407"/>
    <w:rsid w:val="00182A46"/>
    <w:rsid w:val="00184A03"/>
    <w:rsid w:val="00185482"/>
    <w:rsid w:val="001858D5"/>
    <w:rsid w:val="00186B05"/>
    <w:rsid w:val="00190028"/>
    <w:rsid w:val="0019271E"/>
    <w:rsid w:val="00192F7D"/>
    <w:rsid w:val="00192FD7"/>
    <w:rsid w:val="0019412C"/>
    <w:rsid w:val="00194BCC"/>
    <w:rsid w:val="00195133"/>
    <w:rsid w:val="00195F06"/>
    <w:rsid w:val="00197285"/>
    <w:rsid w:val="001A026D"/>
    <w:rsid w:val="001A0DD1"/>
    <w:rsid w:val="001A227F"/>
    <w:rsid w:val="001A3790"/>
    <w:rsid w:val="001A3909"/>
    <w:rsid w:val="001A3BB1"/>
    <w:rsid w:val="001A4733"/>
    <w:rsid w:val="001A48A4"/>
    <w:rsid w:val="001A493E"/>
    <w:rsid w:val="001A55C0"/>
    <w:rsid w:val="001A72DD"/>
    <w:rsid w:val="001B0052"/>
    <w:rsid w:val="001B1AF4"/>
    <w:rsid w:val="001B7C4A"/>
    <w:rsid w:val="001C084E"/>
    <w:rsid w:val="001C1B80"/>
    <w:rsid w:val="001C2C48"/>
    <w:rsid w:val="001C3140"/>
    <w:rsid w:val="001C372A"/>
    <w:rsid w:val="001C3D63"/>
    <w:rsid w:val="001C44CB"/>
    <w:rsid w:val="001C6EE2"/>
    <w:rsid w:val="001C712F"/>
    <w:rsid w:val="001C7431"/>
    <w:rsid w:val="001D1C7B"/>
    <w:rsid w:val="001D55F9"/>
    <w:rsid w:val="001D668B"/>
    <w:rsid w:val="001D6929"/>
    <w:rsid w:val="001D7980"/>
    <w:rsid w:val="001D7A6C"/>
    <w:rsid w:val="001E0B11"/>
    <w:rsid w:val="001E1022"/>
    <w:rsid w:val="001E10C9"/>
    <w:rsid w:val="001E1B1D"/>
    <w:rsid w:val="001E35B5"/>
    <w:rsid w:val="001E6531"/>
    <w:rsid w:val="001E6548"/>
    <w:rsid w:val="001E73F3"/>
    <w:rsid w:val="001E780D"/>
    <w:rsid w:val="001E7E23"/>
    <w:rsid w:val="001F2006"/>
    <w:rsid w:val="001F2122"/>
    <w:rsid w:val="001F224B"/>
    <w:rsid w:val="001F2ED3"/>
    <w:rsid w:val="001F343F"/>
    <w:rsid w:val="001F41BC"/>
    <w:rsid w:val="001F4208"/>
    <w:rsid w:val="001F4A33"/>
    <w:rsid w:val="001F709D"/>
    <w:rsid w:val="00202CF1"/>
    <w:rsid w:val="00203CF5"/>
    <w:rsid w:val="0020429D"/>
    <w:rsid w:val="00207DF1"/>
    <w:rsid w:val="002103AB"/>
    <w:rsid w:val="00210DD8"/>
    <w:rsid w:val="00210FFF"/>
    <w:rsid w:val="00211737"/>
    <w:rsid w:val="00215903"/>
    <w:rsid w:val="00216EAB"/>
    <w:rsid w:val="0022385D"/>
    <w:rsid w:val="00226A94"/>
    <w:rsid w:val="00230AA3"/>
    <w:rsid w:val="00230E53"/>
    <w:rsid w:val="0023104E"/>
    <w:rsid w:val="00232871"/>
    <w:rsid w:val="00233ED0"/>
    <w:rsid w:val="0023663D"/>
    <w:rsid w:val="00240A26"/>
    <w:rsid w:val="00240FA7"/>
    <w:rsid w:val="002424AB"/>
    <w:rsid w:val="00245402"/>
    <w:rsid w:val="00245B89"/>
    <w:rsid w:val="00246636"/>
    <w:rsid w:val="00246D4C"/>
    <w:rsid w:val="00247786"/>
    <w:rsid w:val="00247A37"/>
    <w:rsid w:val="00247D2D"/>
    <w:rsid w:val="00247FAA"/>
    <w:rsid w:val="00250370"/>
    <w:rsid w:val="00250A35"/>
    <w:rsid w:val="002522D1"/>
    <w:rsid w:val="002527AB"/>
    <w:rsid w:val="00257B84"/>
    <w:rsid w:val="00260E6F"/>
    <w:rsid w:val="00262BBF"/>
    <w:rsid w:val="00270763"/>
    <w:rsid w:val="00270B59"/>
    <w:rsid w:val="0027257C"/>
    <w:rsid w:val="00273CE0"/>
    <w:rsid w:val="00274202"/>
    <w:rsid w:val="00274F49"/>
    <w:rsid w:val="00276309"/>
    <w:rsid w:val="00281200"/>
    <w:rsid w:val="00281968"/>
    <w:rsid w:val="002822E2"/>
    <w:rsid w:val="002835A3"/>
    <w:rsid w:val="0028423A"/>
    <w:rsid w:val="002850C3"/>
    <w:rsid w:val="0028573E"/>
    <w:rsid w:val="00285C75"/>
    <w:rsid w:val="00286D69"/>
    <w:rsid w:val="00287F3B"/>
    <w:rsid w:val="00290FBB"/>
    <w:rsid w:val="0029180D"/>
    <w:rsid w:val="00293876"/>
    <w:rsid w:val="00293DE3"/>
    <w:rsid w:val="00294748"/>
    <w:rsid w:val="00294817"/>
    <w:rsid w:val="00297654"/>
    <w:rsid w:val="00297750"/>
    <w:rsid w:val="002A2087"/>
    <w:rsid w:val="002A25B1"/>
    <w:rsid w:val="002A38F3"/>
    <w:rsid w:val="002A6066"/>
    <w:rsid w:val="002B05B1"/>
    <w:rsid w:val="002B063A"/>
    <w:rsid w:val="002B08BA"/>
    <w:rsid w:val="002B1036"/>
    <w:rsid w:val="002B1878"/>
    <w:rsid w:val="002B1AA3"/>
    <w:rsid w:val="002B2A44"/>
    <w:rsid w:val="002B3468"/>
    <w:rsid w:val="002B3F35"/>
    <w:rsid w:val="002B7BDF"/>
    <w:rsid w:val="002C0D97"/>
    <w:rsid w:val="002C21CE"/>
    <w:rsid w:val="002C2278"/>
    <w:rsid w:val="002C29FA"/>
    <w:rsid w:val="002C2A0F"/>
    <w:rsid w:val="002C3D17"/>
    <w:rsid w:val="002C44A4"/>
    <w:rsid w:val="002C5DF7"/>
    <w:rsid w:val="002C6A66"/>
    <w:rsid w:val="002D0FFB"/>
    <w:rsid w:val="002D1092"/>
    <w:rsid w:val="002D3D38"/>
    <w:rsid w:val="002D4D74"/>
    <w:rsid w:val="002D70BF"/>
    <w:rsid w:val="002D7E26"/>
    <w:rsid w:val="002E0D55"/>
    <w:rsid w:val="002E1620"/>
    <w:rsid w:val="002E1DAD"/>
    <w:rsid w:val="002E525F"/>
    <w:rsid w:val="002E5AEA"/>
    <w:rsid w:val="002F0874"/>
    <w:rsid w:val="002F446B"/>
    <w:rsid w:val="002F4B31"/>
    <w:rsid w:val="002F7669"/>
    <w:rsid w:val="002F7AB5"/>
    <w:rsid w:val="00300595"/>
    <w:rsid w:val="003005EF"/>
    <w:rsid w:val="00301220"/>
    <w:rsid w:val="003012AD"/>
    <w:rsid w:val="003033A3"/>
    <w:rsid w:val="00307981"/>
    <w:rsid w:val="00307F63"/>
    <w:rsid w:val="00307FEE"/>
    <w:rsid w:val="00311165"/>
    <w:rsid w:val="00311B77"/>
    <w:rsid w:val="00313975"/>
    <w:rsid w:val="00314578"/>
    <w:rsid w:val="00314959"/>
    <w:rsid w:val="00316E38"/>
    <w:rsid w:val="00317396"/>
    <w:rsid w:val="003173B4"/>
    <w:rsid w:val="00317D00"/>
    <w:rsid w:val="00320920"/>
    <w:rsid w:val="00320BF8"/>
    <w:rsid w:val="003212A1"/>
    <w:rsid w:val="0032234A"/>
    <w:rsid w:val="00324071"/>
    <w:rsid w:val="00324302"/>
    <w:rsid w:val="00325A5D"/>
    <w:rsid w:val="00325C9D"/>
    <w:rsid w:val="00325EDA"/>
    <w:rsid w:val="00325EDF"/>
    <w:rsid w:val="003265CE"/>
    <w:rsid w:val="003271A2"/>
    <w:rsid w:val="00327390"/>
    <w:rsid w:val="00330423"/>
    <w:rsid w:val="0033103F"/>
    <w:rsid w:val="003311B2"/>
    <w:rsid w:val="0033270D"/>
    <w:rsid w:val="00332C7A"/>
    <w:rsid w:val="00334F55"/>
    <w:rsid w:val="0033613F"/>
    <w:rsid w:val="00336CA6"/>
    <w:rsid w:val="0034295B"/>
    <w:rsid w:val="00342C5E"/>
    <w:rsid w:val="00343B61"/>
    <w:rsid w:val="00346902"/>
    <w:rsid w:val="003476DD"/>
    <w:rsid w:val="0034779F"/>
    <w:rsid w:val="003502A7"/>
    <w:rsid w:val="003503C4"/>
    <w:rsid w:val="003507F0"/>
    <w:rsid w:val="00352AA7"/>
    <w:rsid w:val="00353073"/>
    <w:rsid w:val="003536FC"/>
    <w:rsid w:val="0035414F"/>
    <w:rsid w:val="003546BB"/>
    <w:rsid w:val="00355AD8"/>
    <w:rsid w:val="00356390"/>
    <w:rsid w:val="003565BB"/>
    <w:rsid w:val="00356B42"/>
    <w:rsid w:val="003604F4"/>
    <w:rsid w:val="003614E8"/>
    <w:rsid w:val="0036156C"/>
    <w:rsid w:val="00362405"/>
    <w:rsid w:val="00366A4E"/>
    <w:rsid w:val="00367F45"/>
    <w:rsid w:val="0037035E"/>
    <w:rsid w:val="00370982"/>
    <w:rsid w:val="003716BE"/>
    <w:rsid w:val="00371BBC"/>
    <w:rsid w:val="0037257C"/>
    <w:rsid w:val="0037491F"/>
    <w:rsid w:val="00376B6E"/>
    <w:rsid w:val="00380B93"/>
    <w:rsid w:val="00380BF4"/>
    <w:rsid w:val="00381BDB"/>
    <w:rsid w:val="003859CE"/>
    <w:rsid w:val="00387A97"/>
    <w:rsid w:val="00387E19"/>
    <w:rsid w:val="003925BB"/>
    <w:rsid w:val="00394401"/>
    <w:rsid w:val="003964A7"/>
    <w:rsid w:val="003972B0"/>
    <w:rsid w:val="00397CE6"/>
    <w:rsid w:val="003A1773"/>
    <w:rsid w:val="003A2006"/>
    <w:rsid w:val="003A224D"/>
    <w:rsid w:val="003A245B"/>
    <w:rsid w:val="003A3269"/>
    <w:rsid w:val="003A3725"/>
    <w:rsid w:val="003A3FEA"/>
    <w:rsid w:val="003A7B2B"/>
    <w:rsid w:val="003A7C92"/>
    <w:rsid w:val="003A7F90"/>
    <w:rsid w:val="003B0B6B"/>
    <w:rsid w:val="003B210C"/>
    <w:rsid w:val="003B31E3"/>
    <w:rsid w:val="003B43B1"/>
    <w:rsid w:val="003B5BCD"/>
    <w:rsid w:val="003B6443"/>
    <w:rsid w:val="003B6AB0"/>
    <w:rsid w:val="003B6CA3"/>
    <w:rsid w:val="003C335F"/>
    <w:rsid w:val="003C3932"/>
    <w:rsid w:val="003C46DC"/>
    <w:rsid w:val="003D2B83"/>
    <w:rsid w:val="003D33C8"/>
    <w:rsid w:val="003D4CCA"/>
    <w:rsid w:val="003D530F"/>
    <w:rsid w:val="003D6B24"/>
    <w:rsid w:val="003D768F"/>
    <w:rsid w:val="003E1E0A"/>
    <w:rsid w:val="003E29AA"/>
    <w:rsid w:val="003E39F5"/>
    <w:rsid w:val="003E57FE"/>
    <w:rsid w:val="003E5807"/>
    <w:rsid w:val="003E71C1"/>
    <w:rsid w:val="003F21BB"/>
    <w:rsid w:val="003F2C18"/>
    <w:rsid w:val="003F52C9"/>
    <w:rsid w:val="003F5665"/>
    <w:rsid w:val="003F56EA"/>
    <w:rsid w:val="00400E30"/>
    <w:rsid w:val="0040349B"/>
    <w:rsid w:val="0040453E"/>
    <w:rsid w:val="0040580A"/>
    <w:rsid w:val="004058CA"/>
    <w:rsid w:val="00406A5F"/>
    <w:rsid w:val="00406D9C"/>
    <w:rsid w:val="00407170"/>
    <w:rsid w:val="004074FF"/>
    <w:rsid w:val="00410678"/>
    <w:rsid w:val="0041260B"/>
    <w:rsid w:val="004148F9"/>
    <w:rsid w:val="00420900"/>
    <w:rsid w:val="004254D0"/>
    <w:rsid w:val="00431663"/>
    <w:rsid w:val="00431FEE"/>
    <w:rsid w:val="0043549A"/>
    <w:rsid w:val="004357B5"/>
    <w:rsid w:val="00437236"/>
    <w:rsid w:val="00437F8C"/>
    <w:rsid w:val="00440769"/>
    <w:rsid w:val="004437B9"/>
    <w:rsid w:val="004439AD"/>
    <w:rsid w:val="004443EC"/>
    <w:rsid w:val="0044441E"/>
    <w:rsid w:val="00445FF2"/>
    <w:rsid w:val="00446167"/>
    <w:rsid w:val="0044632D"/>
    <w:rsid w:val="00452851"/>
    <w:rsid w:val="00453936"/>
    <w:rsid w:val="004570E9"/>
    <w:rsid w:val="004602D4"/>
    <w:rsid w:val="004636D1"/>
    <w:rsid w:val="00465795"/>
    <w:rsid w:val="00465F0B"/>
    <w:rsid w:val="004700F3"/>
    <w:rsid w:val="004701E8"/>
    <w:rsid w:val="00471004"/>
    <w:rsid w:val="004734C7"/>
    <w:rsid w:val="004760B9"/>
    <w:rsid w:val="004804E3"/>
    <w:rsid w:val="0048119C"/>
    <w:rsid w:val="0048482A"/>
    <w:rsid w:val="00485C26"/>
    <w:rsid w:val="00487987"/>
    <w:rsid w:val="0049040A"/>
    <w:rsid w:val="004935B7"/>
    <w:rsid w:val="00493988"/>
    <w:rsid w:val="00493DFF"/>
    <w:rsid w:val="004940EF"/>
    <w:rsid w:val="00495532"/>
    <w:rsid w:val="004972F1"/>
    <w:rsid w:val="004A03F6"/>
    <w:rsid w:val="004A0C89"/>
    <w:rsid w:val="004A3362"/>
    <w:rsid w:val="004A41F3"/>
    <w:rsid w:val="004A720E"/>
    <w:rsid w:val="004B3E30"/>
    <w:rsid w:val="004B417D"/>
    <w:rsid w:val="004B5FD5"/>
    <w:rsid w:val="004B6078"/>
    <w:rsid w:val="004B7AD6"/>
    <w:rsid w:val="004C38BE"/>
    <w:rsid w:val="004C411C"/>
    <w:rsid w:val="004C4958"/>
    <w:rsid w:val="004C6E23"/>
    <w:rsid w:val="004C6FA4"/>
    <w:rsid w:val="004C750E"/>
    <w:rsid w:val="004C75B1"/>
    <w:rsid w:val="004C7F17"/>
    <w:rsid w:val="004D0591"/>
    <w:rsid w:val="004D0912"/>
    <w:rsid w:val="004D09E5"/>
    <w:rsid w:val="004D16B9"/>
    <w:rsid w:val="004D1CFA"/>
    <w:rsid w:val="004D68D1"/>
    <w:rsid w:val="004D7851"/>
    <w:rsid w:val="004D7C38"/>
    <w:rsid w:val="004D7C76"/>
    <w:rsid w:val="004E2A9E"/>
    <w:rsid w:val="004E790D"/>
    <w:rsid w:val="004E798B"/>
    <w:rsid w:val="004F3429"/>
    <w:rsid w:val="004F3A81"/>
    <w:rsid w:val="004F6657"/>
    <w:rsid w:val="004F6663"/>
    <w:rsid w:val="004F6B32"/>
    <w:rsid w:val="004F7BD4"/>
    <w:rsid w:val="00500D4C"/>
    <w:rsid w:val="00503724"/>
    <w:rsid w:val="005055E0"/>
    <w:rsid w:val="00507D93"/>
    <w:rsid w:val="00510478"/>
    <w:rsid w:val="0051165A"/>
    <w:rsid w:val="005124C7"/>
    <w:rsid w:val="00512634"/>
    <w:rsid w:val="005127ED"/>
    <w:rsid w:val="00512C17"/>
    <w:rsid w:val="00512F8E"/>
    <w:rsid w:val="00513163"/>
    <w:rsid w:val="005135C7"/>
    <w:rsid w:val="005160AE"/>
    <w:rsid w:val="00521705"/>
    <w:rsid w:val="00522B51"/>
    <w:rsid w:val="00524762"/>
    <w:rsid w:val="005253CD"/>
    <w:rsid w:val="00525ABF"/>
    <w:rsid w:val="00525CC8"/>
    <w:rsid w:val="00526180"/>
    <w:rsid w:val="00526BBA"/>
    <w:rsid w:val="0052712A"/>
    <w:rsid w:val="0052767F"/>
    <w:rsid w:val="00527860"/>
    <w:rsid w:val="00530B29"/>
    <w:rsid w:val="00531679"/>
    <w:rsid w:val="00533AB1"/>
    <w:rsid w:val="005379F0"/>
    <w:rsid w:val="00540449"/>
    <w:rsid w:val="005427A3"/>
    <w:rsid w:val="005427C1"/>
    <w:rsid w:val="00543945"/>
    <w:rsid w:val="005442EA"/>
    <w:rsid w:val="0054644B"/>
    <w:rsid w:val="005472D6"/>
    <w:rsid w:val="00547967"/>
    <w:rsid w:val="005515AD"/>
    <w:rsid w:val="00552166"/>
    <w:rsid w:val="0055393E"/>
    <w:rsid w:val="00554457"/>
    <w:rsid w:val="00556BA0"/>
    <w:rsid w:val="00557A88"/>
    <w:rsid w:val="00557AF7"/>
    <w:rsid w:val="00560363"/>
    <w:rsid w:val="00560421"/>
    <w:rsid w:val="00563271"/>
    <w:rsid w:val="0056388C"/>
    <w:rsid w:val="00564398"/>
    <w:rsid w:val="00564679"/>
    <w:rsid w:val="005650F3"/>
    <w:rsid w:val="00565B50"/>
    <w:rsid w:val="00571384"/>
    <w:rsid w:val="005718C1"/>
    <w:rsid w:val="00575669"/>
    <w:rsid w:val="00576677"/>
    <w:rsid w:val="00576FA4"/>
    <w:rsid w:val="0057714B"/>
    <w:rsid w:val="00580A9E"/>
    <w:rsid w:val="00580D09"/>
    <w:rsid w:val="00582113"/>
    <w:rsid w:val="0058382B"/>
    <w:rsid w:val="00590E6A"/>
    <w:rsid w:val="00591104"/>
    <w:rsid w:val="005927B2"/>
    <w:rsid w:val="005930A7"/>
    <w:rsid w:val="00593D5D"/>
    <w:rsid w:val="00595784"/>
    <w:rsid w:val="00597B07"/>
    <w:rsid w:val="005A00FC"/>
    <w:rsid w:val="005A01D5"/>
    <w:rsid w:val="005A0D5E"/>
    <w:rsid w:val="005A1FFC"/>
    <w:rsid w:val="005A20A3"/>
    <w:rsid w:val="005A4DBA"/>
    <w:rsid w:val="005A7486"/>
    <w:rsid w:val="005B091C"/>
    <w:rsid w:val="005B34C5"/>
    <w:rsid w:val="005B4A2A"/>
    <w:rsid w:val="005B5C9D"/>
    <w:rsid w:val="005B609C"/>
    <w:rsid w:val="005B6EAD"/>
    <w:rsid w:val="005B76F2"/>
    <w:rsid w:val="005C2E3E"/>
    <w:rsid w:val="005C2E8E"/>
    <w:rsid w:val="005C385F"/>
    <w:rsid w:val="005C4A7D"/>
    <w:rsid w:val="005C5565"/>
    <w:rsid w:val="005C56E8"/>
    <w:rsid w:val="005C5893"/>
    <w:rsid w:val="005C714D"/>
    <w:rsid w:val="005D10AA"/>
    <w:rsid w:val="005D1395"/>
    <w:rsid w:val="005D14F3"/>
    <w:rsid w:val="005D159D"/>
    <w:rsid w:val="005D270E"/>
    <w:rsid w:val="005D45FD"/>
    <w:rsid w:val="005E05EB"/>
    <w:rsid w:val="005E1327"/>
    <w:rsid w:val="005E212D"/>
    <w:rsid w:val="005E58FD"/>
    <w:rsid w:val="005F1521"/>
    <w:rsid w:val="005F1D61"/>
    <w:rsid w:val="005F3B80"/>
    <w:rsid w:val="005F5AE5"/>
    <w:rsid w:val="005F6CDB"/>
    <w:rsid w:val="005F6F75"/>
    <w:rsid w:val="006000A9"/>
    <w:rsid w:val="00601E56"/>
    <w:rsid w:val="00602B3F"/>
    <w:rsid w:val="00603D60"/>
    <w:rsid w:val="00604A00"/>
    <w:rsid w:val="00606590"/>
    <w:rsid w:val="00610020"/>
    <w:rsid w:val="0061143A"/>
    <w:rsid w:val="006119AF"/>
    <w:rsid w:val="00612B05"/>
    <w:rsid w:val="00614333"/>
    <w:rsid w:val="00615294"/>
    <w:rsid w:val="0062114D"/>
    <w:rsid w:val="00623915"/>
    <w:rsid w:val="00624944"/>
    <w:rsid w:val="00624CD1"/>
    <w:rsid w:val="00625313"/>
    <w:rsid w:val="00626886"/>
    <w:rsid w:val="0063075E"/>
    <w:rsid w:val="006308B0"/>
    <w:rsid w:val="00632B8B"/>
    <w:rsid w:val="0063604D"/>
    <w:rsid w:val="00637C2D"/>
    <w:rsid w:val="0064080F"/>
    <w:rsid w:val="00642EB2"/>
    <w:rsid w:val="006430CC"/>
    <w:rsid w:val="00644D10"/>
    <w:rsid w:val="00647903"/>
    <w:rsid w:val="00650236"/>
    <w:rsid w:val="00651409"/>
    <w:rsid w:val="00651754"/>
    <w:rsid w:val="00651C4D"/>
    <w:rsid w:val="00652ADA"/>
    <w:rsid w:val="00655A34"/>
    <w:rsid w:val="00655C94"/>
    <w:rsid w:val="006608A7"/>
    <w:rsid w:val="00660A5D"/>
    <w:rsid w:val="00661013"/>
    <w:rsid w:val="00661711"/>
    <w:rsid w:val="00661F61"/>
    <w:rsid w:val="00662708"/>
    <w:rsid w:val="00663CB2"/>
    <w:rsid w:val="00664090"/>
    <w:rsid w:val="00665177"/>
    <w:rsid w:val="00670B6C"/>
    <w:rsid w:val="00672F96"/>
    <w:rsid w:val="00673D95"/>
    <w:rsid w:val="00674B29"/>
    <w:rsid w:val="00681C76"/>
    <w:rsid w:val="00682FF4"/>
    <w:rsid w:val="00691570"/>
    <w:rsid w:val="006960AD"/>
    <w:rsid w:val="006960EC"/>
    <w:rsid w:val="00696B8F"/>
    <w:rsid w:val="00697DB5"/>
    <w:rsid w:val="006A0C88"/>
    <w:rsid w:val="006A4E9A"/>
    <w:rsid w:val="006A5990"/>
    <w:rsid w:val="006A5BB9"/>
    <w:rsid w:val="006A625E"/>
    <w:rsid w:val="006A7CD4"/>
    <w:rsid w:val="006A7ED2"/>
    <w:rsid w:val="006B2392"/>
    <w:rsid w:val="006B248B"/>
    <w:rsid w:val="006B2843"/>
    <w:rsid w:val="006B2FE4"/>
    <w:rsid w:val="006B3D13"/>
    <w:rsid w:val="006B55BF"/>
    <w:rsid w:val="006B6769"/>
    <w:rsid w:val="006B6DB5"/>
    <w:rsid w:val="006B6ECE"/>
    <w:rsid w:val="006B7047"/>
    <w:rsid w:val="006B768B"/>
    <w:rsid w:val="006C3414"/>
    <w:rsid w:val="006C4D3F"/>
    <w:rsid w:val="006C5432"/>
    <w:rsid w:val="006C62DE"/>
    <w:rsid w:val="006D1B5E"/>
    <w:rsid w:val="006D1C7E"/>
    <w:rsid w:val="006D1F76"/>
    <w:rsid w:val="006D288E"/>
    <w:rsid w:val="006D4326"/>
    <w:rsid w:val="006D73A1"/>
    <w:rsid w:val="006D77E2"/>
    <w:rsid w:val="006E3A3D"/>
    <w:rsid w:val="006E3AE7"/>
    <w:rsid w:val="006E4231"/>
    <w:rsid w:val="006E4EB5"/>
    <w:rsid w:val="006E51B1"/>
    <w:rsid w:val="006E6AB6"/>
    <w:rsid w:val="006E704E"/>
    <w:rsid w:val="006E7455"/>
    <w:rsid w:val="006F0BB2"/>
    <w:rsid w:val="006F2849"/>
    <w:rsid w:val="006F3528"/>
    <w:rsid w:val="006F45FD"/>
    <w:rsid w:val="00701197"/>
    <w:rsid w:val="00702E17"/>
    <w:rsid w:val="00704824"/>
    <w:rsid w:val="007049A9"/>
    <w:rsid w:val="00706583"/>
    <w:rsid w:val="007072C7"/>
    <w:rsid w:val="007072E1"/>
    <w:rsid w:val="00710799"/>
    <w:rsid w:val="007108D4"/>
    <w:rsid w:val="00712EA6"/>
    <w:rsid w:val="00712F5C"/>
    <w:rsid w:val="00713802"/>
    <w:rsid w:val="007145E0"/>
    <w:rsid w:val="00715CA7"/>
    <w:rsid w:val="007179BD"/>
    <w:rsid w:val="00717DAC"/>
    <w:rsid w:val="00722D29"/>
    <w:rsid w:val="00723799"/>
    <w:rsid w:val="007241EC"/>
    <w:rsid w:val="00727019"/>
    <w:rsid w:val="00730371"/>
    <w:rsid w:val="00734034"/>
    <w:rsid w:val="0073492E"/>
    <w:rsid w:val="00735085"/>
    <w:rsid w:val="00735300"/>
    <w:rsid w:val="007356FA"/>
    <w:rsid w:val="007361A6"/>
    <w:rsid w:val="007369CD"/>
    <w:rsid w:val="00740E3A"/>
    <w:rsid w:val="00743642"/>
    <w:rsid w:val="0074491A"/>
    <w:rsid w:val="00745FEC"/>
    <w:rsid w:val="00746968"/>
    <w:rsid w:val="00747922"/>
    <w:rsid w:val="00750629"/>
    <w:rsid w:val="0075198E"/>
    <w:rsid w:val="00751999"/>
    <w:rsid w:val="00754C71"/>
    <w:rsid w:val="00757668"/>
    <w:rsid w:val="0075789E"/>
    <w:rsid w:val="00760130"/>
    <w:rsid w:val="0076078A"/>
    <w:rsid w:val="007629AF"/>
    <w:rsid w:val="007631A9"/>
    <w:rsid w:val="007636D0"/>
    <w:rsid w:val="0076540A"/>
    <w:rsid w:val="0076740E"/>
    <w:rsid w:val="00767F7C"/>
    <w:rsid w:val="007770E0"/>
    <w:rsid w:val="0078015E"/>
    <w:rsid w:val="00783A1D"/>
    <w:rsid w:val="00783EBD"/>
    <w:rsid w:val="007849CF"/>
    <w:rsid w:val="007857B5"/>
    <w:rsid w:val="00786FA5"/>
    <w:rsid w:val="007876A4"/>
    <w:rsid w:val="007908A9"/>
    <w:rsid w:val="00790C5F"/>
    <w:rsid w:val="00792A54"/>
    <w:rsid w:val="00792AC5"/>
    <w:rsid w:val="00794A82"/>
    <w:rsid w:val="007952E0"/>
    <w:rsid w:val="00795BDE"/>
    <w:rsid w:val="00796FA3"/>
    <w:rsid w:val="007A095A"/>
    <w:rsid w:val="007A19C3"/>
    <w:rsid w:val="007A589B"/>
    <w:rsid w:val="007B3301"/>
    <w:rsid w:val="007B33BE"/>
    <w:rsid w:val="007B51F5"/>
    <w:rsid w:val="007B7923"/>
    <w:rsid w:val="007C0543"/>
    <w:rsid w:val="007C2E19"/>
    <w:rsid w:val="007C5207"/>
    <w:rsid w:val="007C59F8"/>
    <w:rsid w:val="007C7F8F"/>
    <w:rsid w:val="007D0BF7"/>
    <w:rsid w:val="007D1CF2"/>
    <w:rsid w:val="007D3D67"/>
    <w:rsid w:val="007E087C"/>
    <w:rsid w:val="007E10DA"/>
    <w:rsid w:val="007E2F86"/>
    <w:rsid w:val="007E3A4F"/>
    <w:rsid w:val="007E4DA4"/>
    <w:rsid w:val="007E57FC"/>
    <w:rsid w:val="007E6410"/>
    <w:rsid w:val="007F2179"/>
    <w:rsid w:val="007F2710"/>
    <w:rsid w:val="007F27FC"/>
    <w:rsid w:val="007F35BD"/>
    <w:rsid w:val="007F3AD8"/>
    <w:rsid w:val="007F494C"/>
    <w:rsid w:val="007F4B43"/>
    <w:rsid w:val="007F7B22"/>
    <w:rsid w:val="008013E0"/>
    <w:rsid w:val="008014AF"/>
    <w:rsid w:val="008018EC"/>
    <w:rsid w:val="00801BE4"/>
    <w:rsid w:val="0080310A"/>
    <w:rsid w:val="00803C1D"/>
    <w:rsid w:val="008056D4"/>
    <w:rsid w:val="0080581A"/>
    <w:rsid w:val="00806B5C"/>
    <w:rsid w:val="00807B1B"/>
    <w:rsid w:val="008108D0"/>
    <w:rsid w:val="00811943"/>
    <w:rsid w:val="00812CDC"/>
    <w:rsid w:val="00813114"/>
    <w:rsid w:val="00813981"/>
    <w:rsid w:val="00814FD3"/>
    <w:rsid w:val="00817739"/>
    <w:rsid w:val="00820A57"/>
    <w:rsid w:val="0082206A"/>
    <w:rsid w:val="00824253"/>
    <w:rsid w:val="008256EE"/>
    <w:rsid w:val="0082631A"/>
    <w:rsid w:val="00826BD1"/>
    <w:rsid w:val="008308DE"/>
    <w:rsid w:val="00831244"/>
    <w:rsid w:val="00831E7C"/>
    <w:rsid w:val="00832679"/>
    <w:rsid w:val="00832FD0"/>
    <w:rsid w:val="00833E23"/>
    <w:rsid w:val="0083579C"/>
    <w:rsid w:val="00836907"/>
    <w:rsid w:val="00836956"/>
    <w:rsid w:val="0084098F"/>
    <w:rsid w:val="00840C6B"/>
    <w:rsid w:val="0084118A"/>
    <w:rsid w:val="00841CA7"/>
    <w:rsid w:val="008438ED"/>
    <w:rsid w:val="00844616"/>
    <w:rsid w:val="00846808"/>
    <w:rsid w:val="008476C5"/>
    <w:rsid w:val="00852A9A"/>
    <w:rsid w:val="008565B2"/>
    <w:rsid w:val="00856BC0"/>
    <w:rsid w:val="00856D9C"/>
    <w:rsid w:val="0086014F"/>
    <w:rsid w:val="00861846"/>
    <w:rsid w:val="00862ABC"/>
    <w:rsid w:val="00866B30"/>
    <w:rsid w:val="00866F49"/>
    <w:rsid w:val="0086768C"/>
    <w:rsid w:val="00867C7B"/>
    <w:rsid w:val="00871D78"/>
    <w:rsid w:val="00874210"/>
    <w:rsid w:val="00874CFF"/>
    <w:rsid w:val="00874FBC"/>
    <w:rsid w:val="00877732"/>
    <w:rsid w:val="008806CB"/>
    <w:rsid w:val="00882679"/>
    <w:rsid w:val="0088296D"/>
    <w:rsid w:val="0088397B"/>
    <w:rsid w:val="00883ADF"/>
    <w:rsid w:val="0088454A"/>
    <w:rsid w:val="00887CC3"/>
    <w:rsid w:val="00892C50"/>
    <w:rsid w:val="008942E2"/>
    <w:rsid w:val="00897301"/>
    <w:rsid w:val="008A1BC9"/>
    <w:rsid w:val="008A2F58"/>
    <w:rsid w:val="008A3855"/>
    <w:rsid w:val="008A5607"/>
    <w:rsid w:val="008A562A"/>
    <w:rsid w:val="008A628A"/>
    <w:rsid w:val="008A6BDD"/>
    <w:rsid w:val="008A6F56"/>
    <w:rsid w:val="008B0ACD"/>
    <w:rsid w:val="008B0D10"/>
    <w:rsid w:val="008B2437"/>
    <w:rsid w:val="008B384B"/>
    <w:rsid w:val="008B3CF2"/>
    <w:rsid w:val="008B44B8"/>
    <w:rsid w:val="008B5C2F"/>
    <w:rsid w:val="008B6046"/>
    <w:rsid w:val="008B64E2"/>
    <w:rsid w:val="008C0FEC"/>
    <w:rsid w:val="008C24E1"/>
    <w:rsid w:val="008C2DEB"/>
    <w:rsid w:val="008C416A"/>
    <w:rsid w:val="008C4D8C"/>
    <w:rsid w:val="008C54B0"/>
    <w:rsid w:val="008C6066"/>
    <w:rsid w:val="008D14BD"/>
    <w:rsid w:val="008D1B33"/>
    <w:rsid w:val="008D263F"/>
    <w:rsid w:val="008D58D2"/>
    <w:rsid w:val="008D6145"/>
    <w:rsid w:val="008E0233"/>
    <w:rsid w:val="008E2205"/>
    <w:rsid w:val="008E6075"/>
    <w:rsid w:val="008E72DD"/>
    <w:rsid w:val="008E7B2B"/>
    <w:rsid w:val="008E7D5B"/>
    <w:rsid w:val="008F0CAB"/>
    <w:rsid w:val="008F0CC4"/>
    <w:rsid w:val="008F0FF9"/>
    <w:rsid w:val="008F2593"/>
    <w:rsid w:val="008F5907"/>
    <w:rsid w:val="008F5F0A"/>
    <w:rsid w:val="008F608E"/>
    <w:rsid w:val="008F6207"/>
    <w:rsid w:val="008F6B8D"/>
    <w:rsid w:val="00902AE5"/>
    <w:rsid w:val="00903B6C"/>
    <w:rsid w:val="00904CA2"/>
    <w:rsid w:val="00912E9B"/>
    <w:rsid w:val="00914FBC"/>
    <w:rsid w:val="009170BC"/>
    <w:rsid w:val="009172C5"/>
    <w:rsid w:val="009208B9"/>
    <w:rsid w:val="0092215D"/>
    <w:rsid w:val="0092401B"/>
    <w:rsid w:val="009245D9"/>
    <w:rsid w:val="00925202"/>
    <w:rsid w:val="009258F6"/>
    <w:rsid w:val="00925DA2"/>
    <w:rsid w:val="009267AA"/>
    <w:rsid w:val="00927D81"/>
    <w:rsid w:val="00930109"/>
    <w:rsid w:val="00931C51"/>
    <w:rsid w:val="00931CCE"/>
    <w:rsid w:val="009322D2"/>
    <w:rsid w:val="009336FE"/>
    <w:rsid w:val="009368D8"/>
    <w:rsid w:val="00937042"/>
    <w:rsid w:val="00945119"/>
    <w:rsid w:val="009457DE"/>
    <w:rsid w:val="00945EAD"/>
    <w:rsid w:val="0094694E"/>
    <w:rsid w:val="00946C63"/>
    <w:rsid w:val="00951EFF"/>
    <w:rsid w:val="009527DB"/>
    <w:rsid w:val="00952EF1"/>
    <w:rsid w:val="00953720"/>
    <w:rsid w:val="00955E18"/>
    <w:rsid w:val="00956173"/>
    <w:rsid w:val="00957B2E"/>
    <w:rsid w:val="0096028A"/>
    <w:rsid w:val="00960924"/>
    <w:rsid w:val="0096316E"/>
    <w:rsid w:val="00963180"/>
    <w:rsid w:val="00964C93"/>
    <w:rsid w:val="00964D51"/>
    <w:rsid w:val="00965806"/>
    <w:rsid w:val="009720CF"/>
    <w:rsid w:val="0097348C"/>
    <w:rsid w:val="00973780"/>
    <w:rsid w:val="009743C4"/>
    <w:rsid w:val="0097492A"/>
    <w:rsid w:val="00975B3B"/>
    <w:rsid w:val="00976BFA"/>
    <w:rsid w:val="00980059"/>
    <w:rsid w:val="009829A6"/>
    <w:rsid w:val="00983138"/>
    <w:rsid w:val="00985DDF"/>
    <w:rsid w:val="00986AC4"/>
    <w:rsid w:val="009915DF"/>
    <w:rsid w:val="00992562"/>
    <w:rsid w:val="009931CB"/>
    <w:rsid w:val="009947C7"/>
    <w:rsid w:val="00995AF4"/>
    <w:rsid w:val="00996914"/>
    <w:rsid w:val="009A1650"/>
    <w:rsid w:val="009A1D42"/>
    <w:rsid w:val="009A27D1"/>
    <w:rsid w:val="009A2F82"/>
    <w:rsid w:val="009A3870"/>
    <w:rsid w:val="009A3C8C"/>
    <w:rsid w:val="009A560E"/>
    <w:rsid w:val="009A6D3B"/>
    <w:rsid w:val="009B0419"/>
    <w:rsid w:val="009B1072"/>
    <w:rsid w:val="009B3755"/>
    <w:rsid w:val="009B3AC1"/>
    <w:rsid w:val="009B4292"/>
    <w:rsid w:val="009B4B0D"/>
    <w:rsid w:val="009B5169"/>
    <w:rsid w:val="009B6F98"/>
    <w:rsid w:val="009C0020"/>
    <w:rsid w:val="009C1248"/>
    <w:rsid w:val="009C2C5C"/>
    <w:rsid w:val="009C2E08"/>
    <w:rsid w:val="009C3673"/>
    <w:rsid w:val="009C6E02"/>
    <w:rsid w:val="009C782E"/>
    <w:rsid w:val="009D1C7E"/>
    <w:rsid w:val="009D2000"/>
    <w:rsid w:val="009D4A1C"/>
    <w:rsid w:val="009D4C6E"/>
    <w:rsid w:val="009D7D0D"/>
    <w:rsid w:val="009E0398"/>
    <w:rsid w:val="009E0A0E"/>
    <w:rsid w:val="009E0BB9"/>
    <w:rsid w:val="009E29FB"/>
    <w:rsid w:val="009E2B39"/>
    <w:rsid w:val="009E32BC"/>
    <w:rsid w:val="009E469F"/>
    <w:rsid w:val="009E5DE7"/>
    <w:rsid w:val="009E6FD7"/>
    <w:rsid w:val="009F201F"/>
    <w:rsid w:val="009F2237"/>
    <w:rsid w:val="009F2E3A"/>
    <w:rsid w:val="009F2F10"/>
    <w:rsid w:val="009F52DA"/>
    <w:rsid w:val="009F5A43"/>
    <w:rsid w:val="009F637D"/>
    <w:rsid w:val="00A00333"/>
    <w:rsid w:val="00A01758"/>
    <w:rsid w:val="00A044ED"/>
    <w:rsid w:val="00A055DD"/>
    <w:rsid w:val="00A05C18"/>
    <w:rsid w:val="00A109CD"/>
    <w:rsid w:val="00A12E5D"/>
    <w:rsid w:val="00A1450B"/>
    <w:rsid w:val="00A14622"/>
    <w:rsid w:val="00A15EAC"/>
    <w:rsid w:val="00A17A05"/>
    <w:rsid w:val="00A17EAA"/>
    <w:rsid w:val="00A22768"/>
    <w:rsid w:val="00A22981"/>
    <w:rsid w:val="00A23E16"/>
    <w:rsid w:val="00A257ED"/>
    <w:rsid w:val="00A279C5"/>
    <w:rsid w:val="00A3071A"/>
    <w:rsid w:val="00A32D0B"/>
    <w:rsid w:val="00A33D4E"/>
    <w:rsid w:val="00A34058"/>
    <w:rsid w:val="00A3513A"/>
    <w:rsid w:val="00A35A53"/>
    <w:rsid w:val="00A370BF"/>
    <w:rsid w:val="00A43705"/>
    <w:rsid w:val="00A43D6D"/>
    <w:rsid w:val="00A45374"/>
    <w:rsid w:val="00A45C91"/>
    <w:rsid w:val="00A4618D"/>
    <w:rsid w:val="00A519EE"/>
    <w:rsid w:val="00A51ACB"/>
    <w:rsid w:val="00A52C6A"/>
    <w:rsid w:val="00A54815"/>
    <w:rsid w:val="00A55874"/>
    <w:rsid w:val="00A55DA5"/>
    <w:rsid w:val="00A56F83"/>
    <w:rsid w:val="00A57A84"/>
    <w:rsid w:val="00A61938"/>
    <w:rsid w:val="00A63FBC"/>
    <w:rsid w:val="00A64D0B"/>
    <w:rsid w:val="00A672FA"/>
    <w:rsid w:val="00A701FB"/>
    <w:rsid w:val="00A7101B"/>
    <w:rsid w:val="00A72318"/>
    <w:rsid w:val="00A737AD"/>
    <w:rsid w:val="00A775EF"/>
    <w:rsid w:val="00A80DF9"/>
    <w:rsid w:val="00A8333F"/>
    <w:rsid w:val="00A8484E"/>
    <w:rsid w:val="00A85535"/>
    <w:rsid w:val="00A87B16"/>
    <w:rsid w:val="00A9296F"/>
    <w:rsid w:val="00A92D9D"/>
    <w:rsid w:val="00A93E2C"/>
    <w:rsid w:val="00A94233"/>
    <w:rsid w:val="00A95968"/>
    <w:rsid w:val="00A96123"/>
    <w:rsid w:val="00A962CD"/>
    <w:rsid w:val="00A966A7"/>
    <w:rsid w:val="00A96AE0"/>
    <w:rsid w:val="00AA20F8"/>
    <w:rsid w:val="00AA288F"/>
    <w:rsid w:val="00AA48CC"/>
    <w:rsid w:val="00AA4EAF"/>
    <w:rsid w:val="00AA5533"/>
    <w:rsid w:val="00AA6B38"/>
    <w:rsid w:val="00AB1372"/>
    <w:rsid w:val="00AB1A1B"/>
    <w:rsid w:val="00AB27FF"/>
    <w:rsid w:val="00AB2808"/>
    <w:rsid w:val="00AB32AB"/>
    <w:rsid w:val="00AB3A5C"/>
    <w:rsid w:val="00AB74AD"/>
    <w:rsid w:val="00AC01B7"/>
    <w:rsid w:val="00AC0873"/>
    <w:rsid w:val="00AC3028"/>
    <w:rsid w:val="00AC3D95"/>
    <w:rsid w:val="00AC440D"/>
    <w:rsid w:val="00AC5002"/>
    <w:rsid w:val="00AC65C1"/>
    <w:rsid w:val="00AD0398"/>
    <w:rsid w:val="00AD07EB"/>
    <w:rsid w:val="00AD3A8D"/>
    <w:rsid w:val="00AD41AB"/>
    <w:rsid w:val="00AD5BFE"/>
    <w:rsid w:val="00AD67C4"/>
    <w:rsid w:val="00AD6F76"/>
    <w:rsid w:val="00AD7AE1"/>
    <w:rsid w:val="00AE058E"/>
    <w:rsid w:val="00AE059A"/>
    <w:rsid w:val="00AE1244"/>
    <w:rsid w:val="00AE1D11"/>
    <w:rsid w:val="00AE2F2E"/>
    <w:rsid w:val="00AE3803"/>
    <w:rsid w:val="00AE49A4"/>
    <w:rsid w:val="00AE59EC"/>
    <w:rsid w:val="00AE63A1"/>
    <w:rsid w:val="00AE64A3"/>
    <w:rsid w:val="00AE716C"/>
    <w:rsid w:val="00AE7B8F"/>
    <w:rsid w:val="00AF70CF"/>
    <w:rsid w:val="00AF78C9"/>
    <w:rsid w:val="00B01633"/>
    <w:rsid w:val="00B01953"/>
    <w:rsid w:val="00B0231D"/>
    <w:rsid w:val="00B03319"/>
    <w:rsid w:val="00B042D8"/>
    <w:rsid w:val="00B0433B"/>
    <w:rsid w:val="00B04BB4"/>
    <w:rsid w:val="00B06201"/>
    <w:rsid w:val="00B07B02"/>
    <w:rsid w:val="00B101C4"/>
    <w:rsid w:val="00B11B6B"/>
    <w:rsid w:val="00B12728"/>
    <w:rsid w:val="00B14596"/>
    <w:rsid w:val="00B1567E"/>
    <w:rsid w:val="00B16E01"/>
    <w:rsid w:val="00B1745D"/>
    <w:rsid w:val="00B214DA"/>
    <w:rsid w:val="00B21AC5"/>
    <w:rsid w:val="00B22128"/>
    <w:rsid w:val="00B230A8"/>
    <w:rsid w:val="00B248F4"/>
    <w:rsid w:val="00B264C5"/>
    <w:rsid w:val="00B27CE3"/>
    <w:rsid w:val="00B30BED"/>
    <w:rsid w:val="00B3265C"/>
    <w:rsid w:val="00B329E5"/>
    <w:rsid w:val="00B33E53"/>
    <w:rsid w:val="00B355CF"/>
    <w:rsid w:val="00B424C5"/>
    <w:rsid w:val="00B43108"/>
    <w:rsid w:val="00B45899"/>
    <w:rsid w:val="00B45EC5"/>
    <w:rsid w:val="00B46A3B"/>
    <w:rsid w:val="00B5010C"/>
    <w:rsid w:val="00B50DE1"/>
    <w:rsid w:val="00B5421C"/>
    <w:rsid w:val="00B5686E"/>
    <w:rsid w:val="00B57819"/>
    <w:rsid w:val="00B6042B"/>
    <w:rsid w:val="00B6186D"/>
    <w:rsid w:val="00B64C89"/>
    <w:rsid w:val="00B64D65"/>
    <w:rsid w:val="00B6694E"/>
    <w:rsid w:val="00B71A17"/>
    <w:rsid w:val="00B73B76"/>
    <w:rsid w:val="00B76B06"/>
    <w:rsid w:val="00B81B29"/>
    <w:rsid w:val="00B82BCB"/>
    <w:rsid w:val="00B845D1"/>
    <w:rsid w:val="00B84DBC"/>
    <w:rsid w:val="00B86B31"/>
    <w:rsid w:val="00B86BB1"/>
    <w:rsid w:val="00B906E1"/>
    <w:rsid w:val="00B9356E"/>
    <w:rsid w:val="00B95560"/>
    <w:rsid w:val="00B96740"/>
    <w:rsid w:val="00B96F97"/>
    <w:rsid w:val="00B97693"/>
    <w:rsid w:val="00BA4A48"/>
    <w:rsid w:val="00BA5645"/>
    <w:rsid w:val="00BA629B"/>
    <w:rsid w:val="00BB0440"/>
    <w:rsid w:val="00BB05C1"/>
    <w:rsid w:val="00BB17CA"/>
    <w:rsid w:val="00BB43DA"/>
    <w:rsid w:val="00BB533C"/>
    <w:rsid w:val="00BB683C"/>
    <w:rsid w:val="00BB6A2B"/>
    <w:rsid w:val="00BC03B9"/>
    <w:rsid w:val="00BC0727"/>
    <w:rsid w:val="00BC09CE"/>
    <w:rsid w:val="00BC7331"/>
    <w:rsid w:val="00BC775E"/>
    <w:rsid w:val="00BC784C"/>
    <w:rsid w:val="00BD058A"/>
    <w:rsid w:val="00BD1BAD"/>
    <w:rsid w:val="00BD3FAC"/>
    <w:rsid w:val="00BD3FDF"/>
    <w:rsid w:val="00BD4FEB"/>
    <w:rsid w:val="00BD56EE"/>
    <w:rsid w:val="00BE00F1"/>
    <w:rsid w:val="00BE14ED"/>
    <w:rsid w:val="00BE473E"/>
    <w:rsid w:val="00BE699E"/>
    <w:rsid w:val="00BE7538"/>
    <w:rsid w:val="00BE7E5F"/>
    <w:rsid w:val="00BF1B22"/>
    <w:rsid w:val="00BF2E30"/>
    <w:rsid w:val="00BF5652"/>
    <w:rsid w:val="00BF7F71"/>
    <w:rsid w:val="00C00E06"/>
    <w:rsid w:val="00C0194B"/>
    <w:rsid w:val="00C026FE"/>
    <w:rsid w:val="00C0274B"/>
    <w:rsid w:val="00C02A20"/>
    <w:rsid w:val="00C03B4C"/>
    <w:rsid w:val="00C04748"/>
    <w:rsid w:val="00C04D38"/>
    <w:rsid w:val="00C0654D"/>
    <w:rsid w:val="00C0678A"/>
    <w:rsid w:val="00C15663"/>
    <w:rsid w:val="00C156C5"/>
    <w:rsid w:val="00C17F65"/>
    <w:rsid w:val="00C20EC9"/>
    <w:rsid w:val="00C210DC"/>
    <w:rsid w:val="00C211BF"/>
    <w:rsid w:val="00C214EF"/>
    <w:rsid w:val="00C23FF7"/>
    <w:rsid w:val="00C24DC8"/>
    <w:rsid w:val="00C269A0"/>
    <w:rsid w:val="00C2787E"/>
    <w:rsid w:val="00C32165"/>
    <w:rsid w:val="00C35207"/>
    <w:rsid w:val="00C365E3"/>
    <w:rsid w:val="00C40E73"/>
    <w:rsid w:val="00C410EA"/>
    <w:rsid w:val="00C41F5D"/>
    <w:rsid w:val="00C51850"/>
    <w:rsid w:val="00C51A62"/>
    <w:rsid w:val="00C51BE6"/>
    <w:rsid w:val="00C53570"/>
    <w:rsid w:val="00C5599B"/>
    <w:rsid w:val="00C55F93"/>
    <w:rsid w:val="00C62A98"/>
    <w:rsid w:val="00C62D91"/>
    <w:rsid w:val="00C63CAF"/>
    <w:rsid w:val="00C63ECA"/>
    <w:rsid w:val="00C6570F"/>
    <w:rsid w:val="00C675CF"/>
    <w:rsid w:val="00C6773F"/>
    <w:rsid w:val="00C746DD"/>
    <w:rsid w:val="00C759B7"/>
    <w:rsid w:val="00C80028"/>
    <w:rsid w:val="00C81396"/>
    <w:rsid w:val="00C84012"/>
    <w:rsid w:val="00C84EB7"/>
    <w:rsid w:val="00C84ECC"/>
    <w:rsid w:val="00C865C8"/>
    <w:rsid w:val="00C87D49"/>
    <w:rsid w:val="00C9022C"/>
    <w:rsid w:val="00C90463"/>
    <w:rsid w:val="00C920DD"/>
    <w:rsid w:val="00C92288"/>
    <w:rsid w:val="00C93014"/>
    <w:rsid w:val="00C93260"/>
    <w:rsid w:val="00C95B6D"/>
    <w:rsid w:val="00C97154"/>
    <w:rsid w:val="00C9731C"/>
    <w:rsid w:val="00C97CE1"/>
    <w:rsid w:val="00CA0609"/>
    <w:rsid w:val="00CA07A8"/>
    <w:rsid w:val="00CA1124"/>
    <w:rsid w:val="00CA22F2"/>
    <w:rsid w:val="00CA38E6"/>
    <w:rsid w:val="00CA6032"/>
    <w:rsid w:val="00CA67A1"/>
    <w:rsid w:val="00CA7FD9"/>
    <w:rsid w:val="00CB1AC3"/>
    <w:rsid w:val="00CB27F2"/>
    <w:rsid w:val="00CB2868"/>
    <w:rsid w:val="00CB2F0C"/>
    <w:rsid w:val="00CB6E0B"/>
    <w:rsid w:val="00CC0813"/>
    <w:rsid w:val="00CC1141"/>
    <w:rsid w:val="00CC279D"/>
    <w:rsid w:val="00CC3913"/>
    <w:rsid w:val="00CC3AF9"/>
    <w:rsid w:val="00CC5EF2"/>
    <w:rsid w:val="00CC641F"/>
    <w:rsid w:val="00CC6E82"/>
    <w:rsid w:val="00CC71B3"/>
    <w:rsid w:val="00CD056A"/>
    <w:rsid w:val="00CD0CDE"/>
    <w:rsid w:val="00CD0E8C"/>
    <w:rsid w:val="00CD12B1"/>
    <w:rsid w:val="00CD259B"/>
    <w:rsid w:val="00CD45E5"/>
    <w:rsid w:val="00CD6FA3"/>
    <w:rsid w:val="00CE0423"/>
    <w:rsid w:val="00CE12F8"/>
    <w:rsid w:val="00CE1B8E"/>
    <w:rsid w:val="00CE3526"/>
    <w:rsid w:val="00CE4649"/>
    <w:rsid w:val="00CE4A28"/>
    <w:rsid w:val="00CE5C77"/>
    <w:rsid w:val="00CF1CE5"/>
    <w:rsid w:val="00CF2114"/>
    <w:rsid w:val="00CF5207"/>
    <w:rsid w:val="00CF5EA0"/>
    <w:rsid w:val="00CF6FBC"/>
    <w:rsid w:val="00D00104"/>
    <w:rsid w:val="00D01E4B"/>
    <w:rsid w:val="00D05611"/>
    <w:rsid w:val="00D0785E"/>
    <w:rsid w:val="00D10CCD"/>
    <w:rsid w:val="00D12EFA"/>
    <w:rsid w:val="00D13E57"/>
    <w:rsid w:val="00D161A1"/>
    <w:rsid w:val="00D200F2"/>
    <w:rsid w:val="00D205F3"/>
    <w:rsid w:val="00D2062C"/>
    <w:rsid w:val="00D20834"/>
    <w:rsid w:val="00D20A00"/>
    <w:rsid w:val="00D216FA"/>
    <w:rsid w:val="00D22C95"/>
    <w:rsid w:val="00D22DE9"/>
    <w:rsid w:val="00D22FE6"/>
    <w:rsid w:val="00D25063"/>
    <w:rsid w:val="00D26754"/>
    <w:rsid w:val="00D31D92"/>
    <w:rsid w:val="00D33B97"/>
    <w:rsid w:val="00D404A8"/>
    <w:rsid w:val="00D422C7"/>
    <w:rsid w:val="00D43CCB"/>
    <w:rsid w:val="00D44EEC"/>
    <w:rsid w:val="00D45C28"/>
    <w:rsid w:val="00D508DA"/>
    <w:rsid w:val="00D52504"/>
    <w:rsid w:val="00D55404"/>
    <w:rsid w:val="00D57B55"/>
    <w:rsid w:val="00D616A2"/>
    <w:rsid w:val="00D628AA"/>
    <w:rsid w:val="00D62A0A"/>
    <w:rsid w:val="00D62E70"/>
    <w:rsid w:val="00D63038"/>
    <w:rsid w:val="00D665CC"/>
    <w:rsid w:val="00D667EA"/>
    <w:rsid w:val="00D66ABD"/>
    <w:rsid w:val="00D66ED2"/>
    <w:rsid w:val="00D67F89"/>
    <w:rsid w:val="00D742A4"/>
    <w:rsid w:val="00D75AAE"/>
    <w:rsid w:val="00D8245C"/>
    <w:rsid w:val="00D836D1"/>
    <w:rsid w:val="00D83B56"/>
    <w:rsid w:val="00D84845"/>
    <w:rsid w:val="00D84A96"/>
    <w:rsid w:val="00D84A9D"/>
    <w:rsid w:val="00D850DC"/>
    <w:rsid w:val="00D8572A"/>
    <w:rsid w:val="00D858C7"/>
    <w:rsid w:val="00D9160A"/>
    <w:rsid w:val="00D91963"/>
    <w:rsid w:val="00D9317F"/>
    <w:rsid w:val="00D935A6"/>
    <w:rsid w:val="00D975B2"/>
    <w:rsid w:val="00DA20DB"/>
    <w:rsid w:val="00DA5B7F"/>
    <w:rsid w:val="00DA6C95"/>
    <w:rsid w:val="00DB1AFA"/>
    <w:rsid w:val="00DB268A"/>
    <w:rsid w:val="00DB3E9A"/>
    <w:rsid w:val="00DB516E"/>
    <w:rsid w:val="00DB6435"/>
    <w:rsid w:val="00DB6AE4"/>
    <w:rsid w:val="00DB6ED9"/>
    <w:rsid w:val="00DB7905"/>
    <w:rsid w:val="00DC046E"/>
    <w:rsid w:val="00DC05D8"/>
    <w:rsid w:val="00DC0C1D"/>
    <w:rsid w:val="00DC0C9F"/>
    <w:rsid w:val="00DC17BC"/>
    <w:rsid w:val="00DC30C8"/>
    <w:rsid w:val="00DC3164"/>
    <w:rsid w:val="00DC351D"/>
    <w:rsid w:val="00DC46F5"/>
    <w:rsid w:val="00DC492E"/>
    <w:rsid w:val="00DC5B55"/>
    <w:rsid w:val="00DD325E"/>
    <w:rsid w:val="00DD6B5D"/>
    <w:rsid w:val="00DD6C5C"/>
    <w:rsid w:val="00DD780C"/>
    <w:rsid w:val="00DD7B49"/>
    <w:rsid w:val="00DE0011"/>
    <w:rsid w:val="00DE06AC"/>
    <w:rsid w:val="00DE1BB6"/>
    <w:rsid w:val="00DE2AA1"/>
    <w:rsid w:val="00DE2C3B"/>
    <w:rsid w:val="00DE2F52"/>
    <w:rsid w:val="00DE3497"/>
    <w:rsid w:val="00DE3966"/>
    <w:rsid w:val="00DE4769"/>
    <w:rsid w:val="00DE76DD"/>
    <w:rsid w:val="00DF0579"/>
    <w:rsid w:val="00DF09E2"/>
    <w:rsid w:val="00DF196F"/>
    <w:rsid w:val="00DF468C"/>
    <w:rsid w:val="00DF7545"/>
    <w:rsid w:val="00E018B3"/>
    <w:rsid w:val="00E01ACE"/>
    <w:rsid w:val="00E029EE"/>
    <w:rsid w:val="00E05181"/>
    <w:rsid w:val="00E05A6D"/>
    <w:rsid w:val="00E14211"/>
    <w:rsid w:val="00E14826"/>
    <w:rsid w:val="00E14FAD"/>
    <w:rsid w:val="00E17052"/>
    <w:rsid w:val="00E20427"/>
    <w:rsid w:val="00E227FC"/>
    <w:rsid w:val="00E22D58"/>
    <w:rsid w:val="00E25346"/>
    <w:rsid w:val="00E25741"/>
    <w:rsid w:val="00E26F21"/>
    <w:rsid w:val="00E26F68"/>
    <w:rsid w:val="00E30A51"/>
    <w:rsid w:val="00E325A1"/>
    <w:rsid w:val="00E342C4"/>
    <w:rsid w:val="00E370AE"/>
    <w:rsid w:val="00E37286"/>
    <w:rsid w:val="00E412A9"/>
    <w:rsid w:val="00E420D5"/>
    <w:rsid w:val="00E4311E"/>
    <w:rsid w:val="00E439E8"/>
    <w:rsid w:val="00E44563"/>
    <w:rsid w:val="00E45619"/>
    <w:rsid w:val="00E464C7"/>
    <w:rsid w:val="00E47E9E"/>
    <w:rsid w:val="00E51049"/>
    <w:rsid w:val="00E521AA"/>
    <w:rsid w:val="00E530BA"/>
    <w:rsid w:val="00E606BB"/>
    <w:rsid w:val="00E60B6C"/>
    <w:rsid w:val="00E6287F"/>
    <w:rsid w:val="00E6364B"/>
    <w:rsid w:val="00E6551E"/>
    <w:rsid w:val="00E65EAE"/>
    <w:rsid w:val="00E701E1"/>
    <w:rsid w:val="00E71404"/>
    <w:rsid w:val="00E71A17"/>
    <w:rsid w:val="00E7231F"/>
    <w:rsid w:val="00E73263"/>
    <w:rsid w:val="00E73FDD"/>
    <w:rsid w:val="00E74A0A"/>
    <w:rsid w:val="00E750F6"/>
    <w:rsid w:val="00E754D2"/>
    <w:rsid w:val="00E76191"/>
    <w:rsid w:val="00E8092E"/>
    <w:rsid w:val="00E843E1"/>
    <w:rsid w:val="00E84823"/>
    <w:rsid w:val="00E876AC"/>
    <w:rsid w:val="00E94637"/>
    <w:rsid w:val="00E95E10"/>
    <w:rsid w:val="00E9742B"/>
    <w:rsid w:val="00E97BD4"/>
    <w:rsid w:val="00EA03DD"/>
    <w:rsid w:val="00EA0A1E"/>
    <w:rsid w:val="00EA2879"/>
    <w:rsid w:val="00EA4F73"/>
    <w:rsid w:val="00EA51CF"/>
    <w:rsid w:val="00EA5922"/>
    <w:rsid w:val="00EA5ACE"/>
    <w:rsid w:val="00EA5FD2"/>
    <w:rsid w:val="00EA7A15"/>
    <w:rsid w:val="00EB0C6D"/>
    <w:rsid w:val="00EB120F"/>
    <w:rsid w:val="00EB188B"/>
    <w:rsid w:val="00EB1C07"/>
    <w:rsid w:val="00EB38EA"/>
    <w:rsid w:val="00EC1688"/>
    <w:rsid w:val="00EC16D7"/>
    <w:rsid w:val="00EC1B91"/>
    <w:rsid w:val="00EC3179"/>
    <w:rsid w:val="00EC4971"/>
    <w:rsid w:val="00EC66BE"/>
    <w:rsid w:val="00EC76A7"/>
    <w:rsid w:val="00EC797D"/>
    <w:rsid w:val="00EC7BD3"/>
    <w:rsid w:val="00ED0140"/>
    <w:rsid w:val="00ED1495"/>
    <w:rsid w:val="00ED2192"/>
    <w:rsid w:val="00ED36E4"/>
    <w:rsid w:val="00ED4587"/>
    <w:rsid w:val="00ED562C"/>
    <w:rsid w:val="00EE2A02"/>
    <w:rsid w:val="00EE5352"/>
    <w:rsid w:val="00EE6B38"/>
    <w:rsid w:val="00EE6B3B"/>
    <w:rsid w:val="00EE6BD1"/>
    <w:rsid w:val="00EE7B87"/>
    <w:rsid w:val="00EF066D"/>
    <w:rsid w:val="00EF1053"/>
    <w:rsid w:val="00EF2A8C"/>
    <w:rsid w:val="00EF385A"/>
    <w:rsid w:val="00EF3A8C"/>
    <w:rsid w:val="00EF5886"/>
    <w:rsid w:val="00EF67F4"/>
    <w:rsid w:val="00EF6C7A"/>
    <w:rsid w:val="00EF7AB7"/>
    <w:rsid w:val="00F0139B"/>
    <w:rsid w:val="00F01804"/>
    <w:rsid w:val="00F03153"/>
    <w:rsid w:val="00F03AD7"/>
    <w:rsid w:val="00F04578"/>
    <w:rsid w:val="00F05A9B"/>
    <w:rsid w:val="00F063B9"/>
    <w:rsid w:val="00F07576"/>
    <w:rsid w:val="00F07953"/>
    <w:rsid w:val="00F1119C"/>
    <w:rsid w:val="00F11CEE"/>
    <w:rsid w:val="00F1292E"/>
    <w:rsid w:val="00F139BD"/>
    <w:rsid w:val="00F148D5"/>
    <w:rsid w:val="00F150F9"/>
    <w:rsid w:val="00F162F5"/>
    <w:rsid w:val="00F165CB"/>
    <w:rsid w:val="00F16C00"/>
    <w:rsid w:val="00F1761F"/>
    <w:rsid w:val="00F17646"/>
    <w:rsid w:val="00F214CF"/>
    <w:rsid w:val="00F22C23"/>
    <w:rsid w:val="00F236C7"/>
    <w:rsid w:val="00F242B3"/>
    <w:rsid w:val="00F24C1E"/>
    <w:rsid w:val="00F25C27"/>
    <w:rsid w:val="00F26268"/>
    <w:rsid w:val="00F27749"/>
    <w:rsid w:val="00F27A23"/>
    <w:rsid w:val="00F30B63"/>
    <w:rsid w:val="00F30C71"/>
    <w:rsid w:val="00F32DFA"/>
    <w:rsid w:val="00F33DCC"/>
    <w:rsid w:val="00F409D0"/>
    <w:rsid w:val="00F40A4F"/>
    <w:rsid w:val="00F41009"/>
    <w:rsid w:val="00F41513"/>
    <w:rsid w:val="00F44213"/>
    <w:rsid w:val="00F4496A"/>
    <w:rsid w:val="00F45E77"/>
    <w:rsid w:val="00F46781"/>
    <w:rsid w:val="00F50167"/>
    <w:rsid w:val="00F50305"/>
    <w:rsid w:val="00F50DD6"/>
    <w:rsid w:val="00F51538"/>
    <w:rsid w:val="00F51AC6"/>
    <w:rsid w:val="00F5344B"/>
    <w:rsid w:val="00F545FD"/>
    <w:rsid w:val="00F56244"/>
    <w:rsid w:val="00F57A33"/>
    <w:rsid w:val="00F60ECE"/>
    <w:rsid w:val="00F628DA"/>
    <w:rsid w:val="00F63CB3"/>
    <w:rsid w:val="00F659CC"/>
    <w:rsid w:val="00F65A44"/>
    <w:rsid w:val="00F65B87"/>
    <w:rsid w:val="00F66C6C"/>
    <w:rsid w:val="00F66CF9"/>
    <w:rsid w:val="00F675AF"/>
    <w:rsid w:val="00F70CFA"/>
    <w:rsid w:val="00F71AB2"/>
    <w:rsid w:val="00F72427"/>
    <w:rsid w:val="00F7277B"/>
    <w:rsid w:val="00F74DAC"/>
    <w:rsid w:val="00F7507C"/>
    <w:rsid w:val="00F75859"/>
    <w:rsid w:val="00F7589E"/>
    <w:rsid w:val="00F7631C"/>
    <w:rsid w:val="00F7796B"/>
    <w:rsid w:val="00F8062A"/>
    <w:rsid w:val="00F81A8C"/>
    <w:rsid w:val="00F82658"/>
    <w:rsid w:val="00F82C30"/>
    <w:rsid w:val="00F85BA8"/>
    <w:rsid w:val="00F86D21"/>
    <w:rsid w:val="00F926FA"/>
    <w:rsid w:val="00F93E35"/>
    <w:rsid w:val="00F944D4"/>
    <w:rsid w:val="00F948E7"/>
    <w:rsid w:val="00F961FB"/>
    <w:rsid w:val="00F962CE"/>
    <w:rsid w:val="00FA072C"/>
    <w:rsid w:val="00FA0D3B"/>
    <w:rsid w:val="00FA153F"/>
    <w:rsid w:val="00FA2FB0"/>
    <w:rsid w:val="00FA3379"/>
    <w:rsid w:val="00FA6723"/>
    <w:rsid w:val="00FB20DA"/>
    <w:rsid w:val="00FB2D86"/>
    <w:rsid w:val="00FB2E15"/>
    <w:rsid w:val="00FB308E"/>
    <w:rsid w:val="00FB3C69"/>
    <w:rsid w:val="00FB4B8A"/>
    <w:rsid w:val="00FB5B8E"/>
    <w:rsid w:val="00FB7FDD"/>
    <w:rsid w:val="00FC159A"/>
    <w:rsid w:val="00FC31B1"/>
    <w:rsid w:val="00FC43F2"/>
    <w:rsid w:val="00FC4CA6"/>
    <w:rsid w:val="00FC5D62"/>
    <w:rsid w:val="00FC7081"/>
    <w:rsid w:val="00FD06E9"/>
    <w:rsid w:val="00FD0A62"/>
    <w:rsid w:val="00FD163B"/>
    <w:rsid w:val="00FD2417"/>
    <w:rsid w:val="00FD2C50"/>
    <w:rsid w:val="00FD431B"/>
    <w:rsid w:val="00FD4AA0"/>
    <w:rsid w:val="00FD5019"/>
    <w:rsid w:val="00FD7858"/>
    <w:rsid w:val="00FE2400"/>
    <w:rsid w:val="00FE3122"/>
    <w:rsid w:val="00FE3CBB"/>
    <w:rsid w:val="00FE3ECE"/>
    <w:rsid w:val="00FE3FAE"/>
    <w:rsid w:val="00FE68A3"/>
    <w:rsid w:val="00FE743A"/>
    <w:rsid w:val="00FE7DC8"/>
    <w:rsid w:val="00FF068B"/>
    <w:rsid w:val="00FF178A"/>
    <w:rsid w:val="00FF1C40"/>
    <w:rsid w:val="00FF29A7"/>
    <w:rsid w:val="00FF2EAC"/>
    <w:rsid w:val="00FF2F0D"/>
    <w:rsid w:val="00FF3E9A"/>
    <w:rsid w:val="00FF4C69"/>
    <w:rsid w:val="00FF619B"/>
    <w:rsid w:val="00FF675D"/>
    <w:rsid w:val="01087E66"/>
    <w:rsid w:val="011804CA"/>
    <w:rsid w:val="0192AD6E"/>
    <w:rsid w:val="02581B35"/>
    <w:rsid w:val="02BCABCC"/>
    <w:rsid w:val="02D57EEA"/>
    <w:rsid w:val="030737D0"/>
    <w:rsid w:val="0336CFFC"/>
    <w:rsid w:val="04257529"/>
    <w:rsid w:val="043C1CE1"/>
    <w:rsid w:val="04672EBF"/>
    <w:rsid w:val="04E158B7"/>
    <w:rsid w:val="0501B362"/>
    <w:rsid w:val="0517B396"/>
    <w:rsid w:val="054143EB"/>
    <w:rsid w:val="0550F61F"/>
    <w:rsid w:val="059707EE"/>
    <w:rsid w:val="05DA9323"/>
    <w:rsid w:val="067EAF76"/>
    <w:rsid w:val="06A5B8AB"/>
    <w:rsid w:val="06D974C3"/>
    <w:rsid w:val="06E2600E"/>
    <w:rsid w:val="078510A7"/>
    <w:rsid w:val="07967B52"/>
    <w:rsid w:val="07A19A9E"/>
    <w:rsid w:val="083612AE"/>
    <w:rsid w:val="08DBACB0"/>
    <w:rsid w:val="08E4997C"/>
    <w:rsid w:val="09F81006"/>
    <w:rsid w:val="09FFC427"/>
    <w:rsid w:val="0A8740F7"/>
    <w:rsid w:val="0AD11C60"/>
    <w:rsid w:val="0AF07EAD"/>
    <w:rsid w:val="0B29B844"/>
    <w:rsid w:val="0B3DB3A0"/>
    <w:rsid w:val="0B69799C"/>
    <w:rsid w:val="0BBD0E17"/>
    <w:rsid w:val="0C037688"/>
    <w:rsid w:val="0C0E0D43"/>
    <w:rsid w:val="0C1D08FB"/>
    <w:rsid w:val="0C68D290"/>
    <w:rsid w:val="0C906926"/>
    <w:rsid w:val="0C9BFCC9"/>
    <w:rsid w:val="0CE1E027"/>
    <w:rsid w:val="0D130F2A"/>
    <w:rsid w:val="0D366BC7"/>
    <w:rsid w:val="0D7B296A"/>
    <w:rsid w:val="0E316727"/>
    <w:rsid w:val="0E56B703"/>
    <w:rsid w:val="0F2AC5D4"/>
    <w:rsid w:val="0FACACDF"/>
    <w:rsid w:val="102CAC07"/>
    <w:rsid w:val="10D2FEA0"/>
    <w:rsid w:val="10EC0ED0"/>
    <w:rsid w:val="1124BE9D"/>
    <w:rsid w:val="11682004"/>
    <w:rsid w:val="122D49B8"/>
    <w:rsid w:val="1258F60B"/>
    <w:rsid w:val="1285F18B"/>
    <w:rsid w:val="12C13018"/>
    <w:rsid w:val="12E2BA0A"/>
    <w:rsid w:val="14BCF539"/>
    <w:rsid w:val="15C04941"/>
    <w:rsid w:val="15F3D8AC"/>
    <w:rsid w:val="15F700D0"/>
    <w:rsid w:val="17562FED"/>
    <w:rsid w:val="17C1CD6C"/>
    <w:rsid w:val="17C45E1D"/>
    <w:rsid w:val="18005959"/>
    <w:rsid w:val="1851181F"/>
    <w:rsid w:val="191FBD81"/>
    <w:rsid w:val="194FBAF3"/>
    <w:rsid w:val="19578B34"/>
    <w:rsid w:val="19DD4467"/>
    <w:rsid w:val="1ADBD408"/>
    <w:rsid w:val="1B4CFB0E"/>
    <w:rsid w:val="1B540A3B"/>
    <w:rsid w:val="1C3337B9"/>
    <w:rsid w:val="1C662C29"/>
    <w:rsid w:val="1CFD8BA0"/>
    <w:rsid w:val="1D70FB7B"/>
    <w:rsid w:val="1D967738"/>
    <w:rsid w:val="1E4BC8E2"/>
    <w:rsid w:val="1E554E2D"/>
    <w:rsid w:val="1E57EA85"/>
    <w:rsid w:val="1F1357A1"/>
    <w:rsid w:val="1FDBE5E9"/>
    <w:rsid w:val="2068CF52"/>
    <w:rsid w:val="2072C5D2"/>
    <w:rsid w:val="20A79D21"/>
    <w:rsid w:val="20C8A259"/>
    <w:rsid w:val="20CDEBBD"/>
    <w:rsid w:val="21C93694"/>
    <w:rsid w:val="22C612E7"/>
    <w:rsid w:val="23858FDF"/>
    <w:rsid w:val="23BBA6DA"/>
    <w:rsid w:val="2478941C"/>
    <w:rsid w:val="24E1C480"/>
    <w:rsid w:val="25219DA9"/>
    <w:rsid w:val="2528ADE2"/>
    <w:rsid w:val="25651DA7"/>
    <w:rsid w:val="25925690"/>
    <w:rsid w:val="25A58436"/>
    <w:rsid w:val="25C2119A"/>
    <w:rsid w:val="25ED4B98"/>
    <w:rsid w:val="263D5B58"/>
    <w:rsid w:val="267EB7E2"/>
    <w:rsid w:val="2693F1C5"/>
    <w:rsid w:val="269F9AF4"/>
    <w:rsid w:val="26BD6075"/>
    <w:rsid w:val="28586219"/>
    <w:rsid w:val="298708D5"/>
    <w:rsid w:val="29B1DBA4"/>
    <w:rsid w:val="29B45BED"/>
    <w:rsid w:val="29DB315B"/>
    <w:rsid w:val="2A0B41D1"/>
    <w:rsid w:val="2A1C32A5"/>
    <w:rsid w:val="2A86E694"/>
    <w:rsid w:val="2B260064"/>
    <w:rsid w:val="2BCC55FA"/>
    <w:rsid w:val="2BDB6321"/>
    <w:rsid w:val="2BE6A0B9"/>
    <w:rsid w:val="2C462462"/>
    <w:rsid w:val="2C8A5904"/>
    <w:rsid w:val="2D098C3D"/>
    <w:rsid w:val="2D648C52"/>
    <w:rsid w:val="2D6CC7F8"/>
    <w:rsid w:val="2D70944C"/>
    <w:rsid w:val="2DCCF5AD"/>
    <w:rsid w:val="2E316FEF"/>
    <w:rsid w:val="2E7BBC42"/>
    <w:rsid w:val="2E87AA4B"/>
    <w:rsid w:val="2EB5CD45"/>
    <w:rsid w:val="2FCE3C6F"/>
    <w:rsid w:val="302F6643"/>
    <w:rsid w:val="3095E0BA"/>
    <w:rsid w:val="30EC6D2E"/>
    <w:rsid w:val="30F319B6"/>
    <w:rsid w:val="31372397"/>
    <w:rsid w:val="3171E9C4"/>
    <w:rsid w:val="31AB0B47"/>
    <w:rsid w:val="31E2BFD7"/>
    <w:rsid w:val="3272528B"/>
    <w:rsid w:val="32DA490B"/>
    <w:rsid w:val="32F7D420"/>
    <w:rsid w:val="333BB6C3"/>
    <w:rsid w:val="3397BAC1"/>
    <w:rsid w:val="33D0320E"/>
    <w:rsid w:val="3415F3CC"/>
    <w:rsid w:val="34C9CF8C"/>
    <w:rsid w:val="34D39BD1"/>
    <w:rsid w:val="34F7F583"/>
    <w:rsid w:val="35FF4D91"/>
    <w:rsid w:val="36E42A9B"/>
    <w:rsid w:val="37120796"/>
    <w:rsid w:val="3720CF5D"/>
    <w:rsid w:val="37262C32"/>
    <w:rsid w:val="3761262B"/>
    <w:rsid w:val="37D802BE"/>
    <w:rsid w:val="38632E9D"/>
    <w:rsid w:val="38643851"/>
    <w:rsid w:val="38F4EC60"/>
    <w:rsid w:val="39449FF6"/>
    <w:rsid w:val="397B6B0F"/>
    <w:rsid w:val="398EA8BC"/>
    <w:rsid w:val="3995A6BD"/>
    <w:rsid w:val="39C1F298"/>
    <w:rsid w:val="39F83E66"/>
    <w:rsid w:val="3B2529DD"/>
    <w:rsid w:val="3C0FC5C2"/>
    <w:rsid w:val="3C2459F9"/>
    <w:rsid w:val="3CA85655"/>
    <w:rsid w:val="3CB30EF8"/>
    <w:rsid w:val="3CC595BC"/>
    <w:rsid w:val="3CDB1125"/>
    <w:rsid w:val="3CE276F4"/>
    <w:rsid w:val="3D64678B"/>
    <w:rsid w:val="3DD84BA4"/>
    <w:rsid w:val="3E1120AD"/>
    <w:rsid w:val="3E1BA881"/>
    <w:rsid w:val="3E655794"/>
    <w:rsid w:val="3E8E639F"/>
    <w:rsid w:val="3E96C57C"/>
    <w:rsid w:val="3EC6CF88"/>
    <w:rsid w:val="3F3D5780"/>
    <w:rsid w:val="3F55EA67"/>
    <w:rsid w:val="3F929ABC"/>
    <w:rsid w:val="400555DA"/>
    <w:rsid w:val="40666927"/>
    <w:rsid w:val="4080830B"/>
    <w:rsid w:val="413677E5"/>
    <w:rsid w:val="414C67E8"/>
    <w:rsid w:val="41A517B2"/>
    <w:rsid w:val="41D85F30"/>
    <w:rsid w:val="42C633DC"/>
    <w:rsid w:val="42D10F44"/>
    <w:rsid w:val="431674EC"/>
    <w:rsid w:val="432A14A4"/>
    <w:rsid w:val="43E9A741"/>
    <w:rsid w:val="447D286F"/>
    <w:rsid w:val="448B5BBB"/>
    <w:rsid w:val="44D1ED6C"/>
    <w:rsid w:val="44F07EA1"/>
    <w:rsid w:val="44FFA002"/>
    <w:rsid w:val="451A10F8"/>
    <w:rsid w:val="45640DAA"/>
    <w:rsid w:val="45F25941"/>
    <w:rsid w:val="46111144"/>
    <w:rsid w:val="4612FEEA"/>
    <w:rsid w:val="46B53AD0"/>
    <w:rsid w:val="48352AEA"/>
    <w:rsid w:val="485CB662"/>
    <w:rsid w:val="486F82CE"/>
    <w:rsid w:val="48773D83"/>
    <w:rsid w:val="48DC47E0"/>
    <w:rsid w:val="48FDF49C"/>
    <w:rsid w:val="4924F73D"/>
    <w:rsid w:val="492AF21E"/>
    <w:rsid w:val="4941E8D8"/>
    <w:rsid w:val="49BC9946"/>
    <w:rsid w:val="4A60B311"/>
    <w:rsid w:val="4A8017BC"/>
    <w:rsid w:val="4B30F5A7"/>
    <w:rsid w:val="4B7BB10F"/>
    <w:rsid w:val="4B8DB956"/>
    <w:rsid w:val="4B9749DB"/>
    <w:rsid w:val="4BF6FE64"/>
    <w:rsid w:val="4C007F81"/>
    <w:rsid w:val="4C086A0A"/>
    <w:rsid w:val="4C3BBB81"/>
    <w:rsid w:val="4CFB6DA8"/>
    <w:rsid w:val="4DC716DB"/>
    <w:rsid w:val="4E3C0921"/>
    <w:rsid w:val="4E9D8373"/>
    <w:rsid w:val="4ECF698C"/>
    <w:rsid w:val="5014A8A9"/>
    <w:rsid w:val="504903AA"/>
    <w:rsid w:val="50BB9A87"/>
    <w:rsid w:val="50C4AE0B"/>
    <w:rsid w:val="50DAAC3D"/>
    <w:rsid w:val="510E9195"/>
    <w:rsid w:val="515AE92A"/>
    <w:rsid w:val="5179ABC5"/>
    <w:rsid w:val="51995454"/>
    <w:rsid w:val="51EFAB56"/>
    <w:rsid w:val="51F6D3BC"/>
    <w:rsid w:val="523190A3"/>
    <w:rsid w:val="5266027F"/>
    <w:rsid w:val="529D8064"/>
    <w:rsid w:val="52D710FC"/>
    <w:rsid w:val="5365D348"/>
    <w:rsid w:val="538CED39"/>
    <w:rsid w:val="53EB8094"/>
    <w:rsid w:val="542F65D8"/>
    <w:rsid w:val="559D7A01"/>
    <w:rsid w:val="55D88296"/>
    <w:rsid w:val="565D58FF"/>
    <w:rsid w:val="56A86C18"/>
    <w:rsid w:val="56BFC27A"/>
    <w:rsid w:val="56C6C07B"/>
    <w:rsid w:val="57010858"/>
    <w:rsid w:val="57E288C2"/>
    <w:rsid w:val="57EA8B78"/>
    <w:rsid w:val="5844988A"/>
    <w:rsid w:val="587D81CD"/>
    <w:rsid w:val="58A26562"/>
    <w:rsid w:val="58E35BE2"/>
    <w:rsid w:val="5989E50D"/>
    <w:rsid w:val="598F8665"/>
    <w:rsid w:val="59C5D031"/>
    <w:rsid w:val="5A4AD89F"/>
    <w:rsid w:val="5AD56FFE"/>
    <w:rsid w:val="5BD6E86E"/>
    <w:rsid w:val="5C23E23D"/>
    <w:rsid w:val="5C2A8A7E"/>
    <w:rsid w:val="5C41FFA1"/>
    <w:rsid w:val="5D26B1D1"/>
    <w:rsid w:val="5D565534"/>
    <w:rsid w:val="5D8B6A77"/>
    <w:rsid w:val="5D92EB5A"/>
    <w:rsid w:val="5D9BB126"/>
    <w:rsid w:val="5DB03B08"/>
    <w:rsid w:val="5E3DF426"/>
    <w:rsid w:val="5E49CAB7"/>
    <w:rsid w:val="5EA42FD1"/>
    <w:rsid w:val="5EBC713F"/>
    <w:rsid w:val="5EC0E201"/>
    <w:rsid w:val="5EC4562F"/>
    <w:rsid w:val="5EF4C03F"/>
    <w:rsid w:val="5EF73D66"/>
    <w:rsid w:val="5F5C2DD7"/>
    <w:rsid w:val="5FD8ABC2"/>
    <w:rsid w:val="5FF3FC8D"/>
    <w:rsid w:val="60156D2A"/>
    <w:rsid w:val="6036B4E3"/>
    <w:rsid w:val="60517B6F"/>
    <w:rsid w:val="608AEB6E"/>
    <w:rsid w:val="60961552"/>
    <w:rsid w:val="60E73124"/>
    <w:rsid w:val="615B3E96"/>
    <w:rsid w:val="6207A5B9"/>
    <w:rsid w:val="62A95F32"/>
    <w:rsid w:val="62CD6308"/>
    <w:rsid w:val="63537273"/>
    <w:rsid w:val="63B5EF78"/>
    <w:rsid w:val="640A206A"/>
    <w:rsid w:val="641D1212"/>
    <w:rsid w:val="649A0295"/>
    <w:rsid w:val="64E1E670"/>
    <w:rsid w:val="6506BF6D"/>
    <w:rsid w:val="650AC115"/>
    <w:rsid w:val="6518B1E0"/>
    <w:rsid w:val="65CF1E94"/>
    <w:rsid w:val="663948A0"/>
    <w:rsid w:val="6679D85E"/>
    <w:rsid w:val="678FC601"/>
    <w:rsid w:val="67BA36CA"/>
    <w:rsid w:val="67D066D2"/>
    <w:rsid w:val="6839749B"/>
    <w:rsid w:val="684E8241"/>
    <w:rsid w:val="69141258"/>
    <w:rsid w:val="6921EF02"/>
    <w:rsid w:val="69271397"/>
    <w:rsid w:val="6969A998"/>
    <w:rsid w:val="6988F8FA"/>
    <w:rsid w:val="69FA55F3"/>
    <w:rsid w:val="6A6D1F45"/>
    <w:rsid w:val="6A7BD25D"/>
    <w:rsid w:val="6A7F16D0"/>
    <w:rsid w:val="6BDDDCCD"/>
    <w:rsid w:val="6BF81976"/>
    <w:rsid w:val="6C121C4A"/>
    <w:rsid w:val="6C81CD12"/>
    <w:rsid w:val="6C9ADC1D"/>
    <w:rsid w:val="6D1F0109"/>
    <w:rsid w:val="6D6352EB"/>
    <w:rsid w:val="6D85341E"/>
    <w:rsid w:val="6D869F7C"/>
    <w:rsid w:val="6DBA0E94"/>
    <w:rsid w:val="6E38BAE7"/>
    <w:rsid w:val="6E3EE9A0"/>
    <w:rsid w:val="6E4D4ABE"/>
    <w:rsid w:val="6F5F72E4"/>
    <w:rsid w:val="6F9B0FE0"/>
    <w:rsid w:val="6FEDE07C"/>
    <w:rsid w:val="701EBFC5"/>
    <w:rsid w:val="70C82298"/>
    <w:rsid w:val="70EE2583"/>
    <w:rsid w:val="71465D1C"/>
    <w:rsid w:val="715EE595"/>
    <w:rsid w:val="716F2FE0"/>
    <w:rsid w:val="71C7B760"/>
    <w:rsid w:val="71D322B1"/>
    <w:rsid w:val="7235951E"/>
    <w:rsid w:val="73220CF7"/>
    <w:rsid w:val="746CB370"/>
    <w:rsid w:val="74EEE699"/>
    <w:rsid w:val="750C1CC8"/>
    <w:rsid w:val="75664574"/>
    <w:rsid w:val="758DF0B9"/>
    <w:rsid w:val="75A7B08E"/>
    <w:rsid w:val="764C2991"/>
    <w:rsid w:val="76C5D7BC"/>
    <w:rsid w:val="775EEB8D"/>
    <w:rsid w:val="77BD5CEC"/>
    <w:rsid w:val="7814C2A1"/>
    <w:rsid w:val="783B2EEF"/>
    <w:rsid w:val="785480FC"/>
    <w:rsid w:val="78B1B3C0"/>
    <w:rsid w:val="78B3B494"/>
    <w:rsid w:val="7A3095AD"/>
    <w:rsid w:val="7AED0FB8"/>
    <w:rsid w:val="7B07CBAC"/>
    <w:rsid w:val="7B863597"/>
    <w:rsid w:val="7B87B3F9"/>
    <w:rsid w:val="7C4BB442"/>
    <w:rsid w:val="7DF55D84"/>
    <w:rsid w:val="7E3A6006"/>
    <w:rsid w:val="7E90EAE0"/>
    <w:rsid w:val="7EBD8CAD"/>
    <w:rsid w:val="7ECC5941"/>
    <w:rsid w:val="7F0F2521"/>
    <w:rsid w:val="7FCEE768"/>
    <w:rsid w:val="7FEED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4:docId w14:val="386FFC58"/>
  <w15:docId w15:val="{83E3D3B1-A79D-4716-BBD0-375EE1A0B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61"/>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5D0"/>
    <w:pPr>
      <w:spacing w:before="180" w:after="180" w:line="360" w:lineRule="auto"/>
    </w:pPr>
    <w:rPr>
      <w:rFonts w:ascii="Calibri" w:hAnsi="Calibri" w:cs="Calibri"/>
      <w:sz w:val="24"/>
      <w:szCs w:val="24"/>
    </w:rPr>
  </w:style>
  <w:style w:type="paragraph" w:styleId="Heading1">
    <w:name w:val="heading 1"/>
    <w:basedOn w:val="Normal"/>
    <w:next w:val="Normal"/>
    <w:link w:val="Heading1Char"/>
    <w:qFormat/>
    <w:rsid w:val="0078015E"/>
    <w:pPr>
      <w:keepNext/>
      <w:numPr>
        <w:numId w:val="15"/>
      </w:numPr>
      <w:spacing w:before="240" w:after="60"/>
      <w:outlineLvl w:val="0"/>
    </w:pPr>
    <w:rPr>
      <w:rFonts w:asciiTheme="minorHAnsi" w:eastAsia="PMingLiU" w:hAnsiTheme="minorHAnsi"/>
      <w:b/>
      <w:bCs/>
      <w:color w:val="034E6E" w:themeColor="accent1"/>
      <w:kern w:val="32"/>
      <w:sz w:val="36"/>
      <w:szCs w:val="32"/>
      <w:lang w:val="x-none"/>
    </w:rPr>
  </w:style>
  <w:style w:type="paragraph" w:styleId="Heading2">
    <w:name w:val="heading 2"/>
    <w:basedOn w:val="Normal"/>
    <w:next w:val="Normal"/>
    <w:link w:val="Heading2Char"/>
    <w:qFormat/>
    <w:rsid w:val="0078015E"/>
    <w:pPr>
      <w:keepNext/>
      <w:numPr>
        <w:ilvl w:val="1"/>
        <w:numId w:val="15"/>
      </w:numPr>
      <w:pBdr>
        <w:bottom w:val="single" w:sz="4" w:space="1" w:color="034E6E" w:themeColor="accent1"/>
      </w:pBdr>
      <w:spacing w:before="240" w:after="120" w:line="240" w:lineRule="auto"/>
      <w:outlineLvl w:val="1"/>
    </w:pPr>
    <w:rPr>
      <w:rFonts w:asciiTheme="minorHAnsi" w:eastAsia="PMingLiU" w:hAnsiTheme="minorHAnsi" w:cs="Times New Roman"/>
      <w:b/>
      <w:bCs/>
      <w:iCs/>
      <w:color w:val="034E6E" w:themeColor="accent1"/>
      <w:sz w:val="28"/>
      <w:szCs w:val="28"/>
    </w:rPr>
  </w:style>
  <w:style w:type="paragraph" w:styleId="Heading3">
    <w:name w:val="heading 3"/>
    <w:basedOn w:val="Normal"/>
    <w:next w:val="Normal"/>
    <w:link w:val="Heading3Char"/>
    <w:qFormat/>
    <w:rsid w:val="00EF7AB7"/>
    <w:pPr>
      <w:keepNext/>
      <w:numPr>
        <w:ilvl w:val="2"/>
        <w:numId w:val="15"/>
      </w:numPr>
      <w:spacing w:before="240" w:after="0" w:line="240" w:lineRule="auto"/>
      <w:outlineLvl w:val="2"/>
    </w:pPr>
    <w:rPr>
      <w:rFonts w:ascii="Cambria" w:eastAsia="PMingLiU" w:hAnsi="Cambria" w:cs="Times New Roman"/>
      <w:b/>
      <w:bCs/>
      <w:sz w:val="26"/>
      <w:szCs w:val="26"/>
    </w:rPr>
  </w:style>
  <w:style w:type="paragraph" w:styleId="Heading4">
    <w:name w:val="heading 4"/>
    <w:basedOn w:val="Normal"/>
    <w:next w:val="Normal"/>
    <w:link w:val="Heading4Char"/>
    <w:qFormat/>
    <w:rsid w:val="00831D40"/>
    <w:pPr>
      <w:keepNext/>
      <w:numPr>
        <w:ilvl w:val="3"/>
        <w:numId w:val="15"/>
      </w:numPr>
      <w:spacing w:before="240" w:after="60"/>
      <w:outlineLvl w:val="3"/>
    </w:pPr>
    <w:rPr>
      <w:rFonts w:eastAsia="PMingLiU" w:cs="Times New Roman"/>
      <w:b/>
      <w:bCs/>
      <w:sz w:val="28"/>
      <w:szCs w:val="28"/>
    </w:rPr>
  </w:style>
  <w:style w:type="paragraph" w:styleId="Heading5">
    <w:name w:val="heading 5"/>
    <w:basedOn w:val="Normal"/>
    <w:next w:val="Normal"/>
    <w:link w:val="Heading5Char"/>
    <w:uiPriority w:val="9"/>
    <w:semiHidden/>
    <w:unhideWhenUsed/>
    <w:qFormat/>
    <w:rsid w:val="00FF29A7"/>
    <w:pPr>
      <w:keepNext/>
      <w:keepLines/>
      <w:numPr>
        <w:ilvl w:val="4"/>
        <w:numId w:val="15"/>
      </w:numPr>
      <w:spacing w:before="40" w:after="0"/>
      <w:outlineLvl w:val="4"/>
    </w:pPr>
    <w:rPr>
      <w:rFonts w:asciiTheme="majorHAnsi" w:eastAsiaTheme="majorEastAsia" w:hAnsiTheme="majorHAnsi" w:cstheme="majorBidi"/>
      <w:color w:val="023952" w:themeColor="accent1" w:themeShade="BF"/>
    </w:rPr>
  </w:style>
  <w:style w:type="paragraph" w:styleId="Heading6">
    <w:name w:val="heading 6"/>
    <w:basedOn w:val="Normal"/>
    <w:next w:val="Normal"/>
    <w:link w:val="Heading6Char"/>
    <w:uiPriority w:val="9"/>
    <w:semiHidden/>
    <w:unhideWhenUsed/>
    <w:qFormat/>
    <w:rsid w:val="00FF29A7"/>
    <w:pPr>
      <w:keepNext/>
      <w:keepLines/>
      <w:numPr>
        <w:ilvl w:val="5"/>
        <w:numId w:val="15"/>
      </w:numPr>
      <w:spacing w:before="40" w:after="0"/>
      <w:outlineLvl w:val="5"/>
    </w:pPr>
    <w:rPr>
      <w:rFonts w:asciiTheme="majorHAnsi" w:eastAsiaTheme="majorEastAsia" w:hAnsiTheme="majorHAnsi" w:cstheme="majorBidi"/>
      <w:color w:val="012636" w:themeColor="accent1" w:themeShade="7F"/>
    </w:rPr>
  </w:style>
  <w:style w:type="paragraph" w:styleId="Heading7">
    <w:name w:val="heading 7"/>
    <w:basedOn w:val="Normal"/>
    <w:next w:val="Normal"/>
    <w:link w:val="Heading7Char"/>
    <w:uiPriority w:val="9"/>
    <w:semiHidden/>
    <w:unhideWhenUsed/>
    <w:qFormat/>
    <w:rsid w:val="00FF29A7"/>
    <w:pPr>
      <w:keepNext/>
      <w:keepLines/>
      <w:numPr>
        <w:ilvl w:val="6"/>
        <w:numId w:val="15"/>
      </w:numPr>
      <w:spacing w:before="40" w:after="0"/>
      <w:outlineLvl w:val="6"/>
    </w:pPr>
    <w:rPr>
      <w:rFonts w:asciiTheme="majorHAnsi" w:eastAsiaTheme="majorEastAsia" w:hAnsiTheme="majorHAnsi" w:cstheme="majorBidi"/>
      <w:i/>
      <w:iCs/>
      <w:color w:val="012636" w:themeColor="accent1" w:themeShade="7F"/>
    </w:rPr>
  </w:style>
  <w:style w:type="paragraph" w:styleId="Heading8">
    <w:name w:val="heading 8"/>
    <w:basedOn w:val="Normal"/>
    <w:next w:val="Normal"/>
    <w:link w:val="Heading8Char"/>
    <w:uiPriority w:val="9"/>
    <w:semiHidden/>
    <w:unhideWhenUsed/>
    <w:qFormat/>
    <w:rsid w:val="00FF29A7"/>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F29A7"/>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Footnote Text1 Char,Footnote Text Char Ch,E3 Footnote Text"/>
    <w:basedOn w:val="Normal"/>
    <w:link w:val="FootnoteTextChar1"/>
    <w:semiHidden/>
    <w:qFormat/>
    <w:rsid w:val="00FF16DA"/>
    <w:rPr>
      <w:sz w:val="20"/>
      <w:szCs w:val="20"/>
    </w:rPr>
  </w:style>
  <w:style w:type="character" w:styleId="FootnoteReference">
    <w:name w:val="footnote reference"/>
    <w:aliases w:val="o"/>
    <w:semiHidden/>
    <w:rsid w:val="00FF16DA"/>
    <w:rPr>
      <w:vertAlign w:val="superscript"/>
    </w:rPr>
  </w:style>
  <w:style w:type="paragraph" w:styleId="Header">
    <w:name w:val="header"/>
    <w:basedOn w:val="Normal"/>
    <w:rsid w:val="006E7963"/>
    <w:pPr>
      <w:tabs>
        <w:tab w:val="center" w:pos="4320"/>
        <w:tab w:val="right" w:pos="8640"/>
      </w:tabs>
    </w:pPr>
  </w:style>
  <w:style w:type="paragraph" w:styleId="Footer">
    <w:name w:val="footer"/>
    <w:basedOn w:val="Normal"/>
    <w:link w:val="FooterChar"/>
    <w:uiPriority w:val="99"/>
    <w:rsid w:val="006E7963"/>
    <w:pPr>
      <w:tabs>
        <w:tab w:val="center" w:pos="4320"/>
        <w:tab w:val="right" w:pos="8640"/>
      </w:tabs>
    </w:pPr>
  </w:style>
  <w:style w:type="paragraph" w:styleId="BalloonText">
    <w:name w:val="Balloon Text"/>
    <w:basedOn w:val="Normal"/>
    <w:semiHidden/>
    <w:rsid w:val="00C61722"/>
    <w:rPr>
      <w:rFonts w:ascii="Tahoma" w:hAnsi="Tahoma" w:cs="Tahoma"/>
      <w:sz w:val="16"/>
      <w:szCs w:val="16"/>
    </w:rPr>
  </w:style>
  <w:style w:type="character" w:styleId="CommentReference">
    <w:name w:val="annotation reference"/>
    <w:semiHidden/>
    <w:rsid w:val="002F2072"/>
    <w:rPr>
      <w:sz w:val="16"/>
      <w:szCs w:val="16"/>
    </w:rPr>
  </w:style>
  <w:style w:type="paragraph" w:styleId="CommentText">
    <w:name w:val="annotation text"/>
    <w:basedOn w:val="Normal"/>
    <w:semiHidden/>
    <w:rsid w:val="002F2072"/>
    <w:rPr>
      <w:sz w:val="20"/>
      <w:szCs w:val="20"/>
    </w:rPr>
  </w:style>
  <w:style w:type="paragraph" w:styleId="CommentSubject">
    <w:name w:val="annotation subject"/>
    <w:basedOn w:val="CommentText"/>
    <w:next w:val="CommentText"/>
    <w:semiHidden/>
    <w:rsid w:val="002F2072"/>
    <w:rPr>
      <w:b/>
      <w:bCs/>
    </w:rPr>
  </w:style>
  <w:style w:type="character" w:styleId="PageNumber">
    <w:name w:val="page number"/>
    <w:basedOn w:val="DefaultParagraphFont"/>
    <w:rsid w:val="005146D0"/>
  </w:style>
  <w:style w:type="character" w:customStyle="1" w:styleId="FootnoteTextChar1">
    <w:name w:val="Footnote Text Char1"/>
    <w:aliases w:val="Footnote Text Char Char,Footnote Text1 Char Char,Footnote Text Char Ch Char,E3 Footnote Text Char1"/>
    <w:link w:val="FootnoteText"/>
    <w:rsid w:val="00DB108F"/>
    <w:rPr>
      <w:lang w:val="en-US" w:eastAsia="en-US" w:bidi="ar-SA"/>
    </w:rPr>
  </w:style>
  <w:style w:type="table" w:styleId="TableGrid">
    <w:name w:val="Table Grid"/>
    <w:basedOn w:val="TableNormal"/>
    <w:rsid w:val="009C41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3794B"/>
    <w:rPr>
      <w:color w:val="0000FF"/>
      <w:u w:val="single"/>
    </w:rPr>
  </w:style>
  <w:style w:type="paragraph" w:styleId="NormalWeb">
    <w:name w:val="Normal (Web)"/>
    <w:basedOn w:val="Normal"/>
    <w:uiPriority w:val="99"/>
    <w:rsid w:val="00A110E2"/>
    <w:pPr>
      <w:spacing w:before="100" w:beforeAutospacing="1" w:after="100" w:afterAutospacing="1"/>
    </w:pPr>
    <w:rPr>
      <w:color w:val="000000"/>
    </w:rPr>
  </w:style>
  <w:style w:type="character" w:styleId="Strong">
    <w:name w:val="Strong"/>
    <w:qFormat/>
    <w:rsid w:val="00A110E2"/>
    <w:rPr>
      <w:b/>
      <w:bCs/>
    </w:rPr>
  </w:style>
  <w:style w:type="paragraph" w:customStyle="1" w:styleId="Default">
    <w:name w:val="Default"/>
    <w:rsid w:val="00075BEF"/>
    <w:pPr>
      <w:autoSpaceDE w:val="0"/>
      <w:autoSpaceDN w:val="0"/>
      <w:adjustRightInd w:val="0"/>
    </w:pPr>
    <w:rPr>
      <w:color w:val="000000"/>
      <w:sz w:val="24"/>
      <w:szCs w:val="24"/>
    </w:rPr>
  </w:style>
  <w:style w:type="paragraph" w:styleId="HTMLPreformatted">
    <w:name w:val="HTML Preformatted"/>
    <w:basedOn w:val="Normal"/>
    <w:rsid w:val="002E2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SeattleBody">
    <w:name w:val="Seattle Body"/>
    <w:basedOn w:val="Normal"/>
    <w:link w:val="SeattleBodyChar"/>
    <w:rsid w:val="00B141E4"/>
    <w:pPr>
      <w:spacing w:after="240"/>
    </w:pPr>
    <w:rPr>
      <w:rFonts w:ascii="Verdana" w:hAnsi="Verdana"/>
      <w:sz w:val="22"/>
    </w:rPr>
  </w:style>
  <w:style w:type="character" w:customStyle="1" w:styleId="SeattleBodyChar">
    <w:name w:val="Seattle Body Char"/>
    <w:link w:val="SeattleBody"/>
    <w:rsid w:val="00B141E4"/>
    <w:rPr>
      <w:rFonts w:ascii="Verdana" w:hAnsi="Verdana"/>
      <w:sz w:val="22"/>
      <w:szCs w:val="24"/>
      <w:lang w:val="en-US" w:eastAsia="en-US" w:bidi="ar-SA"/>
    </w:rPr>
  </w:style>
  <w:style w:type="paragraph" w:styleId="Caption">
    <w:name w:val="caption"/>
    <w:basedOn w:val="Normal"/>
    <w:next w:val="Normal"/>
    <w:qFormat/>
    <w:rsid w:val="00087461"/>
    <w:pPr>
      <w:keepNext/>
      <w:keepLines/>
      <w:spacing w:before="240" w:line="240" w:lineRule="auto"/>
    </w:pPr>
    <w:rPr>
      <w:b/>
      <w:bCs/>
    </w:rPr>
  </w:style>
  <w:style w:type="character" w:customStyle="1" w:styleId="apple-style-span">
    <w:name w:val="apple-style-span"/>
    <w:basedOn w:val="DefaultParagraphFont"/>
    <w:rsid w:val="00780711"/>
  </w:style>
  <w:style w:type="character" w:customStyle="1" w:styleId="apple-converted-space">
    <w:name w:val="apple-converted-space"/>
    <w:basedOn w:val="DefaultParagraphFont"/>
    <w:rsid w:val="00780711"/>
  </w:style>
  <w:style w:type="character" w:customStyle="1" w:styleId="Heading1Char">
    <w:name w:val="Heading 1 Char"/>
    <w:link w:val="Heading1"/>
    <w:rsid w:val="0078015E"/>
    <w:rPr>
      <w:rFonts w:asciiTheme="minorHAnsi" w:eastAsia="PMingLiU" w:hAnsiTheme="minorHAnsi" w:cs="Calibri"/>
      <w:b/>
      <w:bCs/>
      <w:color w:val="034E6E" w:themeColor="accent1"/>
      <w:kern w:val="32"/>
      <w:sz w:val="36"/>
      <w:szCs w:val="32"/>
      <w:lang w:val="x-none"/>
    </w:rPr>
  </w:style>
  <w:style w:type="character" w:customStyle="1" w:styleId="Heading2Char">
    <w:name w:val="Heading 2 Char"/>
    <w:link w:val="Heading2"/>
    <w:rsid w:val="0078015E"/>
    <w:rPr>
      <w:rFonts w:asciiTheme="minorHAnsi" w:eastAsia="PMingLiU" w:hAnsiTheme="minorHAnsi"/>
      <w:b/>
      <w:bCs/>
      <w:iCs/>
      <w:color w:val="034E6E" w:themeColor="accent1"/>
      <w:sz w:val="28"/>
      <w:szCs w:val="28"/>
    </w:rPr>
  </w:style>
  <w:style w:type="character" w:customStyle="1" w:styleId="Heading3Char">
    <w:name w:val="Heading 3 Char"/>
    <w:link w:val="Heading3"/>
    <w:rsid w:val="00EF7AB7"/>
    <w:rPr>
      <w:rFonts w:ascii="Cambria" w:eastAsia="PMingLiU" w:hAnsi="Cambria"/>
      <w:b/>
      <w:bCs/>
      <w:sz w:val="26"/>
      <w:szCs w:val="26"/>
    </w:rPr>
  </w:style>
  <w:style w:type="paragraph" w:styleId="TOCHeading">
    <w:name w:val="TOC Heading"/>
    <w:basedOn w:val="Heading1"/>
    <w:next w:val="Normal"/>
    <w:uiPriority w:val="39"/>
    <w:qFormat/>
    <w:rsid w:val="00BD6403"/>
    <w:pPr>
      <w:keepLines/>
      <w:spacing w:before="480" w:after="0" w:line="276" w:lineRule="auto"/>
      <w:outlineLvl w:val="9"/>
    </w:pPr>
    <w:rPr>
      <w:rFonts w:cs="Times New Roman"/>
      <w:color w:val="365F91"/>
      <w:kern w:val="0"/>
      <w:sz w:val="28"/>
      <w:szCs w:val="28"/>
    </w:rPr>
  </w:style>
  <w:style w:type="paragraph" w:styleId="TOC1">
    <w:name w:val="toc 1"/>
    <w:basedOn w:val="Normal"/>
    <w:next w:val="Normal"/>
    <w:autoRedefine/>
    <w:uiPriority w:val="39"/>
    <w:rsid w:val="00FD163B"/>
    <w:pPr>
      <w:tabs>
        <w:tab w:val="right" w:leader="dot" w:pos="9350"/>
      </w:tabs>
      <w:spacing w:before="120" w:after="0" w:line="240" w:lineRule="auto"/>
    </w:pPr>
  </w:style>
  <w:style w:type="paragraph" w:styleId="TOC2">
    <w:name w:val="toc 2"/>
    <w:basedOn w:val="Normal"/>
    <w:next w:val="Normal"/>
    <w:autoRedefine/>
    <w:uiPriority w:val="39"/>
    <w:rsid w:val="00E6364B"/>
    <w:pPr>
      <w:tabs>
        <w:tab w:val="right" w:leader="dot" w:pos="9350"/>
      </w:tabs>
      <w:spacing w:before="120" w:after="0" w:line="240" w:lineRule="auto"/>
      <w:ind w:left="245"/>
    </w:pPr>
  </w:style>
  <w:style w:type="paragraph" w:styleId="TOC3">
    <w:name w:val="toc 3"/>
    <w:basedOn w:val="Normal"/>
    <w:next w:val="Normal"/>
    <w:autoRedefine/>
    <w:uiPriority w:val="39"/>
    <w:rsid w:val="00FD163B"/>
    <w:pPr>
      <w:tabs>
        <w:tab w:val="right" w:leader="dot" w:pos="9350"/>
      </w:tabs>
      <w:spacing w:after="0" w:line="240" w:lineRule="auto"/>
      <w:ind w:left="475"/>
    </w:pPr>
  </w:style>
  <w:style w:type="paragraph" w:customStyle="1" w:styleId="Header4">
    <w:name w:val="Header 4"/>
    <w:basedOn w:val="Normal"/>
    <w:qFormat/>
    <w:rsid w:val="00BD6403"/>
    <w:rPr>
      <w:b/>
    </w:rPr>
  </w:style>
  <w:style w:type="character" w:customStyle="1" w:styleId="Heading4Char">
    <w:name w:val="Heading 4 Char"/>
    <w:link w:val="Heading4"/>
    <w:rsid w:val="00831D40"/>
    <w:rPr>
      <w:rFonts w:ascii="Calibri" w:eastAsia="PMingLiU" w:hAnsi="Calibri" w:cs="Times New Roman"/>
      <w:b/>
      <w:bCs/>
      <w:sz w:val="28"/>
      <w:szCs w:val="28"/>
      <w:lang w:eastAsia="en-US"/>
    </w:rPr>
  </w:style>
  <w:style w:type="paragraph" w:styleId="TOC4">
    <w:name w:val="toc 4"/>
    <w:basedOn w:val="Normal"/>
    <w:next w:val="Normal"/>
    <w:autoRedefine/>
    <w:uiPriority w:val="39"/>
    <w:rsid w:val="00831D40"/>
    <w:pPr>
      <w:ind w:left="720"/>
    </w:pPr>
  </w:style>
  <w:style w:type="paragraph" w:customStyle="1" w:styleId="ColorfulShading-Accent11">
    <w:name w:val="Colorful Shading - Accent 11"/>
    <w:hidden/>
    <w:uiPriority w:val="99"/>
    <w:semiHidden/>
    <w:rsid w:val="00BC03B9"/>
    <w:rPr>
      <w:sz w:val="24"/>
      <w:szCs w:val="24"/>
    </w:rPr>
  </w:style>
  <w:style w:type="paragraph" w:customStyle="1" w:styleId="ColorfulList-Accent11">
    <w:name w:val="Colorful List - Accent 11"/>
    <w:basedOn w:val="Normal"/>
    <w:uiPriority w:val="34"/>
    <w:qFormat/>
    <w:rsid w:val="007F2179"/>
    <w:pPr>
      <w:spacing w:after="200" w:line="276" w:lineRule="auto"/>
      <w:ind w:left="720"/>
      <w:contextualSpacing/>
    </w:pPr>
    <w:rPr>
      <w:rFonts w:eastAsia="Calibri" w:cs="Times New Roman"/>
      <w:sz w:val="22"/>
      <w:szCs w:val="22"/>
    </w:rPr>
  </w:style>
  <w:style w:type="character" w:styleId="IntenseReference">
    <w:name w:val="Intense Reference"/>
    <w:uiPriority w:val="32"/>
    <w:qFormat/>
    <w:rsid w:val="00B82BCB"/>
    <w:rPr>
      <w:b/>
      <w:bCs/>
      <w:smallCaps/>
      <w:color w:val="C0504D"/>
      <w:spacing w:val="5"/>
      <w:u w:val="single"/>
    </w:rPr>
  </w:style>
  <w:style w:type="paragraph" w:customStyle="1" w:styleId="LightShading-Accent21">
    <w:name w:val="Light Shading - Accent 21"/>
    <w:basedOn w:val="Normal"/>
    <w:next w:val="Normal"/>
    <w:link w:val="LightShading-Accent2Char"/>
    <w:uiPriority w:val="30"/>
    <w:qFormat/>
    <w:rsid w:val="00E412A9"/>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rsid w:val="00E412A9"/>
    <w:rPr>
      <w:rFonts w:ascii="Calibri" w:hAnsi="Calibri" w:cs="Calibri"/>
      <w:b/>
      <w:bCs/>
      <w:i/>
      <w:iCs/>
      <w:color w:val="4F81BD"/>
      <w:sz w:val="24"/>
      <w:szCs w:val="24"/>
    </w:rPr>
  </w:style>
  <w:style w:type="paragraph" w:customStyle="1" w:styleId="Table">
    <w:name w:val="Table"/>
    <w:basedOn w:val="Normal"/>
    <w:link w:val="TableChar"/>
    <w:qFormat/>
    <w:rsid w:val="00F139BD"/>
    <w:pPr>
      <w:spacing w:before="0" w:line="240" w:lineRule="auto"/>
    </w:pPr>
    <w:rPr>
      <w:sz w:val="22"/>
    </w:rPr>
  </w:style>
  <w:style w:type="table" w:styleId="MediumGrid3">
    <w:name w:val="Medium Grid 3"/>
    <w:basedOn w:val="TableNormal"/>
    <w:uiPriority w:val="60"/>
    <w:rsid w:val="00856BC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Char">
    <w:name w:val="Table Char"/>
    <w:link w:val="Table"/>
    <w:rsid w:val="00F139BD"/>
    <w:rPr>
      <w:rFonts w:ascii="Calibri" w:hAnsi="Calibri" w:cs="Calibri"/>
      <w:sz w:val="22"/>
      <w:szCs w:val="24"/>
    </w:rPr>
  </w:style>
  <w:style w:type="table" w:styleId="DarkList">
    <w:name w:val="Dark List"/>
    <w:basedOn w:val="TableNormal"/>
    <w:uiPriority w:val="61"/>
    <w:rsid w:val="00856B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ooterChar">
    <w:name w:val="Footer Char"/>
    <w:link w:val="Footer"/>
    <w:uiPriority w:val="99"/>
    <w:rsid w:val="00121E26"/>
    <w:rPr>
      <w:rFonts w:ascii="Calibri" w:hAnsi="Calibri" w:cs="Calibri"/>
      <w:sz w:val="24"/>
      <w:szCs w:val="24"/>
    </w:rPr>
  </w:style>
  <w:style w:type="table" w:styleId="TableGrid8">
    <w:name w:val="Table Grid 8"/>
    <w:basedOn w:val="TableNormal"/>
    <w:rsid w:val="009B1072"/>
    <w:pPr>
      <w:spacing w:before="180" w:after="180" w:line="36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link w:val="NoSpacingChar"/>
    <w:uiPriority w:val="1"/>
    <w:qFormat/>
    <w:rsid w:val="00FD163B"/>
    <w:rPr>
      <w:rFonts w:ascii="Calibri" w:eastAsia="MS Mincho" w:hAnsi="Calibri" w:cs="Arial"/>
      <w:sz w:val="22"/>
      <w:szCs w:val="22"/>
      <w:lang w:eastAsia="ja-JP"/>
    </w:rPr>
  </w:style>
  <w:style w:type="character" w:customStyle="1" w:styleId="NoSpacingChar">
    <w:name w:val="No Spacing Char"/>
    <w:link w:val="NoSpacing"/>
    <w:uiPriority w:val="1"/>
    <w:rsid w:val="00FD163B"/>
    <w:rPr>
      <w:rFonts w:ascii="Calibri" w:eastAsia="MS Mincho" w:hAnsi="Calibri" w:cs="Arial"/>
      <w:sz w:val="22"/>
      <w:szCs w:val="22"/>
      <w:lang w:eastAsia="ja-JP"/>
    </w:rPr>
  </w:style>
  <w:style w:type="paragraph" w:styleId="Revision">
    <w:name w:val="Revision"/>
    <w:hidden/>
    <w:uiPriority w:val="99"/>
    <w:semiHidden/>
    <w:rsid w:val="003005EF"/>
    <w:rPr>
      <w:rFonts w:ascii="Calibri" w:hAnsi="Calibri" w:cs="Calibri"/>
      <w:sz w:val="24"/>
      <w:szCs w:val="24"/>
    </w:rPr>
  </w:style>
  <w:style w:type="paragraph" w:styleId="ListParagraph">
    <w:name w:val="List Paragraph"/>
    <w:basedOn w:val="Normal"/>
    <w:uiPriority w:val="34"/>
    <w:qFormat/>
    <w:rsid w:val="002522D1"/>
    <w:pPr>
      <w:ind w:left="720"/>
      <w:contextualSpacing/>
    </w:pPr>
  </w:style>
  <w:style w:type="table" w:customStyle="1" w:styleId="ListTable3-Accent11">
    <w:name w:val="List Table 3 - Accent 11"/>
    <w:basedOn w:val="TableNormal"/>
    <w:uiPriority w:val="48"/>
    <w:rsid w:val="0033103F"/>
    <w:tblPr>
      <w:tblStyleRowBandSize w:val="1"/>
      <w:tblStyleColBandSize w:val="1"/>
      <w:tblBorders>
        <w:top w:val="single" w:sz="4" w:space="0" w:color="034E6E" w:themeColor="accent1"/>
        <w:left w:val="single" w:sz="4" w:space="0" w:color="034E6E" w:themeColor="accent1"/>
        <w:bottom w:val="single" w:sz="4" w:space="0" w:color="034E6E" w:themeColor="accent1"/>
        <w:right w:val="single" w:sz="4" w:space="0" w:color="034E6E" w:themeColor="accent1"/>
      </w:tblBorders>
    </w:tblPr>
    <w:tblStylePr w:type="firstRow">
      <w:rPr>
        <w:b/>
        <w:bCs/>
        <w:color w:val="FFFFFF" w:themeColor="background1"/>
      </w:rPr>
      <w:tblPr/>
      <w:tcPr>
        <w:shd w:val="clear" w:color="auto" w:fill="034E6E" w:themeFill="accent1"/>
      </w:tcPr>
    </w:tblStylePr>
    <w:tblStylePr w:type="lastRow">
      <w:rPr>
        <w:b/>
        <w:bCs/>
      </w:rPr>
      <w:tblPr/>
      <w:tcPr>
        <w:tcBorders>
          <w:top w:val="double" w:sz="4" w:space="0" w:color="034E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4E6E" w:themeColor="accent1"/>
          <w:right w:val="single" w:sz="4" w:space="0" w:color="034E6E" w:themeColor="accent1"/>
        </w:tcBorders>
      </w:tcPr>
    </w:tblStylePr>
    <w:tblStylePr w:type="band1Horz">
      <w:tblPr/>
      <w:tcPr>
        <w:tcBorders>
          <w:top w:val="single" w:sz="4" w:space="0" w:color="034E6E" w:themeColor="accent1"/>
          <w:bottom w:val="single" w:sz="4" w:space="0" w:color="034E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4E6E" w:themeColor="accent1"/>
          <w:left w:val="nil"/>
        </w:tcBorders>
      </w:tcPr>
    </w:tblStylePr>
    <w:tblStylePr w:type="swCell">
      <w:tblPr/>
      <w:tcPr>
        <w:tcBorders>
          <w:top w:val="double" w:sz="4" w:space="0" w:color="034E6E" w:themeColor="accent1"/>
          <w:right w:val="nil"/>
        </w:tcBorders>
      </w:tcPr>
    </w:tblStylePr>
  </w:style>
  <w:style w:type="character" w:styleId="FollowedHyperlink">
    <w:name w:val="FollowedHyperlink"/>
    <w:basedOn w:val="DefaultParagraphFont"/>
    <w:uiPriority w:val="99"/>
    <w:semiHidden/>
    <w:unhideWhenUsed/>
    <w:rsid w:val="000B0B1C"/>
    <w:rPr>
      <w:color w:val="800080" w:themeColor="followedHyperlink"/>
      <w:u w:val="single"/>
    </w:rPr>
  </w:style>
  <w:style w:type="table" w:customStyle="1" w:styleId="GridTable1Light-Accent11">
    <w:name w:val="Grid Table 1 Light - Accent 11"/>
    <w:basedOn w:val="TableNormal"/>
    <w:uiPriority w:val="46"/>
    <w:tblPr>
      <w:tblStyleRowBandSize w:val="1"/>
      <w:tblStyleColBandSize w:val="1"/>
      <w:tblBorders>
        <w:top w:val="single" w:sz="4" w:space="0" w:color="64CDFA" w:themeColor="accent1" w:themeTint="66"/>
        <w:left w:val="single" w:sz="4" w:space="0" w:color="64CDFA" w:themeColor="accent1" w:themeTint="66"/>
        <w:bottom w:val="single" w:sz="4" w:space="0" w:color="64CDFA" w:themeColor="accent1" w:themeTint="66"/>
        <w:right w:val="single" w:sz="4" w:space="0" w:color="64CDFA" w:themeColor="accent1" w:themeTint="66"/>
        <w:insideH w:val="single" w:sz="4" w:space="0" w:color="64CDFA" w:themeColor="accent1" w:themeTint="66"/>
        <w:insideV w:val="single" w:sz="4" w:space="0" w:color="64CDFA" w:themeColor="accent1" w:themeTint="66"/>
      </w:tblBorders>
    </w:tblPr>
    <w:tblStylePr w:type="firstRow">
      <w:rPr>
        <w:b/>
        <w:bCs/>
      </w:rPr>
      <w:tblPr/>
      <w:tcPr>
        <w:tcBorders>
          <w:bottom w:val="single" w:sz="12" w:space="0" w:color="17B4F8" w:themeColor="accent1" w:themeTint="99"/>
        </w:tcBorders>
      </w:tcPr>
    </w:tblStylePr>
    <w:tblStylePr w:type="lastRow">
      <w:rPr>
        <w:b/>
        <w:bCs/>
      </w:rPr>
      <w:tblPr/>
      <w:tcPr>
        <w:tcBorders>
          <w:top w:val="double" w:sz="2" w:space="0" w:color="17B4F8"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2C44A4"/>
    <w:tblPr>
      <w:tblStyleRowBandSize w:val="1"/>
      <w:tblStyleColBandSize w:val="1"/>
      <w:tblBorders>
        <w:top w:val="single" w:sz="4" w:space="0" w:color="17B4F8" w:themeColor="accent1" w:themeTint="99"/>
        <w:left w:val="single" w:sz="4" w:space="0" w:color="17B4F8" w:themeColor="accent1" w:themeTint="99"/>
        <w:bottom w:val="single" w:sz="4" w:space="0" w:color="17B4F8" w:themeColor="accent1" w:themeTint="99"/>
        <w:right w:val="single" w:sz="4" w:space="0" w:color="17B4F8" w:themeColor="accent1" w:themeTint="99"/>
        <w:insideH w:val="single" w:sz="4" w:space="0" w:color="17B4F8" w:themeColor="accent1" w:themeTint="99"/>
        <w:insideV w:val="single" w:sz="4" w:space="0" w:color="17B4F8" w:themeColor="accent1" w:themeTint="99"/>
      </w:tblBorders>
    </w:tblPr>
    <w:tblStylePr w:type="firstRow">
      <w:rPr>
        <w:b/>
        <w:bCs/>
        <w:color w:val="FFFFFF" w:themeColor="background1"/>
      </w:rPr>
      <w:tblPr/>
      <w:tcPr>
        <w:tcBorders>
          <w:top w:val="single" w:sz="4" w:space="0" w:color="034E6E" w:themeColor="accent1"/>
          <w:left w:val="single" w:sz="4" w:space="0" w:color="034E6E" w:themeColor="accent1"/>
          <w:bottom w:val="single" w:sz="4" w:space="0" w:color="034E6E" w:themeColor="accent1"/>
          <w:right w:val="single" w:sz="4" w:space="0" w:color="034E6E" w:themeColor="accent1"/>
          <w:insideH w:val="nil"/>
          <w:insideV w:val="nil"/>
        </w:tcBorders>
        <w:shd w:val="clear" w:color="auto" w:fill="034E6E" w:themeFill="accent1"/>
      </w:tcPr>
    </w:tblStylePr>
    <w:tblStylePr w:type="lastRow">
      <w:rPr>
        <w:b/>
        <w:bCs/>
      </w:rPr>
      <w:tblPr/>
      <w:tcPr>
        <w:tcBorders>
          <w:top w:val="double" w:sz="4" w:space="0" w:color="034E6E" w:themeColor="accent1"/>
        </w:tcBorders>
      </w:tcPr>
    </w:tblStylePr>
    <w:tblStylePr w:type="firstCol">
      <w:rPr>
        <w:b/>
        <w:bCs/>
      </w:rPr>
    </w:tblStylePr>
    <w:tblStylePr w:type="lastCol">
      <w:rPr>
        <w:b/>
        <w:bCs/>
      </w:rPr>
    </w:tblStylePr>
    <w:tblStylePr w:type="band1Vert">
      <w:tblPr/>
      <w:tcPr>
        <w:shd w:val="clear" w:color="auto" w:fill="B1E6FD" w:themeFill="accent1" w:themeFillTint="33"/>
      </w:tcPr>
    </w:tblStylePr>
    <w:tblStylePr w:type="band1Horz">
      <w:tblPr/>
      <w:tcPr>
        <w:shd w:val="clear" w:color="auto" w:fill="B1E6FD" w:themeFill="accent1" w:themeFillTint="33"/>
      </w:tcPr>
    </w:tblStylePr>
  </w:style>
  <w:style w:type="paragraph" w:customStyle="1" w:styleId="E3Table">
    <w:name w:val="E3 Table"/>
    <w:basedOn w:val="BodyText"/>
    <w:next w:val="BodyText"/>
    <w:uiPriority w:val="99"/>
    <w:rsid w:val="00B43108"/>
    <w:pPr>
      <w:spacing w:before="60" w:after="40" w:line="240" w:lineRule="auto"/>
    </w:pPr>
    <w:rPr>
      <w:rFonts w:ascii="Arial" w:hAnsi="Arial" w:cs="Times New Roman"/>
      <w:sz w:val="18"/>
      <w:szCs w:val="18"/>
    </w:rPr>
  </w:style>
  <w:style w:type="paragraph" w:styleId="BodyText">
    <w:name w:val="Body Text"/>
    <w:basedOn w:val="Normal"/>
    <w:link w:val="BodyTextChar"/>
    <w:uiPriority w:val="99"/>
    <w:unhideWhenUsed/>
    <w:rsid w:val="00B43108"/>
    <w:pPr>
      <w:spacing w:after="120"/>
    </w:pPr>
  </w:style>
  <w:style w:type="character" w:customStyle="1" w:styleId="BodyTextChar">
    <w:name w:val="Body Text Char"/>
    <w:basedOn w:val="DefaultParagraphFont"/>
    <w:link w:val="BodyText"/>
    <w:uiPriority w:val="99"/>
    <w:rsid w:val="00B43108"/>
    <w:rPr>
      <w:rFonts w:ascii="Calibri" w:hAnsi="Calibri" w:cs="Calibri"/>
      <w:sz w:val="24"/>
      <w:szCs w:val="24"/>
    </w:rPr>
  </w:style>
  <w:style w:type="character" w:customStyle="1" w:styleId="E3FootnoteTextChar">
    <w:name w:val="E3 Footnote Text Char"/>
    <w:basedOn w:val="DefaultParagraphFont"/>
    <w:uiPriority w:val="99"/>
    <w:semiHidden/>
    <w:locked/>
    <w:rsid w:val="00602B3F"/>
    <w:rPr>
      <w:rFonts w:ascii="Calibri" w:hAnsi="Calibri" w:cs="Times New Roman"/>
      <w:spacing w:val="-2"/>
      <w:sz w:val="20"/>
      <w:szCs w:val="20"/>
    </w:rPr>
  </w:style>
  <w:style w:type="paragraph" w:customStyle="1" w:styleId="E3Caption">
    <w:name w:val="E3 Caption"/>
    <w:basedOn w:val="Caption"/>
    <w:uiPriority w:val="99"/>
    <w:qFormat/>
    <w:rsid w:val="00602B3F"/>
    <w:pPr>
      <w:keepLines w:val="0"/>
      <w:spacing w:before="0" w:after="300"/>
      <w:ind w:left="720" w:hanging="720"/>
    </w:pPr>
    <w:rPr>
      <w:rFonts w:cs="Times New Roman"/>
      <w:color w:val="005070"/>
      <w:spacing w:val="-2"/>
      <w:sz w:val="22"/>
      <w:szCs w:val="20"/>
    </w:rPr>
  </w:style>
  <w:style w:type="table" w:customStyle="1" w:styleId="E3TableforRealThisTime">
    <w:name w:val="E3 Table for Real This Time"/>
    <w:basedOn w:val="TableNormal"/>
    <w:uiPriority w:val="99"/>
    <w:rsid w:val="00602B3F"/>
    <w:rPr>
      <w:rFonts w:ascii="Arial" w:hAnsi="Arial"/>
      <w:sz w:val="18"/>
      <w:szCs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Times New Roman"/>
        <w:b/>
        <w:color w:val="F2F2F2" w:themeColor="background1" w:themeShade="F2"/>
        <w:sz w:val="52"/>
      </w:rPr>
      <w:tblPr/>
      <w:tcPr>
        <w:shd w:val="clear" w:color="auto" w:fill="005070"/>
      </w:tcPr>
    </w:tblStylePr>
    <w:tblStylePr w:type="band1Horz">
      <w:rPr>
        <w:rFonts w:cs="Times New Roman"/>
      </w:rPr>
      <w:tblPr/>
      <w:tcPr>
        <w:shd w:val="clear" w:color="auto" w:fill="DDD9C3" w:themeFill="background2" w:themeFillShade="E6"/>
      </w:tcPr>
    </w:tblStylePr>
  </w:style>
  <w:style w:type="character" w:customStyle="1" w:styleId="UnresolvedMention1">
    <w:name w:val="Unresolved Mention1"/>
    <w:basedOn w:val="DefaultParagraphFont"/>
    <w:uiPriority w:val="99"/>
    <w:semiHidden/>
    <w:unhideWhenUsed/>
    <w:rsid w:val="002E1DAD"/>
    <w:rPr>
      <w:color w:val="808080"/>
      <w:shd w:val="clear" w:color="auto" w:fill="E6E6E6"/>
    </w:rPr>
  </w:style>
  <w:style w:type="character" w:styleId="UnresolvedMention">
    <w:name w:val="Unresolved Mention"/>
    <w:basedOn w:val="DefaultParagraphFont"/>
    <w:uiPriority w:val="99"/>
    <w:unhideWhenUsed/>
    <w:rsid w:val="008F6B8D"/>
    <w:rPr>
      <w:color w:val="808080"/>
      <w:shd w:val="clear" w:color="auto" w:fill="E6E6E6"/>
    </w:rPr>
  </w:style>
  <w:style w:type="character" w:customStyle="1" w:styleId="Heading5Char">
    <w:name w:val="Heading 5 Char"/>
    <w:basedOn w:val="DefaultParagraphFont"/>
    <w:link w:val="Heading5"/>
    <w:uiPriority w:val="9"/>
    <w:semiHidden/>
    <w:rsid w:val="00FF29A7"/>
    <w:rPr>
      <w:rFonts w:asciiTheme="majorHAnsi" w:eastAsiaTheme="majorEastAsia" w:hAnsiTheme="majorHAnsi" w:cstheme="majorBidi"/>
      <w:color w:val="023952" w:themeColor="accent1" w:themeShade="BF"/>
      <w:sz w:val="24"/>
      <w:szCs w:val="24"/>
    </w:rPr>
  </w:style>
  <w:style w:type="character" w:customStyle="1" w:styleId="Heading6Char">
    <w:name w:val="Heading 6 Char"/>
    <w:basedOn w:val="DefaultParagraphFont"/>
    <w:link w:val="Heading6"/>
    <w:uiPriority w:val="9"/>
    <w:semiHidden/>
    <w:rsid w:val="00FF29A7"/>
    <w:rPr>
      <w:rFonts w:asciiTheme="majorHAnsi" w:eastAsiaTheme="majorEastAsia" w:hAnsiTheme="majorHAnsi" w:cstheme="majorBidi"/>
      <w:color w:val="012636" w:themeColor="accent1" w:themeShade="7F"/>
      <w:sz w:val="24"/>
      <w:szCs w:val="24"/>
    </w:rPr>
  </w:style>
  <w:style w:type="character" w:customStyle="1" w:styleId="Heading7Char">
    <w:name w:val="Heading 7 Char"/>
    <w:basedOn w:val="DefaultParagraphFont"/>
    <w:link w:val="Heading7"/>
    <w:uiPriority w:val="9"/>
    <w:semiHidden/>
    <w:rsid w:val="00FF29A7"/>
    <w:rPr>
      <w:rFonts w:asciiTheme="majorHAnsi" w:eastAsiaTheme="majorEastAsia" w:hAnsiTheme="majorHAnsi" w:cstheme="majorBidi"/>
      <w:i/>
      <w:iCs/>
      <w:color w:val="012636" w:themeColor="accent1" w:themeShade="7F"/>
      <w:sz w:val="24"/>
      <w:szCs w:val="24"/>
    </w:rPr>
  </w:style>
  <w:style w:type="character" w:customStyle="1" w:styleId="Heading8Char">
    <w:name w:val="Heading 8 Char"/>
    <w:basedOn w:val="DefaultParagraphFont"/>
    <w:link w:val="Heading8"/>
    <w:uiPriority w:val="9"/>
    <w:semiHidden/>
    <w:rsid w:val="00FF29A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F29A7"/>
    <w:rPr>
      <w:rFonts w:asciiTheme="majorHAnsi" w:eastAsiaTheme="majorEastAsia" w:hAnsiTheme="majorHAnsi" w:cstheme="majorBidi"/>
      <w:i/>
      <w:iCs/>
      <w:color w:val="272727" w:themeColor="text1" w:themeTint="D8"/>
      <w:sz w:val="21"/>
      <w:szCs w:val="21"/>
    </w:rPr>
  </w:style>
  <w:style w:type="paragraph" w:customStyle="1" w:styleId="TableText">
    <w:name w:val="Table Text"/>
    <w:basedOn w:val="Normal"/>
    <w:rsid w:val="002C2278"/>
    <w:pPr>
      <w:spacing w:before="60" w:after="60"/>
    </w:pPr>
    <w:rPr>
      <w:rFonts w:ascii="Times New Roman" w:hAnsi="Times New Roman" w:cs="Times New Roman"/>
      <w:sz w:val="22"/>
    </w:rPr>
  </w:style>
  <w:style w:type="paragraph" w:styleId="BodyTextIndent">
    <w:name w:val="Body Text Indent"/>
    <w:basedOn w:val="Normal"/>
    <w:link w:val="BodyTextIndentChar"/>
    <w:rsid w:val="002C2278"/>
    <w:pPr>
      <w:spacing w:before="240" w:after="120"/>
      <w:ind w:left="360"/>
    </w:pPr>
    <w:rPr>
      <w:rFonts w:ascii="Times New Roman" w:hAnsi="Times New Roman" w:cs="Times New Roman"/>
    </w:rPr>
  </w:style>
  <w:style w:type="character" w:customStyle="1" w:styleId="BodyTextIndentChar">
    <w:name w:val="Body Text Indent Char"/>
    <w:basedOn w:val="DefaultParagraphFont"/>
    <w:link w:val="BodyTextIndent"/>
    <w:rsid w:val="002C2278"/>
    <w:rPr>
      <w:sz w:val="24"/>
      <w:szCs w:val="24"/>
    </w:rPr>
  </w:style>
  <w:style w:type="paragraph" w:customStyle="1" w:styleId="TableCaption">
    <w:name w:val="Table Caption"/>
    <w:basedOn w:val="Caption"/>
    <w:rsid w:val="002C2278"/>
    <w:pPr>
      <w:keepLines w:val="0"/>
      <w:spacing w:before="360" w:after="120"/>
    </w:pPr>
    <w:rPr>
      <w:rFonts w:ascii="Times New Roman" w:hAnsi="Times New Roman" w:cs="Times New Roman"/>
      <w:b w:val="0"/>
      <w:sz w:val="28"/>
      <w:szCs w:val="20"/>
    </w:rPr>
  </w:style>
  <w:style w:type="paragraph" w:styleId="ListNumber">
    <w:name w:val="List Number"/>
    <w:basedOn w:val="Normal"/>
    <w:rsid w:val="000F4670"/>
    <w:pPr>
      <w:numPr>
        <w:numId w:val="19"/>
      </w:numPr>
      <w:spacing w:before="0" w:after="120"/>
    </w:pPr>
    <w:rPr>
      <w:rFonts w:ascii="Times New Roman" w:hAnsi="Times New Roman" w:cs="Times New Roman"/>
    </w:rPr>
  </w:style>
  <w:style w:type="character" w:styleId="Mention">
    <w:name w:val="Mention"/>
    <w:basedOn w:val="DefaultParagraphFont"/>
    <w:uiPriority w:val="99"/>
    <w:unhideWhenUsed/>
    <w:rsid w:val="00D850D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953784">
      <w:bodyDiv w:val="1"/>
      <w:marLeft w:val="0"/>
      <w:marRight w:val="0"/>
      <w:marTop w:val="0"/>
      <w:marBottom w:val="0"/>
      <w:divBdr>
        <w:top w:val="none" w:sz="0" w:space="0" w:color="auto"/>
        <w:left w:val="none" w:sz="0" w:space="0" w:color="auto"/>
        <w:bottom w:val="none" w:sz="0" w:space="0" w:color="auto"/>
        <w:right w:val="none" w:sz="0" w:space="0" w:color="auto"/>
      </w:divBdr>
    </w:div>
    <w:div w:id="450783731">
      <w:bodyDiv w:val="1"/>
      <w:marLeft w:val="0"/>
      <w:marRight w:val="0"/>
      <w:marTop w:val="0"/>
      <w:marBottom w:val="0"/>
      <w:divBdr>
        <w:top w:val="none" w:sz="0" w:space="0" w:color="auto"/>
        <w:left w:val="none" w:sz="0" w:space="0" w:color="auto"/>
        <w:bottom w:val="none" w:sz="0" w:space="0" w:color="auto"/>
        <w:right w:val="none" w:sz="0" w:space="0" w:color="auto"/>
      </w:divBdr>
    </w:div>
    <w:div w:id="522669171">
      <w:bodyDiv w:val="1"/>
      <w:marLeft w:val="0"/>
      <w:marRight w:val="0"/>
      <w:marTop w:val="0"/>
      <w:marBottom w:val="0"/>
      <w:divBdr>
        <w:top w:val="none" w:sz="0" w:space="0" w:color="auto"/>
        <w:left w:val="none" w:sz="0" w:space="0" w:color="auto"/>
        <w:bottom w:val="none" w:sz="0" w:space="0" w:color="auto"/>
        <w:right w:val="none" w:sz="0" w:space="0" w:color="auto"/>
      </w:divBdr>
    </w:div>
    <w:div w:id="683359014">
      <w:bodyDiv w:val="1"/>
      <w:marLeft w:val="0"/>
      <w:marRight w:val="0"/>
      <w:marTop w:val="0"/>
      <w:marBottom w:val="0"/>
      <w:divBdr>
        <w:top w:val="none" w:sz="0" w:space="0" w:color="auto"/>
        <w:left w:val="none" w:sz="0" w:space="0" w:color="auto"/>
        <w:bottom w:val="none" w:sz="0" w:space="0" w:color="auto"/>
        <w:right w:val="none" w:sz="0" w:space="0" w:color="auto"/>
      </w:divBdr>
    </w:div>
    <w:div w:id="888493740">
      <w:bodyDiv w:val="1"/>
      <w:marLeft w:val="0"/>
      <w:marRight w:val="0"/>
      <w:marTop w:val="0"/>
      <w:marBottom w:val="0"/>
      <w:divBdr>
        <w:top w:val="none" w:sz="0" w:space="0" w:color="auto"/>
        <w:left w:val="none" w:sz="0" w:space="0" w:color="auto"/>
        <w:bottom w:val="none" w:sz="0" w:space="0" w:color="auto"/>
        <w:right w:val="none" w:sz="0" w:space="0" w:color="auto"/>
      </w:divBdr>
    </w:div>
    <w:div w:id="899633533">
      <w:bodyDiv w:val="1"/>
      <w:marLeft w:val="0"/>
      <w:marRight w:val="0"/>
      <w:marTop w:val="0"/>
      <w:marBottom w:val="0"/>
      <w:divBdr>
        <w:top w:val="none" w:sz="0" w:space="0" w:color="auto"/>
        <w:left w:val="none" w:sz="0" w:space="0" w:color="auto"/>
        <w:bottom w:val="none" w:sz="0" w:space="0" w:color="auto"/>
        <w:right w:val="none" w:sz="0" w:space="0" w:color="auto"/>
      </w:divBdr>
    </w:div>
    <w:div w:id="923876444">
      <w:bodyDiv w:val="1"/>
      <w:marLeft w:val="0"/>
      <w:marRight w:val="0"/>
      <w:marTop w:val="0"/>
      <w:marBottom w:val="0"/>
      <w:divBdr>
        <w:top w:val="none" w:sz="0" w:space="0" w:color="auto"/>
        <w:left w:val="none" w:sz="0" w:space="0" w:color="auto"/>
        <w:bottom w:val="none" w:sz="0" w:space="0" w:color="auto"/>
        <w:right w:val="none" w:sz="0" w:space="0" w:color="auto"/>
      </w:divBdr>
    </w:div>
    <w:div w:id="941379793">
      <w:bodyDiv w:val="1"/>
      <w:marLeft w:val="0"/>
      <w:marRight w:val="0"/>
      <w:marTop w:val="0"/>
      <w:marBottom w:val="0"/>
      <w:divBdr>
        <w:top w:val="none" w:sz="0" w:space="0" w:color="auto"/>
        <w:left w:val="none" w:sz="0" w:space="0" w:color="auto"/>
        <w:bottom w:val="none" w:sz="0" w:space="0" w:color="auto"/>
        <w:right w:val="none" w:sz="0" w:space="0" w:color="auto"/>
      </w:divBdr>
    </w:div>
    <w:div w:id="951664896">
      <w:bodyDiv w:val="1"/>
      <w:marLeft w:val="0"/>
      <w:marRight w:val="0"/>
      <w:marTop w:val="0"/>
      <w:marBottom w:val="0"/>
      <w:divBdr>
        <w:top w:val="none" w:sz="0" w:space="0" w:color="auto"/>
        <w:left w:val="none" w:sz="0" w:space="0" w:color="auto"/>
        <w:bottom w:val="none" w:sz="0" w:space="0" w:color="auto"/>
        <w:right w:val="none" w:sz="0" w:space="0" w:color="auto"/>
      </w:divBdr>
    </w:div>
    <w:div w:id="1427844849">
      <w:bodyDiv w:val="1"/>
      <w:marLeft w:val="0"/>
      <w:marRight w:val="0"/>
      <w:marTop w:val="0"/>
      <w:marBottom w:val="0"/>
      <w:divBdr>
        <w:top w:val="none" w:sz="0" w:space="0" w:color="auto"/>
        <w:left w:val="none" w:sz="0" w:space="0" w:color="auto"/>
        <w:bottom w:val="none" w:sz="0" w:space="0" w:color="auto"/>
        <w:right w:val="none" w:sz="0" w:space="0" w:color="auto"/>
      </w:divBdr>
    </w:div>
    <w:div w:id="1674255331">
      <w:bodyDiv w:val="1"/>
      <w:marLeft w:val="0"/>
      <w:marRight w:val="0"/>
      <w:marTop w:val="0"/>
      <w:marBottom w:val="0"/>
      <w:divBdr>
        <w:top w:val="none" w:sz="0" w:space="0" w:color="auto"/>
        <w:left w:val="none" w:sz="0" w:space="0" w:color="auto"/>
        <w:bottom w:val="none" w:sz="0" w:space="0" w:color="auto"/>
        <w:right w:val="none" w:sz="0" w:space="0" w:color="auto"/>
      </w:divBdr>
    </w:div>
    <w:div w:id="1705058271">
      <w:bodyDiv w:val="1"/>
      <w:marLeft w:val="0"/>
      <w:marRight w:val="0"/>
      <w:marTop w:val="0"/>
      <w:marBottom w:val="0"/>
      <w:divBdr>
        <w:top w:val="none" w:sz="0" w:space="0" w:color="auto"/>
        <w:left w:val="none" w:sz="0" w:space="0" w:color="auto"/>
        <w:bottom w:val="none" w:sz="0" w:space="0" w:color="auto"/>
        <w:right w:val="none" w:sz="0" w:space="0" w:color="auto"/>
      </w:divBdr>
    </w:div>
    <w:div w:id="1879929890">
      <w:bodyDiv w:val="1"/>
      <w:marLeft w:val="0"/>
      <w:marRight w:val="0"/>
      <w:marTop w:val="0"/>
      <w:marBottom w:val="0"/>
      <w:divBdr>
        <w:top w:val="none" w:sz="0" w:space="0" w:color="auto"/>
        <w:left w:val="none" w:sz="0" w:space="0" w:color="auto"/>
        <w:bottom w:val="none" w:sz="0" w:space="0" w:color="auto"/>
        <w:right w:val="none" w:sz="0" w:space="0" w:color="auto"/>
      </w:divBdr>
    </w:div>
    <w:div w:id="2061518796">
      <w:bodyDiv w:val="1"/>
      <w:marLeft w:val="0"/>
      <w:marRight w:val="0"/>
      <w:marTop w:val="0"/>
      <w:marBottom w:val="0"/>
      <w:divBdr>
        <w:top w:val="none" w:sz="0" w:space="0" w:color="auto"/>
        <w:left w:val="none" w:sz="0" w:space="0" w:color="auto"/>
        <w:bottom w:val="none" w:sz="0" w:space="0" w:color="auto"/>
        <w:right w:val="none" w:sz="0" w:space="0" w:color="auto"/>
      </w:divBdr>
    </w:div>
    <w:div w:id="213976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cpuc.ca.gov/irp/proposedrsp/" TargetMode="External"/><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8.emf"/><Relationship Id="rId68" Type="http://schemas.openxmlformats.org/officeDocument/2006/relationships/image" Target="media/image53.emf"/><Relationship Id="rId76" Type="http://schemas.openxmlformats.org/officeDocument/2006/relationships/image" Target="media/image61.emf"/><Relationship Id="rId84" Type="http://schemas.openxmlformats.org/officeDocument/2006/relationships/image" Target="media/image69.png"/><Relationship Id="rId89" Type="http://schemas.openxmlformats.org/officeDocument/2006/relationships/image" Target="media/image74.emf"/><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6.emf"/><Relationship Id="rId9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hyperlink" Target="http://www.energy.ca.gov/2014publications/CEC-200-2014-003/index.html" TargetMode="External"/><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emf"/><Relationship Id="rId74" Type="http://schemas.openxmlformats.org/officeDocument/2006/relationships/image" Target="media/image59.emf"/><Relationship Id="rId79" Type="http://schemas.openxmlformats.org/officeDocument/2006/relationships/image" Target="media/image64.png"/><Relationship Id="rId87" Type="http://schemas.openxmlformats.org/officeDocument/2006/relationships/image" Target="media/image72.png"/><Relationship Id="rId5" Type="http://schemas.openxmlformats.org/officeDocument/2006/relationships/customXml" Target="../customXml/item5.xml"/><Relationship Id="rId61" Type="http://schemas.openxmlformats.org/officeDocument/2006/relationships/image" Target="media/image46.emf"/><Relationship Id="rId82" Type="http://schemas.openxmlformats.org/officeDocument/2006/relationships/image" Target="media/image67.png"/><Relationship Id="rId90" Type="http://schemas.openxmlformats.org/officeDocument/2006/relationships/image" Target="media/image75.emf"/><Relationship Id="rId95" Type="http://schemas.openxmlformats.org/officeDocument/2006/relationships/header" Target="header3.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image" Target="media/image54.emf"/><Relationship Id="rId77" Type="http://schemas.openxmlformats.org/officeDocument/2006/relationships/image" Target="media/image62.png"/><Relationship Id="rId8" Type="http://schemas.openxmlformats.org/officeDocument/2006/relationships/settings" Target="settings.xml"/><Relationship Id="rId51" Type="http://schemas.openxmlformats.org/officeDocument/2006/relationships/image" Target="media/image36.emf"/><Relationship Id="rId72" Type="http://schemas.openxmlformats.org/officeDocument/2006/relationships/image" Target="media/image57.emf"/><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cpuc.ca.gov/irp/proposedrsp/" TargetMode="External"/><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image" Target="media/image55.emf"/><Relationship Id="rId75" Type="http://schemas.openxmlformats.org/officeDocument/2006/relationships/image" Target="media/image60.emf"/><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4.emf"/><Relationship Id="rId57" Type="http://schemas.openxmlformats.org/officeDocument/2006/relationships/image" Target="media/image42.emf"/><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emf"/><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www.energy.ca.gov/2019publications/CEC-200-2019-005/CEC-200-2019-005.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aiso.com/Documents/2018AnnualReportonMarketIssuesandPerformance.pdf" TargetMode="External"/><Relationship Id="rId13" Type="http://schemas.openxmlformats.org/officeDocument/2006/relationships/hyperlink" Target="https://ethree.com/public_projects/recap.php" TargetMode="External"/><Relationship Id="rId3" Type="http://schemas.openxmlformats.org/officeDocument/2006/relationships/hyperlink" Target="https://www.pge.com/tariffs/assets/pdf/tariffbook/GAS_SCHEDS_G-SUR.pdf" TargetMode="External"/><Relationship Id="rId7" Type="http://schemas.openxmlformats.org/officeDocument/2006/relationships/hyperlink" Target="https://ethree.com/public_projects/recap.php" TargetMode="External"/><Relationship Id="rId12" Type="http://schemas.openxmlformats.org/officeDocument/2006/relationships/hyperlink" Target="https://www.energy.ca.gov/maps/renewable/building_climate_zones.html" TargetMode="External"/><Relationship Id="rId2" Type="http://schemas.openxmlformats.org/officeDocument/2006/relationships/hyperlink" Target="http://www.socalgas.com/regulatory/tariffs/tm2/pdf/G-MSUR.pdf" TargetMode="External"/><Relationship Id="rId1" Type="http://schemas.openxmlformats.org/officeDocument/2006/relationships/hyperlink" Target="http://www.nymex.com/jsp/markets/ng_oth_pgbdes.jsp" TargetMode="External"/><Relationship Id="rId6" Type="http://schemas.openxmlformats.org/officeDocument/2006/relationships/hyperlink" Target="http://www.cpuc.ca.gov/PUC/energy/Procurement/RA/ra_compliance_materials.htm" TargetMode="External"/><Relationship Id="rId11" Type="http://schemas.openxmlformats.org/officeDocument/2006/relationships/hyperlink" Target="http://www.ethree.com/public_projects/cpucOEEP.php" TargetMode="External"/><Relationship Id="rId5" Type="http://schemas.openxmlformats.org/officeDocument/2006/relationships/hyperlink" Target="http://caiso.com/Documents/2015AnnualReportonMarketIssuesandPerformance.pdf" TargetMode="External"/><Relationship Id="rId10" Type="http://schemas.openxmlformats.org/officeDocument/2006/relationships/hyperlink" Target="http://www.cpuc.ca.gov/PUC/energy/Energy+Efficiency/EM+and+V/Embedded+Energy+in+Water+Studies1_and_2.htm" TargetMode="External"/><Relationship Id="rId4" Type="http://schemas.openxmlformats.org/officeDocument/2006/relationships/hyperlink" Target="https://e3.sharefile.com/d-s75a44f147ac4b48a" TargetMode="External"/><Relationship Id="rId9" Type="http://schemas.openxmlformats.org/officeDocument/2006/relationships/hyperlink" Target="http://www.liob.org/docs/LIEE%20Non-Energy%20Benefits%20Revised%20Report.pdf" TargetMode="External"/><Relationship Id="rId14" Type="http://schemas.openxmlformats.org/officeDocument/2006/relationships/hyperlink" Target="http://www.energy.ca.gov/2014publications/CEC-200-2014-003/index.html" TargetMode="External"/></Relationships>
</file>

<file path=word/theme/theme1.xml><?xml version="1.0" encoding="utf-8"?>
<a:theme xmlns:a="http://schemas.openxmlformats.org/drawingml/2006/main" name="Office Theme">
  <a:themeElements>
    <a:clrScheme name="E3">
      <a:dk1>
        <a:sysClr val="windowText" lastClr="000000"/>
      </a:dk1>
      <a:lt1>
        <a:sysClr val="window" lastClr="FFFFFF"/>
      </a:lt1>
      <a:dk2>
        <a:srgbClr val="315361"/>
      </a:dk2>
      <a:lt2>
        <a:srgbClr val="EEECE1"/>
      </a:lt2>
      <a:accent1>
        <a:srgbClr val="034E6E"/>
      </a:accent1>
      <a:accent2>
        <a:srgbClr val="AF7E00"/>
      </a:accent2>
      <a:accent3>
        <a:srgbClr val="AF2200"/>
      </a:accent3>
      <a:accent4>
        <a:srgbClr val="007E33"/>
      </a:accent4>
      <a:accent5>
        <a:srgbClr val="AF5D00"/>
      </a:accent5>
      <a:accent6>
        <a:srgbClr val="0A1978"/>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2011-12-19T00:00:00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b2b8bedc-0fcb-47cf-97d0-3e95d67c491f">
      <UserInfo>
        <DisplayName>Christa Heavey</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85B365957C7CB40992C2FD98AC36155" ma:contentTypeVersion="4" ma:contentTypeDescription="Create a new document." ma:contentTypeScope="" ma:versionID="ee8c368e51aeaab4ae75eb61c85c4222">
  <xsd:schema xmlns:xsd="http://www.w3.org/2001/XMLSchema" xmlns:xs="http://www.w3.org/2001/XMLSchema" xmlns:p="http://schemas.microsoft.com/office/2006/metadata/properties" xmlns:ns2="b48abb86-6b75-4cc9-8ac7-293f3cb026c9" xmlns:ns3="b2b8bedc-0fcb-47cf-97d0-3e95d67c491f" targetNamespace="http://schemas.microsoft.com/office/2006/metadata/properties" ma:root="true" ma:fieldsID="db808ceaaf26008782959fe15a7ee2ea" ns2:_="" ns3:_="">
    <xsd:import namespace="b48abb86-6b75-4cc9-8ac7-293f3cb026c9"/>
    <xsd:import namespace="b2b8bedc-0fcb-47cf-97d0-3e95d67c49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abb86-6b75-4cc9-8ac7-293f3cb026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b8bedc-0fcb-47cf-97d0-3e95d67c491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91196E-9284-476C-9322-9E2734F114F2}">
  <ds:schemaRefs>
    <ds:schemaRef ds:uri="b2b8bedc-0fcb-47cf-97d0-3e95d67c491f"/>
    <ds:schemaRef ds:uri="http://purl.org/dc/terms/"/>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b48abb86-6b75-4cc9-8ac7-293f3cb026c9"/>
    <ds:schemaRef ds:uri="http://www.w3.org/XML/1998/namespace"/>
    <ds:schemaRef ds:uri="http://purl.org/dc/elements/1.1/"/>
  </ds:schemaRefs>
</ds:datastoreItem>
</file>

<file path=customXml/itemProps3.xml><?xml version="1.0" encoding="utf-8"?>
<ds:datastoreItem xmlns:ds="http://schemas.openxmlformats.org/officeDocument/2006/customXml" ds:itemID="{AD234753-23B3-407F-99F5-A54801311265}">
  <ds:schemaRefs>
    <ds:schemaRef ds:uri="http://schemas.microsoft.com/sharepoint/v3/contenttype/forms"/>
  </ds:schemaRefs>
</ds:datastoreItem>
</file>

<file path=customXml/itemProps4.xml><?xml version="1.0" encoding="utf-8"?>
<ds:datastoreItem xmlns:ds="http://schemas.openxmlformats.org/officeDocument/2006/customXml" ds:itemID="{727CA99B-9AE4-42FB-8D2C-D9A0B0535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abb86-6b75-4cc9-8ac7-293f3cb026c9"/>
    <ds:schemaRef ds:uri="b2b8bedc-0fcb-47cf-97d0-3e95d67c49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E42E9EF-1AC8-4D47-9D4C-EF0BFC487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99</Pages>
  <Words>13280</Words>
  <Characters>75702</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Energy Efficiency Avoided Costs 2011 Update</vt:lpstr>
    </vt:vector>
  </TitlesOfParts>
  <Company>Microsoft</Company>
  <LinksUpToDate>false</LinksUpToDate>
  <CharactersWithSpaces>88805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Efficiency Avoided Costs 2011 Update</dc:title>
  <dc:subject/>
  <dc:creator>Brian Horii, Eric Cutter</dc:creator>
  <cp:keywords/>
  <cp:lastModifiedBy>Ben Shapiro</cp:lastModifiedBy>
  <cp:revision>20</cp:revision>
  <cp:lastPrinted>2011-07-05T23:24:00Z</cp:lastPrinted>
  <dcterms:created xsi:type="dcterms:W3CDTF">2019-06-12T00:02:00Z</dcterms:created>
  <dcterms:modified xsi:type="dcterms:W3CDTF">2019-06-26T19:49:00Z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0x010100685B365957C7CB40992C2FD98AC36155</vt:lpwstr>
  </property>
</Properties>
</file>